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微软雅黑"/>
          <w:b/>
          <w:color w:val="000000"/>
          <w:sz w:val="44"/>
        </w:rPr>
        <w:t>2026年 Focus 策略回测报告</w:t>
      </w:r>
    </w:p>
    <w:p>
      <w:pPr>
        <w:spacing w:after="240"/>
      </w:pPr>
      <w:r>
        <w:rPr>
          <w:rFonts w:ascii="Aptos" w:hAnsi="Aptos" w:eastAsia="微软雅黑"/>
          <w:b w:val="0"/>
          <w:color w:val="5B6573"/>
          <w:sz w:val="21"/>
        </w:rPr>
        <w:t>回测区间 2026年1月1日至2026年9月15日  Windows 实盘数据复核</w:t>
      </w:r>
    </w:p>
    <w:p>
      <w:pPr>
        <w:spacing w:after="200"/>
      </w:pPr>
      <w:r>
        <w:rPr>
          <w:rFonts w:ascii="Aptos" w:hAnsi="Aptos" w:eastAsia="微软雅黑"/>
          <w:b/>
          <w:color w:val="000000"/>
          <w:sz w:val="22"/>
        </w:rPr>
        <w:t>结论：</w:t>
      </w:r>
      <w:r>
        <w:rPr>
          <w:rFonts w:ascii="Aptos" w:hAnsi="Aptos" w:eastAsia="微软雅黑"/>
          <w:b w:val="0"/>
          <w:color w:val="000000"/>
          <w:sz w:val="22"/>
        </w:rPr>
        <w:t>当前 Focus 版本在今年区间产生 79 笔实际成交，收益率 110.24%，胜率 55.70%，最大回撤 -7.72%。该结果采用日线信号与次日开盘成交，缺少真实 09:25 竞价事实的日期使用开盘价代理。</w:t>
      </w:r>
    </w:p>
    <w:p>
      <w:pPr>
        <w:pStyle w:val="Heading1"/>
      </w:pPr>
      <w:r>
        <w:t>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回测任务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47d57166ac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策略版本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双刃合 Focus 当前版本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实际成交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79 笔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入场候选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133 个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总收益率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110.24%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期末资金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2,102,421.00 元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年化收益率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198.94%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胜率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55.70%（44 胜 / 35 负）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最大回撤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-7.72%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盈亏比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2.20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夏普比率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3.42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Sortino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7.18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平均持仓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1.6 天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最佳单笔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33.19%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最差单笔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-10.29%</w:t>
            </w:r>
          </w:p>
        </w:tc>
      </w:tr>
    </w:tbl>
    <w:p>
      <w:pPr>
        <w:spacing w:after="40"/>
      </w:pPr>
    </w:p>
    <w:p>
      <w:pPr>
        <w:pStyle w:val="Heading1"/>
      </w:pPr>
      <w:r>
        <w:t>成交口径</w:t>
      </w:r>
    </w:p>
    <w:p>
      <w:pPr>
        <w:pStyle w:val="ListBullet"/>
        <w:spacing w:after="60"/>
      </w:pPr>
      <w:r>
        <w:t>入场和出场均为 open_t+1，即信号日确认后次日开盘成交。</w:t>
      </w:r>
    </w:p>
    <w:p>
      <w:pPr>
        <w:pStyle w:val="ListBullet"/>
        <w:spacing w:after="60"/>
      </w:pPr>
      <w:r>
        <w:t>初始资金 100 万元，最大持仓 2 只，等权重按 score_weight 分配。</w:t>
      </w:r>
    </w:p>
    <w:p>
      <w:pPr>
        <w:pStyle w:val="ListBullet"/>
        <w:spacing w:after="60"/>
      </w:pPr>
      <w:r>
        <w:t>佣金 0.02%，印花税 0.1%，滑点 5bp。Focus 止损 -5%，移动止盈 3.5%，最长持仓 3 个交易日。</w:t>
      </w:r>
    </w:p>
    <w:p>
      <w:pPr>
        <w:pStyle w:val="ListBullet"/>
        <w:spacing w:after="60"/>
      </w:pPr>
      <w:r>
        <w:t>竞价字段优先使用真实 quote_ticks 事实；缺失时按当前 use_open_fallback=true 使用日线开盘价代理，不能视为纯真实竞价回测。</w:t>
      </w:r>
    </w:p>
    <w:p>
      <w:pPr>
        <w:pStyle w:val="Heading1"/>
      </w:pPr>
      <w:r>
        <w:t>按月出票统计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交易数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盈利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亏损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胜率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2026-01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7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8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46.7%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2026-02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8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62.5%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2026-03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50.0%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2026-04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13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9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69.2%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11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54.5%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2026-06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8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62.5%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2026-07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40.0%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2026-08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10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50.0%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2026-09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3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2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1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9"/>
              </w:rPr>
              <w:t>66.7%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Aptos" w:hAnsi="Aptos" w:eastAsia="微软雅黑"/>
          <w:b/>
          <w:color w:val="000000"/>
          <w:sz w:val="19"/>
        </w:rPr>
        <w:t>说明：</w:t>
      </w:r>
      <w:r>
        <w:rPr>
          <w:rFonts w:ascii="Aptos" w:hAnsi="Aptos" w:eastAsia="微软雅黑"/>
          <w:b w:val="0"/>
          <w:color w:val="5B6573"/>
          <w:sz w:val="19"/>
        </w:rPr>
        <w:t>月度胜率按实际成交笔数统计，不等于月度组合收益率。</w:t>
      </w:r>
    </w:p>
    <w:p>
      <w:pPr>
        <w:pStyle w:val="Heading1"/>
      </w:pPr>
      <w:r>
        <w:t>股本维表覆盖问题</w:t>
      </w:r>
    </w:p>
    <w:p>
      <w:r>
        <w:rPr>
          <w:rFonts w:ascii="Aptos" w:hAnsi="Aptos" w:eastAsia="微软雅黑"/>
          <w:b/>
          <w:color w:val="000000"/>
          <w:sz w:val="21"/>
        </w:rPr>
        <w:t>结论：</w:t>
      </w:r>
      <w:r>
        <w:rPr>
          <w:rFonts w:ascii="Aptos" w:hAnsi="Aptos" w:eastAsia="微软雅黑"/>
          <w:b w:val="0"/>
          <w:color w:val="000000"/>
          <w:sz w:val="21"/>
        </w:rPr>
        <w:t>这是数据同步链路的 bug，不是 Focus 策略本身的 bug。</w:t>
      </w:r>
    </w:p>
    <w:p>
      <w:pPr>
        <w:pStyle w:val="ListBullet"/>
        <w:spacing w:after="60"/>
      </w:pPr>
      <w:r>
        <w:t>手动补数后，instruments.parquet 中 5565/5571 只股票具有有效 total_shares 和 float_shares。</w:t>
      </w:r>
    </w:p>
    <w:p>
      <w:pPr>
        <w:pStyle w:val="ListBullet"/>
        <w:spacing w:after="60"/>
      </w:pPr>
      <w:r>
        <w:t>Windows 每天 09:10 的自动个股维表同步会调用 instrument_sync.sync_instruments；tdxapi 的 /api/codes 只返回标的基础信息，ext 中不提供股本字段。</w:t>
      </w:r>
    </w:p>
    <w:p>
      <w:pPr>
        <w:pStyle w:val="ListBullet"/>
        <w:spacing w:after="60"/>
      </w:pPr>
      <w:r>
        <w:t>同步逻辑随后直接原子写回 instruments.parquet，没有把 financials/shares 中已经同步好的股本字段合并回去，导致 total_shares/float_shares 被覆盖为空。</w:t>
      </w:r>
    </w:p>
    <w:p>
      <w:pPr>
        <w:pStyle w:val="ListBullet"/>
        <w:spacing w:after="60"/>
      </w:pPr>
      <w:r>
        <w:t>回测矩阵读取空股本后，Focus 的 market_cap_min=10亿元基础过滤把原始信号全部清零，因此会出现“原始信号存在、回测 0 笔”的假象。</w:t>
      </w:r>
    </w:p>
    <w:p>
      <w:pPr>
        <w:pStyle w:val="Heading2"/>
      </w:pPr>
      <w:r>
        <w:t>建议修复</w:t>
      </w:r>
    </w:p>
    <w:p>
      <w:pPr>
        <w:pStyle w:val="ListBullet"/>
        <w:spacing w:after="60"/>
      </w:pPr>
      <w:r>
        <w:t>instrument_sync 写入前合并现有有效股本和 financials/shares；provider 返回空值时不得覆盖已有有效值。</w:t>
      </w:r>
    </w:p>
    <w:p>
      <w:pPr>
        <w:pStyle w:val="ListBullet"/>
        <w:spacing w:after="60"/>
      </w:pPr>
      <w:r>
        <w:t>维表同步完成后刷新 DuckDB instruments 视图和内存缓存。</w:t>
      </w:r>
    </w:p>
    <w:p>
      <w:pPr>
        <w:pStyle w:val="ListBullet"/>
        <w:spacing w:after="60"/>
      </w:pPr>
      <w:r>
        <w:t>增加回归测试：provider 缺少股本字段时，sync_instruments 必须保留原有股本；若股本覆盖率为 0，应告警并阻止正式策略结果静默变成 0。</w:t>
      </w:r>
    </w:p>
    <w:p>
      <w:pPr>
        <w:pStyle w:val="ListBullet"/>
        <w:spacing w:after="60"/>
      </w:pPr>
      <w:r>
        <w:t>对 6 只仍无股本返回的标的保留 unresolved 状态，不用估算值伪造市值。</w:t>
      </w:r>
    </w:p>
    <w:p>
      <w:r>
        <w:br w:type="page"/>
      </w:r>
    </w:p>
    <w:p>
      <w:pPr>
        <w:pStyle w:val="Heading1"/>
      </w:pPr>
      <w:r>
        <w:t>实际出票明细</w:t>
      </w:r>
    </w:p>
    <w:p>
      <w:r>
        <w:rPr>
          <w:rFonts w:ascii="Aptos" w:hAnsi="Aptos" w:eastAsia="微软雅黑"/>
          <w:b w:val="0"/>
          <w:color w:val="5B6573"/>
          <w:sz w:val="21"/>
        </w:rPr>
        <w:t>以下是 79 笔实际成交，不是 133 个原始候选。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信号日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入场日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买入 → 卖出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单笔收益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退出原因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002243.SZ 力合科创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10.69 → 10.6053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-1.03%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603612.SH 索通发展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25.05 → 26.055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3.76%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2026-01-06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2026-01-07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002379.SZ 宏桥控股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27.68 → 27.2516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-1.78%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002340.SZ 格林美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9.06 → 8.7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-4.20%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601699.SH 潞安环能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13.29 → 12.91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-3.09%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002222.SZ 福晶科技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63.69 → 71.36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11.77%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2026-01-09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603918.SH 金桥信息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18.81 → 19.99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6.02%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2026-01-13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002410.SZ 广联达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14.4 → 14.02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-2.87%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603630.SH 拉芳家化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24.02 → 23.7004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-1.57%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603285.SH 键邦股份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27.3 → 28.2649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3.29%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600517.SH 国网英大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6.95 → 6.948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-0.27%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2026-01-19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600738.SH 丽尚国潮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5.41 → 5.5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1.42%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002833.SZ 弘亚数控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17.61 → 18.56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5.14%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2026-01-23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603619.SH 中曼石油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28.09 → 32.05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13.82%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2026-01-30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2026-02-02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603316.SH 诚邦股份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14.58 → 14.59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-0.17%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2026-02-03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2026-02-04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002938.SZ 鹏鼎控股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62.46 → 60.81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-2.88%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2026-02-09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2026-02-10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603328.SH 依顿电子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11.73 → 12.25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4.18%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2026-02-10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2026-02-11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002150.SZ 正泰电源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27.51 → 28.45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3.17%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2026-02-09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2026-02-10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603985.SH 恒润股份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16.67 → 17.31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3.59%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601857.SH 中国石油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11.14 → 10.8948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-2.44%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600367.SH 红星发展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20.31 → 23.55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15.67%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2026-02-26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2026-02-27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002980.SZ 华盛昌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26.2 → 34.98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33.19%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2026-02-27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2026-03-02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603070.SH 万控智造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16.58 → 16.31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-1.86%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2026-03-05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603191.SH 望变电气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26.51 → 26.1515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-1.59%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002631.SZ 德尔未来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7.46 → 7.7007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2.98%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002709.SZ 天赐材料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45.55 → 49.03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7.38%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2026-03-16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2026-03-17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600605.SH 汇通能源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31.26 → 29.01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-7.42%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2026-03-24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2026-03-25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003036.SZ 泰坦股份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22.5 → 22.9091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1.57%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2026-03-27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2026-03-30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000762.SZ 西藏矿业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30.97 → 30.1949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-2.74%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600513.SH 联环药业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29.85 → 29.36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-1.88%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002245.SZ 蔚蓝锂芯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17.85 → 18.88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5.52%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2026-04-09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002475.SZ 立讯精密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51.5 → 59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14.29%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2026-04-13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2026-04-14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002497.SZ 雅化集团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26.5 → 27.59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3.86%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2026-04-14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2026-04-15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603389.SH 亚振家居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49.51 → 49.9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0.55%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2026-04-17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002708.SZ 光洋股份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14.51 → 13.48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-7.32%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600301.SH 华锡有色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52 → 55.97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7.38%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603906.SH 龙蟠科技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26.22 → 30.44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15.82%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2026-04-23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600638.SH 新黄浦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6.34 → 6.43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1.18%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603995.SH 甬金股份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19.5 → 19.36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-0.96%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2026-04-29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2026-04-30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603369.SH 今世缘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27.69 → 27.05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-2.55%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2026-04-30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603050.SH 科林电气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22.18 → 23.9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7.50%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2026-04-30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002747.SZ 埃斯顿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22.31 → 24.09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7.72%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000426.SZ 兴业银锡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47.57 → 49.1378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3.05%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2026-05-08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603289.SH 泰瑞机器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12.46 → 12.14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-2.80%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600206.SH 有研新材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32.87 → 30.99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-5.95%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2026-05-13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2026-05-14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002129.SZ TCL中环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10.18 → 10.007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-1.93%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002196.SZ 方正电机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16.24 → 16.51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1.42%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601101.SH 昊华能源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11.06 → 10.9914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-0.86%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003001.SZ 中岩大地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21.48 → 22.66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5.24%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2026-05-19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002829.SZ 星网宇达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24.52 → 26.0068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5.81%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603005.SH 晶方科技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40.19 → 43.11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7.01%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600114.SH 东睦股份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37.7 → 38.8413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2.78%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2026-05-29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600460.SH 士兰微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38 → 34.17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-10.29%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2026-06-01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2026-06-02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002859.SZ 洁美科技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72.62 → 79.4002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9.07%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2026-06-15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2026-06-16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002378.SZ 章源钨业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36.32 → 36.85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1.22%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2026-06-15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2026-06-16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601168.SH 西部矿业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32.25 → 31.26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-3.30%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2026-06-23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603660.SH 苏州科达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13.43 → 13.2881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-1.29%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2026-06-22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2026-06-23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605167.SH 利柏特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15.29 → 16.0866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4.96%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2026-06-23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2026-06-24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603223.SH 恒通股份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10.96 → 11.91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8.41%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2026-06-29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2026-06-30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603978.SH 深圳新星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29.45 → 32.24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9.21%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2026-06-30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2026-07-01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002158.SZ 汉钟精机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36.23 → 35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-3.63%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2026-07-03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002031.SZ 巨轮智能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5.95 → 5.71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-4.26%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2026-07-09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2026-07-10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603341.SH 龙旗科技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41.96 → 41.81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-0.60%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2026-07-14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2026-07-15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603127.SH 昭衍新药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50.62 → 51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0.51%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2026-07-16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2026-07-17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003032.SZ 传智教育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5.66 → 5.68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0.11%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2026-07-21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2026-07-22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603881.SH 数据港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25.83 → 25.8716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-0.08%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2026-08-05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000608.SZ 阳光股份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6.86 → 7.0445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2.44%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2026-08-05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2026-08-06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000831.SZ 中国稀土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51.6 → 57.66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11.48%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2026-08-18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2026-08-19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603177.SH 德创环保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10.65 → 10.16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-4.83%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2026-08-17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2026-08-18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600354.SH 敦煌种业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6.4 → 6.75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5.22%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2026-08-20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603108.SH 润达医疗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10.19 → 9.87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-3.37%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signal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2026-08-24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001337.SZ 四川黄金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51.97 → 54.6383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4.88%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002730.SZ 电光科技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23.79 → 23.4881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-1.51%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601138.SH 工业富联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64.04 → 63.15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-1.63%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2026-08-28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2026-08-31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002758.SZ 浙农股份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8.95 → 8.89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-0.91%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2026-08-31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2026-09-01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601169.SH 北京银行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5.33 → 5.54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3.69%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max_hold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600601.SH 方正科技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14.04 → 14.5136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3.13%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2026-09-07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2026-09-08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002059.SZ 云南旅游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5.88 → 6.18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4.85%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分歧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  <w:tr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2026-09-08</w:t>
            </w:r>
          </w:p>
        </w:tc>
        <w:tc>
          <w:tcPr>
            <w:tcW w:type="dxa" w:w="11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2026-09-09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000878.SZ 云南铜业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18.59 → 17.59</w:t>
            </w:r>
          </w:p>
        </w:tc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-5.61%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竞价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微软雅黑"/>
                <w:sz w:val="16"/>
              </w:rPr>
              <w:t>trailing_stop</w:t>
            </w:r>
          </w:p>
        </w:tc>
      </w:tr>
    </w:tbl>
    <w:p>
      <w:pPr>
        <w:spacing w:after="40"/>
      </w:pPr>
    </w:p>
    <w:p>
      <w:pPr>
        <w:pStyle w:val="Heading1"/>
      </w:pPr>
      <w:r>
        <w:t>数据与限制</w:t>
      </w:r>
    </w:p>
    <w:p>
      <w:pPr>
        <w:pStyle w:val="ListBullet"/>
        <w:spacing w:after="60"/>
      </w:pPr>
      <w:r>
        <w:t>数据来源：Windows 服务器 E:\stock\data，回测通过 Windows 后端 /api/backtest/strategy/run 执行。</w:t>
      </w:r>
    </w:p>
    <w:p>
      <w:pPr>
        <w:pStyle w:val="ListBullet"/>
        <w:spacing w:after="60"/>
      </w:pPr>
      <w:r>
        <w:t>本报告结果对应 run_id 47d57166ac；若重新同步股本或竞价数据，结果可能变化。</w:t>
      </w:r>
    </w:p>
    <w:p>
      <w:pPr>
        <w:pStyle w:val="ListBullet"/>
        <w:spacing w:after="60"/>
      </w:pPr>
      <w:r>
        <w:t>真实 09:25 竞价历史仍存在 unresolved 数据；该结果不等同于逐秒委托排队、撤单和盘口撮合模拟。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 Focus 策略回测报告</dc:title>
  <dc:subject>Focus策略今年回测结果与股本维表同步问题分析</dc:subject>
  <dc:creator>Codex</dc:creator>
  <cp:keywords>Focus, 回测, 双刃合, Windows, 股本维表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