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0AF49" w14:textId="72792270" w:rsidR="000A7237" w:rsidRPr="00C91F39" w:rsidRDefault="006B6C48" w:rsidP="00C91F39">
      <w:pPr>
        <w:pStyle w:val="1"/>
        <w:spacing w:before="0" w:after="0"/>
        <w:ind w:firstLineChars="0" w:firstLine="0"/>
        <w:rPr>
          <w:rFonts w:ascii="仿宋" w:eastAsia="仿宋" w:hAnsi="仿宋" w:hint="eastAsia"/>
          <w:sz w:val="28"/>
          <w:szCs w:val="28"/>
        </w:rPr>
      </w:pPr>
      <w:r w:rsidRPr="00455448">
        <w:rPr>
          <w:rFonts w:ascii="仿宋" w:eastAsia="仿宋" w:hAnsi="仿宋" w:hint="eastAsia"/>
          <w:sz w:val="28"/>
          <w:szCs w:val="28"/>
        </w:rPr>
        <w:t>附录</w:t>
      </w:r>
      <w:r>
        <w:rPr>
          <w:rFonts w:ascii="仿宋" w:eastAsia="仿宋" w:hAnsi="仿宋" w:hint="eastAsia"/>
          <w:sz w:val="28"/>
          <w:szCs w:val="28"/>
        </w:rPr>
        <w:t>5</w:t>
      </w:r>
      <w:r w:rsidRPr="00455448">
        <w:rPr>
          <w:rFonts w:ascii="仿宋" w:eastAsia="仿宋" w:hAnsi="仿宋" w:hint="eastAsia"/>
          <w:sz w:val="28"/>
          <w:szCs w:val="28"/>
        </w:rPr>
        <w:t xml:space="preserve"> </w:t>
      </w:r>
      <w:r>
        <w:rPr>
          <w:rFonts w:ascii="仿宋" w:eastAsia="仿宋" w:hAnsi="仿宋" w:hint="eastAsia"/>
          <w:sz w:val="28"/>
          <w:szCs w:val="28"/>
        </w:rPr>
        <w:t>稳健性检验</w:t>
      </w:r>
    </w:p>
    <w:p w14:paraId="57651724" w14:textId="23D967C1" w:rsidR="005A2505" w:rsidRDefault="005A2505" w:rsidP="000D5FBB">
      <w:pPr>
        <w:pStyle w:val="3"/>
        <w:numPr>
          <w:ilvl w:val="0"/>
          <w:numId w:val="14"/>
        </w:numPr>
        <w:ind w:left="756"/>
      </w:pPr>
      <w:r>
        <w:rPr>
          <w:rFonts w:hint="eastAsia"/>
        </w:rPr>
        <w:t>平行趋势</w:t>
      </w:r>
      <w:r w:rsidR="00C91F39">
        <w:rPr>
          <w:rFonts w:hint="eastAsia"/>
        </w:rPr>
        <w:t>检验</w:t>
      </w:r>
    </w:p>
    <w:p w14:paraId="4F34A979" w14:textId="39E5CD92" w:rsidR="009A7327" w:rsidRPr="00FB6599" w:rsidRDefault="007769A2" w:rsidP="00C656E7">
      <w:pPr>
        <w:ind w:firstLine="396"/>
        <w:rPr>
          <w:rFonts w:cs="Times New Roman"/>
        </w:rPr>
      </w:pPr>
      <w:r w:rsidRPr="00FB6599">
        <w:rPr>
          <w:rFonts w:cs="Times New Roman"/>
        </w:rPr>
        <w:t>地方政府上线</w:t>
      </w:r>
      <w:r w:rsidR="00437641" w:rsidRPr="00FB6599">
        <w:rPr>
          <w:rFonts w:cs="Times New Roman"/>
        </w:rPr>
        <w:t>公共数据开放平台</w:t>
      </w:r>
      <w:r w:rsidR="009A7327" w:rsidRPr="00FB6599">
        <w:rPr>
          <w:rFonts w:cs="Times New Roman"/>
        </w:rPr>
        <w:t>这一决策并非是绝对外生的，</w:t>
      </w:r>
      <w:r w:rsidR="00BB264C" w:rsidRPr="00FB6599">
        <w:rPr>
          <w:rFonts w:cs="Times New Roman"/>
        </w:rPr>
        <w:t>因</w:t>
      </w:r>
      <w:r w:rsidR="00D401D5" w:rsidRPr="00FB6599">
        <w:rPr>
          <w:rFonts w:cs="Times New Roman"/>
        </w:rPr>
        <w:t>而</w:t>
      </w:r>
      <w:r w:rsidR="006B09B9">
        <w:rPr>
          <w:rFonts w:cs="Times New Roman" w:hint="eastAsia"/>
        </w:rPr>
        <w:t>处理组</w:t>
      </w:r>
      <w:r w:rsidR="00BB264C" w:rsidRPr="00FB6599">
        <w:rPr>
          <w:rFonts w:cs="Times New Roman"/>
        </w:rPr>
        <w:t>与对照组的结果变量差异也可能是</w:t>
      </w:r>
      <w:r w:rsidR="00D401D5" w:rsidRPr="00FB6599">
        <w:rPr>
          <w:rFonts w:cs="Times New Roman"/>
        </w:rPr>
        <w:t>由于</w:t>
      </w:r>
      <w:r w:rsidR="00BB264C" w:rsidRPr="00FB6599">
        <w:rPr>
          <w:rFonts w:cs="Times New Roman"/>
        </w:rPr>
        <w:t>其他地区特征差异</w:t>
      </w:r>
      <w:r w:rsidR="00D401D5" w:rsidRPr="00FB6599">
        <w:rPr>
          <w:rFonts w:cs="Times New Roman"/>
        </w:rPr>
        <w:t>而</w:t>
      </w:r>
      <w:r w:rsidR="00BB264C" w:rsidRPr="00FB6599">
        <w:rPr>
          <w:rFonts w:cs="Times New Roman"/>
        </w:rPr>
        <w:t>导致。为</w:t>
      </w:r>
      <w:r w:rsidR="008C4F38" w:rsidRPr="00FB6599">
        <w:rPr>
          <w:rFonts w:cs="Times New Roman"/>
        </w:rPr>
        <w:t>证明</w:t>
      </w:r>
      <w:r w:rsidR="00437641" w:rsidRPr="00FB6599">
        <w:rPr>
          <w:rFonts w:cs="Times New Roman"/>
        </w:rPr>
        <w:t>公共数据开放平台</w:t>
      </w:r>
      <w:r w:rsidR="008C4F38" w:rsidRPr="00FB6599">
        <w:rPr>
          <w:rFonts w:cs="Times New Roman"/>
        </w:rPr>
        <w:t>上线前</w:t>
      </w:r>
      <w:r w:rsidR="006B09B9">
        <w:rPr>
          <w:rFonts w:cs="Times New Roman" w:hint="eastAsia"/>
        </w:rPr>
        <w:t>处理组</w:t>
      </w:r>
      <w:r w:rsidR="008C4F38" w:rsidRPr="00FB6599">
        <w:rPr>
          <w:rFonts w:cs="Times New Roman"/>
        </w:rPr>
        <w:t>与对照组异地并购地理距离分布</w:t>
      </w:r>
      <w:r w:rsidR="00D401D5" w:rsidRPr="00FB6599">
        <w:rPr>
          <w:rFonts w:cs="Times New Roman"/>
        </w:rPr>
        <w:t>变化趋势保持一致，本文参照</w:t>
      </w:r>
      <w:r w:rsidR="00D401D5" w:rsidRPr="00FB6599">
        <w:rPr>
          <w:rFonts w:cs="Times New Roman"/>
          <w:color w:val="080000"/>
          <w:kern w:val="0"/>
          <w:szCs w:val="21"/>
        </w:rPr>
        <w:t>Beck</w:t>
      </w:r>
      <w:r w:rsidR="00D401D5" w:rsidRPr="00FB6599">
        <w:rPr>
          <w:rFonts w:cs="Times New Roman"/>
        </w:rPr>
        <w:t xml:space="preserve"> et al.</w:t>
      </w:r>
      <w:r w:rsidR="005E6CE6">
        <w:rPr>
          <w:rFonts w:cs="Times New Roman" w:hint="eastAsia"/>
          <w:color w:val="080000"/>
          <w:kern w:val="0"/>
          <w:szCs w:val="21"/>
        </w:rPr>
        <w:t>（</w:t>
      </w:r>
      <w:r w:rsidR="003B7804" w:rsidRPr="00FB6599">
        <w:rPr>
          <w:rFonts w:cs="Times New Roman"/>
          <w:color w:val="080000"/>
          <w:kern w:val="0"/>
          <w:szCs w:val="21"/>
        </w:rPr>
        <w:t>2010</w:t>
      </w:r>
      <w:r w:rsidR="00F673AD">
        <w:rPr>
          <w:rFonts w:cs="Times New Roman"/>
          <w:color w:val="080000"/>
          <w:kern w:val="0"/>
          <w:szCs w:val="21"/>
        </w:rPr>
        <w:t>）</w:t>
      </w:r>
      <w:r w:rsidR="00D401D5" w:rsidRPr="00FB6599">
        <w:rPr>
          <w:rFonts w:cs="Times New Roman"/>
        </w:rPr>
        <w:t>的做法构建如下模型进行平行趋势检验：</w:t>
      </w:r>
    </w:p>
    <w:p w14:paraId="1CAE5867" w14:textId="5A3BC929" w:rsidR="00CF737A" w:rsidRPr="00FB6599" w:rsidRDefault="00000000" w:rsidP="00CF737A">
      <w:pPr>
        <w:spacing w:beforeLines="50" w:before="178" w:afterLines="50" w:after="178"/>
        <w:ind w:firstLineChars="0" w:firstLine="0"/>
        <w:jc w:val="center"/>
        <w:rPr>
          <w:rFonts w:cs="Times New Roman"/>
        </w:rPr>
      </w:pPr>
      <m:oMath>
        <m:sSub>
          <m:sSubPr>
            <m:ctrlPr>
              <w:rPr>
                <w:rFonts w:ascii="Cambria Math" w:hAnsi="Cambria Math" w:cs="Times New Roman"/>
                <w:i/>
                <w:sz w:val="18"/>
                <w:szCs w:val="18"/>
              </w:rPr>
            </m:ctrlPr>
          </m:sSubPr>
          <m:e>
            <m:r>
              <w:rPr>
                <w:rFonts w:ascii="Cambria Math" w:hAnsi="Cambria Math" w:cs="Times New Roman"/>
                <w:sz w:val="18"/>
                <w:szCs w:val="18"/>
              </w:rPr>
              <m:t>MaDist</m:t>
            </m:r>
          </m:e>
          <m:sub>
            <m:r>
              <w:rPr>
                <w:rFonts w:ascii="Cambria Math" w:hAnsi="Cambria Math" w:cs="Times New Roman"/>
                <w:sz w:val="18"/>
                <w:szCs w:val="18"/>
              </w:rPr>
              <m:t>i,t</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0</m:t>
            </m:r>
          </m:sub>
        </m:sSub>
        <m:r>
          <w:rPr>
            <w:rFonts w:ascii="Cambria Math" w:hAnsi="Cambria Math" w:cs="Times New Roman"/>
            <w:sz w:val="18"/>
            <w:szCs w:val="18"/>
          </w:rPr>
          <m:t>+</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n=-5</m:t>
            </m:r>
          </m:sub>
          <m:sup>
            <m:r>
              <w:rPr>
                <w:rFonts w:ascii="Cambria Math" w:hAnsi="Cambria Math" w:cs="Times New Roman"/>
                <w:sz w:val="18"/>
                <w:szCs w:val="18"/>
              </w:rPr>
              <m:t>n=5</m:t>
            </m:r>
          </m:sup>
          <m:e>
            <m:sSub>
              <m:sSubPr>
                <m:ctrlPr>
                  <w:rPr>
                    <w:rFonts w:ascii="Cambria Math" w:hAnsi="Cambria Math" w:cs="Times New Roman"/>
                    <w:i/>
                    <w:sz w:val="18"/>
                    <w:szCs w:val="18"/>
                  </w:rPr>
                </m:ctrlPr>
              </m:sSubPr>
              <m:e>
                <m:sSubSup>
                  <m:sSubSupPr>
                    <m:ctrlPr>
                      <w:rPr>
                        <w:rFonts w:ascii="Cambria Math" w:hAnsi="Cambria Math" w:cs="Times New Roman"/>
                        <w:i/>
                        <w:sz w:val="18"/>
                        <w:szCs w:val="18"/>
                      </w:rPr>
                    </m:ctrlPr>
                  </m:sSubSupPr>
                  <m:e>
                    <m:r>
                      <w:rPr>
                        <w:rFonts w:ascii="Cambria Math" w:hAnsi="Cambria Math" w:cs="Times New Roman"/>
                        <w:sz w:val="18"/>
                        <w:szCs w:val="18"/>
                      </w:rPr>
                      <m:t>α</m:t>
                    </m:r>
                  </m:e>
                  <m:sub>
                    <m:r>
                      <w:rPr>
                        <w:rFonts w:ascii="Cambria Math" w:hAnsi="Cambria Math" w:cs="Times New Roman"/>
                        <w:sz w:val="18"/>
                        <w:szCs w:val="18"/>
                      </w:rPr>
                      <m:t>1</m:t>
                    </m:r>
                  </m:sub>
                  <m:sup>
                    <m:r>
                      <w:rPr>
                        <w:rFonts w:ascii="Cambria Math" w:hAnsi="Cambria Math" w:cs="Times New Roman"/>
                        <w:sz w:val="18"/>
                        <w:szCs w:val="18"/>
                      </w:rPr>
                      <m:t>n</m:t>
                    </m:r>
                  </m:sup>
                </m:sSubSup>
                <m:r>
                  <w:rPr>
                    <w:rFonts w:ascii="Cambria Math" w:hAnsi="Cambria Math" w:cs="Times New Roman"/>
                    <w:sz w:val="18"/>
                    <w:szCs w:val="18"/>
                  </w:rPr>
                  <m:t>Data</m:t>
                </m:r>
              </m:e>
              <m:sub>
                <m:r>
                  <w:rPr>
                    <w:rFonts w:ascii="Cambria Math" w:hAnsi="Cambria Math" w:cs="Times New Roman"/>
                    <w:sz w:val="18"/>
                    <w:szCs w:val="18"/>
                  </w:rPr>
                  <m:t>c</m:t>
                </m:r>
              </m:sub>
            </m:sSub>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TDummy</m:t>
                </m:r>
              </m:e>
              <m:sub>
                <m:r>
                  <w:rPr>
                    <w:rFonts w:ascii="Cambria Math" w:hAnsi="Cambria Math" w:cs="Times New Roman"/>
                    <w:sz w:val="18"/>
                    <w:szCs w:val="18"/>
                  </w:rPr>
                  <m:t>c,t</m:t>
                </m:r>
              </m:sub>
              <m:sup>
                <m:r>
                  <w:rPr>
                    <w:rFonts w:ascii="Cambria Math" w:hAnsi="Cambria Math" w:cs="Times New Roman"/>
                    <w:sz w:val="18"/>
                    <w:szCs w:val="18"/>
                  </w:rPr>
                  <m:t>n</m:t>
                </m:r>
              </m:sup>
            </m:sSubSup>
          </m:e>
        </m:nary>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2</m:t>
            </m:r>
          </m:sub>
        </m:sSub>
        <m:sSub>
          <m:sSubPr>
            <m:ctrlPr>
              <w:rPr>
                <w:rFonts w:ascii="Cambria Math" w:hAnsi="Cambria Math" w:cs="Times New Roman"/>
                <w:i/>
                <w:sz w:val="18"/>
                <w:szCs w:val="18"/>
              </w:rPr>
            </m:ctrlPr>
          </m:sSubPr>
          <m:e>
            <m:r>
              <w:rPr>
                <w:rFonts w:ascii="Cambria Math" w:hAnsi="Cambria Math" w:cs="Times New Roman"/>
                <w:sz w:val="18"/>
                <w:szCs w:val="18"/>
              </w:rPr>
              <m:t>City</m:t>
            </m:r>
          </m:e>
          <m:sub>
            <m:r>
              <w:rPr>
                <w:rFonts w:ascii="Cambria Math" w:hAnsi="Cambria Math" w:cs="Times New Roman"/>
                <w:sz w:val="18"/>
                <w:szCs w:val="18"/>
              </w:rPr>
              <m:t>c,t</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3</m:t>
            </m:r>
          </m:sub>
        </m:sSub>
        <m:sSub>
          <m:sSubPr>
            <m:ctrlPr>
              <w:rPr>
                <w:rFonts w:ascii="Cambria Math" w:hAnsi="Cambria Math" w:cs="Times New Roman"/>
                <w:i/>
                <w:sz w:val="18"/>
                <w:szCs w:val="18"/>
              </w:rPr>
            </m:ctrlPr>
          </m:sSubPr>
          <m:e>
            <m:r>
              <w:rPr>
                <w:rFonts w:ascii="Cambria Math" w:hAnsi="Cambria Math" w:cs="Times New Roman"/>
                <w:sz w:val="18"/>
                <w:szCs w:val="18"/>
              </w:rPr>
              <m:t>Firm</m:t>
            </m:r>
          </m:e>
          <m:sub>
            <m:r>
              <w:rPr>
                <w:rFonts w:ascii="Cambria Math" w:hAnsi="Cambria Math" w:cs="Times New Roman"/>
                <w:sz w:val="18"/>
                <w:szCs w:val="18"/>
              </w:rPr>
              <m:t>i,t</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δ</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δ</m:t>
            </m:r>
          </m:e>
          <m:sub>
            <m:r>
              <w:rPr>
                <w:rFonts w:ascii="Cambria Math" w:hAnsi="Cambria Math" w:cs="Times New Roman"/>
                <w:sz w:val="18"/>
                <w:szCs w:val="18"/>
              </w:rPr>
              <m:t>t</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ε</m:t>
            </m:r>
          </m:e>
          <m:sub>
            <m:r>
              <w:rPr>
                <w:rFonts w:ascii="Cambria Math" w:hAnsi="Cambria Math" w:cs="Times New Roman"/>
                <w:sz w:val="18"/>
                <w:szCs w:val="18"/>
              </w:rPr>
              <m:t>i,t</m:t>
            </m:r>
          </m:sub>
        </m:sSub>
      </m:oMath>
      <w:r w:rsidR="00CF737A" w:rsidRPr="00FB6599">
        <w:rPr>
          <w:rFonts w:cs="Times New Roman"/>
        </w:rPr>
        <w:t>（</w:t>
      </w:r>
      <w:r w:rsidR="00C91F39">
        <w:rPr>
          <w:rFonts w:cs="Times New Roman" w:hint="eastAsia"/>
        </w:rPr>
        <w:t>1</w:t>
      </w:r>
      <w:r w:rsidR="00CF737A" w:rsidRPr="00FB6599">
        <w:rPr>
          <w:rFonts w:cs="Times New Roman"/>
        </w:rPr>
        <w:t>）</w:t>
      </w:r>
    </w:p>
    <w:p w14:paraId="39626D37" w14:textId="2CEC7C2E" w:rsidR="00A030B4" w:rsidRDefault="00D401D5" w:rsidP="00660CF9">
      <w:pPr>
        <w:ind w:firstLine="396"/>
        <w:rPr>
          <w:rFonts w:cs="Times New Roman"/>
        </w:rPr>
      </w:pPr>
      <w:r w:rsidRPr="00FB6599">
        <w:rPr>
          <w:rFonts w:cs="Times New Roman"/>
        </w:rPr>
        <w:t>其中，</w:t>
      </w:r>
      <m:oMath>
        <m:r>
          <w:rPr>
            <w:rFonts w:ascii="Cambria Math" w:hAnsi="Cambria Math" w:cs="Times New Roman"/>
            <w:szCs w:val="21"/>
          </w:rPr>
          <m:t>TDummy</m:t>
        </m:r>
      </m:oMath>
      <w:r w:rsidRPr="00FB6599">
        <w:rPr>
          <w:rFonts w:cs="Times New Roman"/>
          <w:szCs w:val="21"/>
        </w:rPr>
        <w:t>代表时间虚拟变量，</w:t>
      </w:r>
      <w:r w:rsidR="002769FD" w:rsidRPr="00FB6599">
        <w:rPr>
          <w:rFonts w:cs="Times New Roman"/>
          <w:szCs w:val="21"/>
        </w:rPr>
        <w:t>当年份</w:t>
      </w:r>
      <m:oMath>
        <m:r>
          <w:rPr>
            <w:rFonts w:ascii="Cambria Math" w:hAnsi="Cambria Math" w:cs="Times New Roman"/>
            <w:szCs w:val="21"/>
          </w:rPr>
          <m:t>t</m:t>
        </m:r>
      </m:oMath>
      <w:r w:rsidR="002769FD" w:rsidRPr="00FB6599">
        <w:rPr>
          <w:rFonts w:cs="Times New Roman"/>
          <w:szCs w:val="21"/>
        </w:rPr>
        <w:t>为当地</w:t>
      </w:r>
      <w:r w:rsidR="00437641" w:rsidRPr="00FB6599">
        <w:rPr>
          <w:rFonts w:cs="Times New Roman"/>
          <w:szCs w:val="21"/>
        </w:rPr>
        <w:t>公共数据开放平台</w:t>
      </w:r>
      <w:r w:rsidR="002769FD" w:rsidRPr="00FB6599">
        <w:rPr>
          <w:rFonts w:cs="Times New Roman"/>
          <w:szCs w:val="21"/>
        </w:rPr>
        <w:t>上线前后</w:t>
      </w:r>
      <m:oMath>
        <m:r>
          <w:rPr>
            <w:rFonts w:ascii="Cambria Math" w:hAnsi="Cambria Math" w:cs="Times New Roman"/>
            <w:szCs w:val="21"/>
          </w:rPr>
          <m:t>n</m:t>
        </m:r>
      </m:oMath>
      <w:r w:rsidR="002769FD" w:rsidRPr="00FB6599">
        <w:rPr>
          <w:rFonts w:cs="Times New Roman"/>
          <w:szCs w:val="21"/>
        </w:rPr>
        <w:t>年时，</w:t>
      </w:r>
      <m:oMath>
        <m:r>
          <w:rPr>
            <w:rFonts w:ascii="Cambria Math" w:hAnsi="Cambria Math" w:cs="Times New Roman"/>
            <w:szCs w:val="21"/>
          </w:rPr>
          <m:t>TDummy</m:t>
        </m:r>
      </m:oMath>
      <w:r w:rsidR="002769FD" w:rsidRPr="00FB6599">
        <w:rPr>
          <w:rFonts w:cs="Times New Roman"/>
          <w:szCs w:val="21"/>
        </w:rPr>
        <w:t>取</w:t>
      </w:r>
      <w:r w:rsidR="002769FD" w:rsidRPr="00FB6599">
        <w:rPr>
          <w:rFonts w:cs="Times New Roman"/>
          <w:szCs w:val="21"/>
        </w:rPr>
        <w:t>1</w:t>
      </w:r>
      <w:r w:rsidR="002769FD" w:rsidRPr="00FB6599">
        <w:rPr>
          <w:rFonts w:cs="Times New Roman"/>
          <w:szCs w:val="21"/>
        </w:rPr>
        <w:t>，否则取</w:t>
      </w:r>
      <w:r w:rsidR="002769FD" w:rsidRPr="00FB6599">
        <w:rPr>
          <w:rFonts w:cs="Times New Roman"/>
          <w:szCs w:val="21"/>
        </w:rPr>
        <w:t>0</w:t>
      </w:r>
      <w:r w:rsidR="002769FD" w:rsidRPr="00FB6599">
        <w:rPr>
          <w:rFonts w:cs="Times New Roman"/>
          <w:szCs w:val="21"/>
        </w:rPr>
        <w:t>。时间窗口设置为（</w:t>
      </w:r>
      <w:r w:rsidR="002769FD" w:rsidRPr="00FB6599">
        <w:rPr>
          <w:rFonts w:cs="Times New Roman"/>
          <w:szCs w:val="21"/>
        </w:rPr>
        <w:t>-5</w:t>
      </w:r>
      <w:r w:rsidR="00F673AD">
        <w:rPr>
          <w:rFonts w:cs="Times New Roman"/>
          <w:szCs w:val="21"/>
        </w:rPr>
        <w:t>，</w:t>
      </w:r>
      <w:r w:rsidR="002769FD" w:rsidRPr="00FB6599">
        <w:rPr>
          <w:rFonts w:cs="Times New Roman"/>
          <w:szCs w:val="21"/>
        </w:rPr>
        <w:t>5</w:t>
      </w:r>
      <w:r w:rsidR="002769FD" w:rsidRPr="00FB6599">
        <w:rPr>
          <w:rFonts w:cs="Times New Roman"/>
          <w:szCs w:val="21"/>
        </w:rPr>
        <w:t>），以</w:t>
      </w:r>
      <w:r w:rsidR="002769FD" w:rsidRPr="00FB6599">
        <w:rPr>
          <w:rFonts w:cs="Times New Roman"/>
          <w:szCs w:val="21"/>
        </w:rPr>
        <w:t>-5</w:t>
      </w:r>
      <w:r w:rsidR="002769FD" w:rsidRPr="00FB6599">
        <w:rPr>
          <w:rFonts w:cs="Times New Roman"/>
          <w:szCs w:val="21"/>
        </w:rPr>
        <w:t>年为基期进行平行趋势检验</w:t>
      </w:r>
      <w:r w:rsidR="00DB241A" w:rsidRPr="00FB6599">
        <w:rPr>
          <w:rFonts w:cs="Times New Roman"/>
          <w:szCs w:val="21"/>
        </w:rPr>
        <w:t>。</w:t>
      </w:r>
      <w:r w:rsidR="002769FD" w:rsidRPr="00FB6599">
        <w:rPr>
          <w:rFonts w:cs="Times New Roman"/>
          <w:szCs w:val="21"/>
        </w:rPr>
        <w:t>检验结果如</w:t>
      </w:r>
      <w:r w:rsidR="00C91F39">
        <w:rPr>
          <w:rFonts w:cs="Times New Roman" w:hint="eastAsia"/>
          <w:szCs w:val="21"/>
        </w:rPr>
        <w:t>附</w:t>
      </w:r>
      <w:r w:rsidR="002769FD" w:rsidRPr="00FB6599">
        <w:rPr>
          <w:rFonts w:cs="Times New Roman"/>
          <w:szCs w:val="21"/>
        </w:rPr>
        <w:t>图</w:t>
      </w:r>
      <w:r w:rsidR="00EB0D5E" w:rsidRPr="00FB6599">
        <w:rPr>
          <w:rFonts w:cs="Times New Roman"/>
          <w:szCs w:val="21"/>
        </w:rPr>
        <w:t>7</w:t>
      </w:r>
      <w:r w:rsidR="002769FD" w:rsidRPr="00FB6599">
        <w:rPr>
          <w:rFonts w:cs="Times New Roman"/>
          <w:szCs w:val="21"/>
        </w:rPr>
        <w:t>所示</w:t>
      </w:r>
      <w:r w:rsidR="00DB241A" w:rsidRPr="00FB6599">
        <w:rPr>
          <w:rFonts w:cs="Times New Roman"/>
          <w:szCs w:val="21"/>
        </w:rPr>
        <w:t>，</w:t>
      </w:r>
      <w:r w:rsidR="00BF3632" w:rsidRPr="00FB6599">
        <w:rPr>
          <w:rFonts w:cs="Times New Roman"/>
        </w:rPr>
        <w:t>在</w:t>
      </w:r>
      <w:r w:rsidR="00437641" w:rsidRPr="00FB6599">
        <w:rPr>
          <w:rFonts w:cs="Times New Roman"/>
        </w:rPr>
        <w:t>公共数据开放平台</w:t>
      </w:r>
      <w:r w:rsidR="00BF3632" w:rsidRPr="00FB6599">
        <w:rPr>
          <w:rFonts w:cs="Times New Roman"/>
        </w:rPr>
        <w:t>上线前</w:t>
      </w:r>
      <w:r w:rsidR="00EB0D5E" w:rsidRPr="00FB6599">
        <w:rPr>
          <w:rFonts w:cs="Times New Roman"/>
        </w:rPr>
        <w:t>，</w:t>
      </w:r>
      <m:oMath>
        <m:r>
          <w:rPr>
            <w:rFonts w:ascii="Cambria Math" w:hAnsi="Cambria Math" w:cs="Times New Roman"/>
            <w:szCs w:val="21"/>
          </w:rPr>
          <m:t>TDummy</m:t>
        </m:r>
      </m:oMath>
      <w:r w:rsidR="00B2003A" w:rsidRPr="00FB6599">
        <w:rPr>
          <w:rFonts w:cs="Times New Roman"/>
          <w:szCs w:val="21"/>
        </w:rPr>
        <w:t>前系数均不显著，表明</w:t>
      </w:r>
      <w:r w:rsidR="00E730C8">
        <w:rPr>
          <w:rFonts w:cs="Times New Roman" w:hint="eastAsia"/>
        </w:rPr>
        <w:t>处理</w:t>
      </w:r>
      <w:r w:rsidR="00BF3632" w:rsidRPr="00FB6599">
        <w:rPr>
          <w:rFonts w:cs="Times New Roman"/>
        </w:rPr>
        <w:t>组与对照组异地并购距离分布</w:t>
      </w:r>
      <w:r w:rsidR="00B2003A" w:rsidRPr="00FB6599">
        <w:rPr>
          <w:rFonts w:cs="Times New Roman"/>
        </w:rPr>
        <w:t>在政策实施前变化趋势相同，通过平行趋势检验；在</w:t>
      </w:r>
      <w:r w:rsidR="00437641" w:rsidRPr="00FB6599">
        <w:rPr>
          <w:rFonts w:cs="Times New Roman"/>
        </w:rPr>
        <w:t>公共数据开放平台</w:t>
      </w:r>
      <w:r w:rsidR="00B2003A" w:rsidRPr="00FB6599">
        <w:rPr>
          <w:rFonts w:cs="Times New Roman"/>
        </w:rPr>
        <w:t>上线后</w:t>
      </w:r>
      <w:r w:rsidR="00EB0D5E" w:rsidRPr="00FB6599">
        <w:rPr>
          <w:rFonts w:cs="Times New Roman"/>
        </w:rPr>
        <w:t>，</w:t>
      </w:r>
      <m:oMath>
        <m:r>
          <w:rPr>
            <w:rFonts w:ascii="Cambria Math" w:hAnsi="Cambria Math" w:cs="Times New Roman"/>
            <w:szCs w:val="21"/>
          </w:rPr>
          <m:t>TDummy</m:t>
        </m:r>
      </m:oMath>
      <w:r w:rsidR="00B2003A" w:rsidRPr="00FB6599">
        <w:rPr>
          <w:rFonts w:cs="Times New Roman"/>
          <w:szCs w:val="21"/>
        </w:rPr>
        <w:t>前系数均</w:t>
      </w:r>
      <w:r w:rsidR="00B2003A" w:rsidRPr="00FB6599">
        <w:rPr>
          <w:rFonts w:cs="Times New Roman"/>
        </w:rPr>
        <w:t>显著为正，表明公共数据开放显著</w:t>
      </w:r>
      <w:r w:rsidR="00BC5BC7">
        <w:rPr>
          <w:rFonts w:cs="Times New Roman" w:hint="eastAsia"/>
        </w:rPr>
        <w:t>拓展</w:t>
      </w:r>
      <w:r w:rsidR="00B2003A" w:rsidRPr="00FB6599">
        <w:rPr>
          <w:rFonts w:cs="Times New Roman"/>
        </w:rPr>
        <w:t>了异地并购地理距离分布，并且这一影响具有持续性。</w:t>
      </w:r>
    </w:p>
    <w:p w14:paraId="45E825C2" w14:textId="77777777" w:rsidR="00225734" w:rsidRDefault="00225734" w:rsidP="00660CF9">
      <w:pPr>
        <w:ind w:firstLine="396"/>
        <w:rPr>
          <w:rFonts w:cs="Times New Roman"/>
        </w:rPr>
      </w:pP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225734" w14:paraId="4CA4D42E" w14:textId="77777777" w:rsidTr="008A4D5B">
        <w:tc>
          <w:tcPr>
            <w:tcW w:w="5000" w:type="pct"/>
          </w:tcPr>
          <w:p w14:paraId="6BFC6468" w14:textId="77777777" w:rsidR="00225734" w:rsidRPr="00111783" w:rsidRDefault="00225734" w:rsidP="008A4D5B">
            <w:pPr>
              <w:keepNext/>
              <w:keepLines/>
              <w:ind w:firstLineChars="0" w:firstLine="0"/>
              <w:jc w:val="center"/>
              <w:rPr>
                <w:noProof/>
              </w:rPr>
            </w:pPr>
            <w:r w:rsidRPr="007617BA">
              <w:rPr>
                <w:noProof/>
              </w:rPr>
              <w:drawing>
                <wp:inline distT="0" distB="0" distL="0" distR="0" wp14:anchorId="698CC660" wp14:editId="58A34A7C">
                  <wp:extent cx="3384229" cy="2461260"/>
                  <wp:effectExtent l="0" t="0" r="6985" b="0"/>
                  <wp:docPr id="6146339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2957" cy="2474881"/>
                          </a:xfrm>
                          <a:prstGeom prst="rect">
                            <a:avLst/>
                          </a:prstGeom>
                          <a:noFill/>
                          <a:ln>
                            <a:noFill/>
                          </a:ln>
                        </pic:spPr>
                      </pic:pic>
                    </a:graphicData>
                  </a:graphic>
                </wp:inline>
              </w:drawing>
            </w:r>
          </w:p>
        </w:tc>
      </w:tr>
      <w:tr w:rsidR="00225734" w:rsidRPr="00C70417" w14:paraId="6908F18C" w14:textId="77777777" w:rsidTr="008A4D5B">
        <w:tc>
          <w:tcPr>
            <w:tcW w:w="5000" w:type="pct"/>
          </w:tcPr>
          <w:p w14:paraId="6A6CBFDA" w14:textId="77777777" w:rsidR="00225734" w:rsidRPr="00C70417" w:rsidRDefault="00225734" w:rsidP="008A4D5B">
            <w:pPr>
              <w:keepNext/>
              <w:keepLines/>
              <w:ind w:firstLineChars="0" w:firstLine="0"/>
              <w:jc w:val="center"/>
              <w:rPr>
                <w:rFonts w:ascii="黑体" w:eastAsia="黑体" w:hAnsi="黑体" w:cs="Times New Roman" w:hint="eastAsia"/>
                <w:color w:val="000000" w:themeColor="text1"/>
                <w:szCs w:val="21"/>
              </w:rPr>
            </w:pPr>
            <w:r>
              <w:rPr>
                <w:rFonts w:ascii="黑体" w:eastAsia="黑体" w:hAnsi="黑体" w:cs="Times New Roman" w:hint="eastAsia"/>
                <w:color w:val="000000" w:themeColor="text1"/>
                <w:szCs w:val="21"/>
              </w:rPr>
              <w:t>附</w:t>
            </w:r>
            <w:r w:rsidRPr="00C70417">
              <w:rPr>
                <w:rFonts w:ascii="黑体" w:eastAsia="黑体" w:hAnsi="黑体" w:cs="Times New Roman" w:hint="eastAsia"/>
                <w:color w:val="000000" w:themeColor="text1"/>
                <w:szCs w:val="21"/>
              </w:rPr>
              <w:t>图7  平行趋势检验</w:t>
            </w:r>
          </w:p>
        </w:tc>
      </w:tr>
    </w:tbl>
    <w:p w14:paraId="60605DD3" w14:textId="77777777" w:rsidR="00225734" w:rsidRPr="00660CF9" w:rsidRDefault="00225734" w:rsidP="00660CF9">
      <w:pPr>
        <w:ind w:firstLine="396"/>
        <w:rPr>
          <w:rFonts w:cs="Times New Roman"/>
        </w:rPr>
      </w:pPr>
    </w:p>
    <w:p w14:paraId="6A452C98" w14:textId="04740F6F" w:rsidR="00035F4D" w:rsidRDefault="00035F4D" w:rsidP="000D5FBB">
      <w:pPr>
        <w:pStyle w:val="3"/>
        <w:numPr>
          <w:ilvl w:val="0"/>
          <w:numId w:val="14"/>
        </w:numPr>
        <w:ind w:left="756"/>
      </w:pPr>
      <w:r>
        <w:rPr>
          <w:rFonts w:hint="eastAsia"/>
        </w:rPr>
        <w:t>安慰剂检验</w:t>
      </w:r>
    </w:p>
    <w:p w14:paraId="09429909" w14:textId="63F8EBB7" w:rsidR="00035F4D" w:rsidRPr="00FB6599" w:rsidRDefault="002161D4" w:rsidP="002161D4">
      <w:pPr>
        <w:ind w:firstLine="396"/>
        <w:rPr>
          <w:rFonts w:cs="Times New Roman"/>
        </w:rPr>
      </w:pPr>
      <w:r w:rsidRPr="00FB6599">
        <w:rPr>
          <w:rFonts w:cs="Times New Roman"/>
        </w:rPr>
        <w:t>为缓解重要遗漏变量对本文基本结论的影响，参照房超和沈雨婷</w:t>
      </w:r>
      <w:r w:rsidR="00F673AD">
        <w:rPr>
          <w:rFonts w:cs="Times New Roman"/>
          <w:color w:val="080000"/>
          <w:kern w:val="0"/>
          <w:szCs w:val="21"/>
        </w:rPr>
        <w:t>（</w:t>
      </w:r>
      <w:r w:rsidR="00C02744" w:rsidRPr="00FB6599">
        <w:rPr>
          <w:rFonts w:cs="Times New Roman"/>
          <w:color w:val="080000"/>
          <w:kern w:val="0"/>
          <w:szCs w:val="21"/>
        </w:rPr>
        <w:t>2024</w:t>
      </w:r>
      <w:r w:rsidR="00F673AD">
        <w:rPr>
          <w:rFonts w:cs="Times New Roman"/>
          <w:color w:val="080000"/>
          <w:kern w:val="0"/>
          <w:szCs w:val="21"/>
        </w:rPr>
        <w:t>）</w:t>
      </w:r>
      <w:r w:rsidRPr="00FB6599">
        <w:rPr>
          <w:rFonts w:cs="Times New Roman"/>
        </w:rPr>
        <w:t>的做法，本文通过随机置换处理组进行安慰剂检验以评估统计量的显著性。具体地，</w:t>
      </w:r>
      <w:r w:rsidR="008E2506" w:rsidRPr="00FB6599">
        <w:rPr>
          <w:rFonts w:cs="Times New Roman"/>
        </w:rPr>
        <w:t>本文随机设定当地政府是否上线</w:t>
      </w:r>
      <w:r w:rsidR="00437641" w:rsidRPr="00FB6599">
        <w:rPr>
          <w:rFonts w:cs="Times New Roman"/>
        </w:rPr>
        <w:t>公共数据开放平台</w:t>
      </w:r>
      <w:r w:rsidR="008E2506" w:rsidRPr="00FB6599">
        <w:rPr>
          <w:rFonts w:cs="Times New Roman"/>
        </w:rPr>
        <w:t>并生成</w:t>
      </w:r>
      <w:r w:rsidR="00EF2603" w:rsidRPr="00FB6599">
        <w:rPr>
          <w:rFonts w:cs="Times New Roman"/>
        </w:rPr>
        <w:t>伪</w:t>
      </w:r>
      <w:r w:rsidR="008E2506" w:rsidRPr="00FB6599">
        <w:rPr>
          <w:rFonts w:cs="Times New Roman"/>
        </w:rPr>
        <w:t>变量</w:t>
      </w:r>
      <w:r w:rsidR="00B12228">
        <w:rPr>
          <w:rFonts w:cs="Times New Roman" w:hint="eastAsia"/>
        </w:rPr>
        <w:t>后重新</w:t>
      </w:r>
      <w:r w:rsidR="008E2506" w:rsidRPr="00FB6599">
        <w:rPr>
          <w:rFonts w:cs="Times New Roman"/>
        </w:rPr>
        <w:t>进行回归，并将此过程重复</w:t>
      </w:r>
      <w:r w:rsidR="008E2506" w:rsidRPr="00FB6599">
        <w:rPr>
          <w:rFonts w:cs="Times New Roman"/>
        </w:rPr>
        <w:t>1000</w:t>
      </w:r>
      <w:r w:rsidR="008E2506" w:rsidRPr="00FB6599">
        <w:rPr>
          <w:rFonts w:cs="Times New Roman"/>
        </w:rPr>
        <w:t>次。安慰剂检验结果如</w:t>
      </w:r>
      <w:r w:rsidR="00225734">
        <w:rPr>
          <w:rFonts w:cs="Times New Roman" w:hint="eastAsia"/>
        </w:rPr>
        <w:t>附</w:t>
      </w:r>
      <w:r w:rsidR="008E2506" w:rsidRPr="00FB6599">
        <w:rPr>
          <w:rFonts w:cs="Times New Roman"/>
        </w:rPr>
        <w:t>图</w:t>
      </w:r>
      <w:r w:rsidR="00EB0D5E" w:rsidRPr="00FB6599">
        <w:rPr>
          <w:rFonts w:cs="Times New Roman"/>
        </w:rPr>
        <w:t>8</w:t>
      </w:r>
      <w:r w:rsidR="008E2506" w:rsidRPr="00FB6599">
        <w:rPr>
          <w:rFonts w:cs="Times New Roman"/>
        </w:rPr>
        <w:t>所示，</w:t>
      </w:r>
      <m:oMath>
        <m:r>
          <w:rPr>
            <w:rFonts w:ascii="Cambria Math" w:hAnsi="Cambria Math" w:cs="Times New Roman"/>
          </w:rPr>
          <m:t>Data×T</m:t>
        </m:r>
      </m:oMath>
      <w:r w:rsidR="00EF2603" w:rsidRPr="00FB6599">
        <w:rPr>
          <w:rFonts w:cs="Times New Roman"/>
        </w:rPr>
        <w:t>前系数均值为</w:t>
      </w:r>
      <w:r w:rsidR="00EF2603" w:rsidRPr="00FB6599">
        <w:rPr>
          <w:rFonts w:cs="Times New Roman"/>
        </w:rPr>
        <w:t>0</w:t>
      </w:r>
      <w:r w:rsidR="00EF2603" w:rsidRPr="00FB6599">
        <w:rPr>
          <w:rFonts w:cs="Times New Roman"/>
        </w:rPr>
        <w:t>，且远离实际回归系数值</w:t>
      </w:r>
      <w:r w:rsidR="00EF2603" w:rsidRPr="00FB6599">
        <w:rPr>
          <w:rFonts w:cs="Times New Roman"/>
        </w:rPr>
        <w:t>0.19</w:t>
      </w:r>
      <w:r w:rsidR="00EF2603" w:rsidRPr="00FB6599">
        <w:rPr>
          <w:rFonts w:cs="Times New Roman"/>
        </w:rPr>
        <w:t>（如虚线所示）</w:t>
      </w:r>
      <w:r w:rsidR="00831ED4">
        <w:rPr>
          <w:rFonts w:cs="Times New Roman" w:hint="eastAsia"/>
        </w:rPr>
        <w:t>。可见，</w:t>
      </w:r>
      <w:r w:rsidR="00EF2603" w:rsidRPr="00FB6599">
        <w:rPr>
          <w:rFonts w:cs="Times New Roman"/>
        </w:rPr>
        <w:t>随机置换后</w:t>
      </w:r>
      <w:r w:rsidR="00EB0D5E" w:rsidRPr="00FB6599">
        <w:rPr>
          <w:rFonts w:cs="Times New Roman"/>
        </w:rPr>
        <w:t>，</w:t>
      </w:r>
      <w:r w:rsidR="00831ED4">
        <w:rPr>
          <w:rFonts w:cs="Times New Roman" w:hint="eastAsia"/>
        </w:rPr>
        <w:t>是否</w:t>
      </w:r>
      <w:r w:rsidR="00831ED4" w:rsidRPr="00FB6599">
        <w:rPr>
          <w:rFonts w:cs="Times New Roman"/>
        </w:rPr>
        <w:t>上线</w:t>
      </w:r>
      <w:r w:rsidR="00437641" w:rsidRPr="00FB6599">
        <w:rPr>
          <w:rFonts w:cs="Times New Roman"/>
        </w:rPr>
        <w:t>公共数据开放平台</w:t>
      </w:r>
      <w:r w:rsidR="00831ED4">
        <w:rPr>
          <w:rFonts w:cs="Times New Roman" w:hint="eastAsia"/>
        </w:rPr>
        <w:t>对于</w:t>
      </w:r>
      <w:r w:rsidR="00EF2603" w:rsidRPr="00FB6599">
        <w:rPr>
          <w:rFonts w:cs="Times New Roman"/>
        </w:rPr>
        <w:t>异地并购地理距离</w:t>
      </w:r>
      <w:r w:rsidR="00831ED4">
        <w:rPr>
          <w:rFonts w:cs="Times New Roman" w:hint="eastAsia"/>
        </w:rPr>
        <w:t>分布无显著影响</w:t>
      </w:r>
      <w:r w:rsidR="00EB0D5E" w:rsidRPr="00FB6599">
        <w:rPr>
          <w:rFonts w:cs="Times New Roman"/>
        </w:rPr>
        <w:t>。</w:t>
      </w:r>
      <w:r w:rsidR="00EF2603" w:rsidRPr="00FB6599">
        <w:rPr>
          <w:rFonts w:cs="Times New Roman"/>
        </w:rPr>
        <w:t>本文基本结论受遗漏变量影响较小。</w:t>
      </w:r>
    </w:p>
    <w:p w14:paraId="461588FB" w14:textId="77777777" w:rsidR="008E2506" w:rsidRDefault="008E2506" w:rsidP="002161D4">
      <w:pPr>
        <w:ind w:firstLine="396"/>
      </w:pP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C91F39" w:rsidRPr="00C70417" w14:paraId="346A2F23" w14:textId="77777777" w:rsidTr="00C91F39">
        <w:tc>
          <w:tcPr>
            <w:tcW w:w="5000" w:type="pct"/>
          </w:tcPr>
          <w:p w14:paraId="46C8BB73" w14:textId="1E946668" w:rsidR="00C91F39" w:rsidRDefault="00CA73B0" w:rsidP="00BA363F">
            <w:pPr>
              <w:keepNext/>
              <w:keepLines/>
              <w:ind w:firstLineChars="0" w:firstLine="0"/>
              <w:jc w:val="center"/>
              <w:rPr>
                <w:rFonts w:ascii="黑体" w:eastAsia="黑体" w:hAnsi="黑体" w:cs="Times New Roman" w:hint="eastAsia"/>
                <w:color w:val="000000" w:themeColor="text1"/>
                <w:szCs w:val="21"/>
              </w:rPr>
            </w:pPr>
            <w:r w:rsidRPr="00CA73B0">
              <w:rPr>
                <w:rFonts w:ascii="黑体" w:eastAsia="黑体" w:hAnsi="黑体" w:cs="Times New Roman" w:hint="eastAsia"/>
                <w:noProof/>
                <w:color w:val="000000" w:themeColor="text1"/>
                <w:szCs w:val="21"/>
              </w:rPr>
              <w:lastRenderedPageBreak/>
              <w:drawing>
                <wp:inline distT="0" distB="0" distL="0" distR="0" wp14:anchorId="43C976E5" wp14:editId="4386E319">
                  <wp:extent cx="3394364" cy="2468628"/>
                  <wp:effectExtent l="0" t="0" r="0" b="8255"/>
                  <wp:docPr id="1407361034"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6097" cy="2469888"/>
                          </a:xfrm>
                          <a:prstGeom prst="rect">
                            <a:avLst/>
                          </a:prstGeom>
                          <a:noFill/>
                          <a:ln>
                            <a:noFill/>
                          </a:ln>
                        </pic:spPr>
                      </pic:pic>
                    </a:graphicData>
                  </a:graphic>
                </wp:inline>
              </w:drawing>
            </w:r>
          </w:p>
        </w:tc>
      </w:tr>
      <w:tr w:rsidR="00C91F39" w:rsidRPr="00C70417" w14:paraId="51FEFA28" w14:textId="77777777" w:rsidTr="00C91F39">
        <w:tc>
          <w:tcPr>
            <w:tcW w:w="5000" w:type="pct"/>
          </w:tcPr>
          <w:p w14:paraId="1E29169F" w14:textId="4C24BDF2" w:rsidR="00C91F39" w:rsidRDefault="001637E4" w:rsidP="00BA363F">
            <w:pPr>
              <w:keepNext/>
              <w:keepLines/>
              <w:ind w:firstLineChars="0" w:firstLine="0"/>
              <w:jc w:val="center"/>
              <w:rPr>
                <w:rFonts w:ascii="黑体" w:eastAsia="黑体" w:hAnsi="黑体" w:cs="Times New Roman" w:hint="eastAsia"/>
                <w:color w:val="000000" w:themeColor="text1"/>
                <w:szCs w:val="21"/>
              </w:rPr>
            </w:pPr>
            <w:r>
              <w:rPr>
                <w:rFonts w:ascii="黑体" w:eastAsia="黑体" w:hAnsi="黑体" w:cs="Times New Roman" w:hint="eastAsia"/>
                <w:color w:val="000000" w:themeColor="text1"/>
                <w:szCs w:val="21"/>
              </w:rPr>
              <w:t>附</w:t>
            </w:r>
            <w:r w:rsidR="00C91F39" w:rsidRPr="00C70417">
              <w:rPr>
                <w:rFonts w:ascii="黑体" w:eastAsia="黑体" w:hAnsi="黑体" w:cs="Times New Roman" w:hint="eastAsia"/>
                <w:color w:val="000000" w:themeColor="text1"/>
                <w:szCs w:val="21"/>
              </w:rPr>
              <w:t>图8  安慰剂检验</w:t>
            </w:r>
          </w:p>
        </w:tc>
      </w:tr>
    </w:tbl>
    <w:p w14:paraId="67DF0042" w14:textId="77777777" w:rsidR="00035F4D" w:rsidRDefault="00035F4D" w:rsidP="00C656E7">
      <w:pPr>
        <w:ind w:firstLine="396"/>
      </w:pPr>
    </w:p>
    <w:p w14:paraId="48E5A233" w14:textId="177667B6" w:rsidR="00035F4D" w:rsidRDefault="00AC7B4C" w:rsidP="000D5FBB">
      <w:pPr>
        <w:pStyle w:val="3"/>
        <w:numPr>
          <w:ilvl w:val="0"/>
          <w:numId w:val="14"/>
        </w:numPr>
        <w:ind w:left="756"/>
      </w:pPr>
      <w:r>
        <w:rPr>
          <w:rFonts w:hint="eastAsia"/>
        </w:rPr>
        <w:t>其他政策冲击排除</w:t>
      </w:r>
    </w:p>
    <w:p w14:paraId="302CA034" w14:textId="37023048" w:rsidR="007206E7" w:rsidRDefault="008665C0" w:rsidP="00BA363F">
      <w:pPr>
        <w:ind w:firstLine="396"/>
        <w:rPr>
          <w:rFonts w:cs="Times New Roman"/>
          <w:szCs w:val="21"/>
        </w:rPr>
      </w:pPr>
      <w:r w:rsidRPr="00FB6599">
        <w:rPr>
          <w:rFonts w:cs="Times New Roman"/>
        </w:rPr>
        <w:t>为排除样本统计期间其他政策冲击对基本结论的影响，本文进行以下检验：</w:t>
      </w:r>
      <w:r w:rsidR="00862D77">
        <w:rPr>
          <w:rFonts w:ascii="宋体" w:hAnsi="宋体" w:cs="Times New Roman" w:hint="eastAsia"/>
        </w:rPr>
        <w:t>①</w:t>
      </w:r>
      <w:r w:rsidR="00A100B0" w:rsidRPr="00FB6599">
        <w:rPr>
          <w:rFonts w:cs="Times New Roman"/>
        </w:rPr>
        <w:t>宋小宁等</w:t>
      </w:r>
      <w:r w:rsidR="00F673AD">
        <w:rPr>
          <w:rFonts w:cs="Times New Roman"/>
          <w:color w:val="080000"/>
          <w:kern w:val="0"/>
          <w:szCs w:val="21"/>
        </w:rPr>
        <w:t>（</w:t>
      </w:r>
      <w:r w:rsidR="003B7804" w:rsidRPr="00FB6599">
        <w:rPr>
          <w:rFonts w:cs="Times New Roman"/>
          <w:color w:val="080000"/>
          <w:kern w:val="0"/>
          <w:szCs w:val="21"/>
        </w:rPr>
        <w:t>2023</w:t>
      </w:r>
      <w:r w:rsidR="00F673AD">
        <w:rPr>
          <w:rFonts w:cs="Times New Roman"/>
          <w:color w:val="080000"/>
          <w:kern w:val="0"/>
          <w:szCs w:val="21"/>
        </w:rPr>
        <w:t>）</w:t>
      </w:r>
      <w:r w:rsidR="00A100B0" w:rsidRPr="00FB6599">
        <w:rPr>
          <w:rFonts w:cs="Times New Roman"/>
        </w:rPr>
        <w:t>的研究指出，中央在地方设立巡回法庭有效提升了当地司法质量，从而</w:t>
      </w:r>
      <w:r w:rsidR="001E1E5D">
        <w:rPr>
          <w:rFonts w:cs="Times New Roman" w:hint="eastAsia"/>
        </w:rPr>
        <w:t>推动</w:t>
      </w:r>
      <w:r w:rsidR="00A100B0" w:rsidRPr="00FB6599">
        <w:rPr>
          <w:rFonts w:cs="Times New Roman"/>
        </w:rPr>
        <w:t>了企业在巡</w:t>
      </w:r>
      <w:r w:rsidR="00EF6FA5">
        <w:rPr>
          <w:rFonts w:cs="Times New Roman" w:hint="eastAsia"/>
        </w:rPr>
        <w:t>回</w:t>
      </w:r>
      <w:r w:rsidR="00A100B0" w:rsidRPr="00FB6599">
        <w:rPr>
          <w:rFonts w:cs="Times New Roman"/>
        </w:rPr>
        <w:t>区域的异地投资活动。因此，参考宋小宁等</w:t>
      </w:r>
      <w:r w:rsidR="00F673AD">
        <w:rPr>
          <w:rFonts w:cs="Times New Roman"/>
          <w:color w:val="080000"/>
          <w:kern w:val="0"/>
          <w:szCs w:val="21"/>
        </w:rPr>
        <w:t>（</w:t>
      </w:r>
      <w:r w:rsidR="003B7804" w:rsidRPr="00FB6599">
        <w:rPr>
          <w:rFonts w:cs="Times New Roman"/>
          <w:color w:val="080000"/>
          <w:kern w:val="0"/>
          <w:szCs w:val="21"/>
        </w:rPr>
        <w:t>2023</w:t>
      </w:r>
      <w:r w:rsidR="00F673AD">
        <w:rPr>
          <w:rFonts w:cs="Times New Roman"/>
          <w:color w:val="080000"/>
          <w:kern w:val="0"/>
          <w:szCs w:val="21"/>
        </w:rPr>
        <w:t>）</w:t>
      </w:r>
      <w:r w:rsidR="00A100B0" w:rsidRPr="00FB6599">
        <w:rPr>
          <w:rFonts w:cs="Times New Roman"/>
        </w:rPr>
        <w:t>的做法，本文将</w:t>
      </w:r>
      <w:r w:rsidR="00EA484C" w:rsidRPr="00FB6599">
        <w:rPr>
          <w:rFonts w:cs="Times New Roman"/>
        </w:rPr>
        <w:t>标的企业</w:t>
      </w:r>
      <w:r w:rsidR="00A100B0" w:rsidRPr="00FB6599">
        <w:rPr>
          <w:rFonts w:cs="Times New Roman"/>
        </w:rPr>
        <w:t>所在</w:t>
      </w:r>
      <w:proofErr w:type="gramStart"/>
      <w:r w:rsidR="00A100B0" w:rsidRPr="00FB6599">
        <w:rPr>
          <w:rFonts w:cs="Times New Roman"/>
        </w:rPr>
        <w:t>省是否</w:t>
      </w:r>
      <w:proofErr w:type="gramEnd"/>
      <w:r w:rsidR="00A100B0" w:rsidRPr="00FB6599">
        <w:rPr>
          <w:rFonts w:cs="Times New Roman"/>
        </w:rPr>
        <w:t>设置巡回法庭</w:t>
      </w:r>
      <w:r w:rsidR="00A100B0" w:rsidRPr="00FB6599">
        <w:rPr>
          <w:rFonts w:cs="Times New Roman"/>
          <w:szCs w:val="21"/>
        </w:rPr>
        <w:t>（</w:t>
      </w:r>
      <m:oMath>
        <m:r>
          <w:rPr>
            <w:rFonts w:ascii="Cambria Math" w:hAnsi="Cambria Math" w:cs="Times New Roman"/>
            <w:szCs w:val="21"/>
          </w:rPr>
          <m:t>Court×T</m:t>
        </m:r>
      </m:oMath>
      <w:r w:rsidR="00A100B0" w:rsidRPr="00FB6599">
        <w:rPr>
          <w:rFonts w:cs="Times New Roman"/>
          <w:szCs w:val="21"/>
        </w:rPr>
        <w:t>）与是否上线</w:t>
      </w:r>
      <w:r w:rsidR="00437641" w:rsidRPr="00FB6599">
        <w:rPr>
          <w:rFonts w:cs="Times New Roman"/>
          <w:szCs w:val="21"/>
        </w:rPr>
        <w:t>公共数据开放平台</w:t>
      </w:r>
      <w:r w:rsidR="00A100B0" w:rsidRPr="00FB6599">
        <w:rPr>
          <w:rFonts w:cs="Times New Roman"/>
          <w:szCs w:val="21"/>
        </w:rPr>
        <w:t>同时纳入回归</w:t>
      </w:r>
      <w:r w:rsidR="009C5319" w:rsidRPr="00FB6599">
        <w:rPr>
          <w:rFonts w:cs="Times New Roman"/>
          <w:szCs w:val="21"/>
        </w:rPr>
        <w:t>。</w:t>
      </w:r>
      <w:r w:rsidR="00B53930">
        <w:rPr>
          <w:rStyle w:val="a8"/>
          <w:szCs w:val="21"/>
        </w:rPr>
        <w:footnoteReference w:id="1"/>
      </w:r>
      <w:r w:rsidR="00862D77">
        <w:rPr>
          <w:rFonts w:ascii="宋体" w:hAnsi="宋体" w:cs="Times New Roman" w:hint="eastAsia"/>
          <w:szCs w:val="21"/>
        </w:rPr>
        <w:t>②</w:t>
      </w:r>
      <w:r w:rsidR="00F7089C" w:rsidRPr="00FB6599">
        <w:rPr>
          <w:rFonts w:cs="Times New Roman"/>
          <w:szCs w:val="21"/>
        </w:rPr>
        <w:t>吴育辉等</w:t>
      </w:r>
      <w:r w:rsidR="00F673AD">
        <w:rPr>
          <w:rFonts w:cs="Times New Roman"/>
          <w:color w:val="080000"/>
          <w:kern w:val="0"/>
          <w:szCs w:val="21"/>
        </w:rPr>
        <w:t>（</w:t>
      </w:r>
      <w:r w:rsidR="003B7804" w:rsidRPr="00FB6599">
        <w:rPr>
          <w:rFonts w:cs="Times New Roman"/>
          <w:color w:val="080000"/>
          <w:kern w:val="0"/>
          <w:szCs w:val="21"/>
        </w:rPr>
        <w:t>2023</w:t>
      </w:r>
      <w:r w:rsidR="00F673AD">
        <w:rPr>
          <w:rFonts w:cs="Times New Roman"/>
          <w:color w:val="080000"/>
          <w:kern w:val="0"/>
          <w:szCs w:val="21"/>
        </w:rPr>
        <w:t>）</w:t>
      </w:r>
      <w:r w:rsidR="00F7089C" w:rsidRPr="00FB6599">
        <w:rPr>
          <w:rFonts w:cs="Times New Roman"/>
          <w:szCs w:val="21"/>
        </w:rPr>
        <w:t>的研究表明</w:t>
      </w:r>
      <w:r w:rsidR="0075640E" w:rsidRPr="0075640E">
        <w:rPr>
          <w:rFonts w:ascii="宋体" w:hAnsi="宋体" w:hint="eastAsia"/>
          <w:bCs/>
          <w:szCs w:val="21"/>
        </w:rPr>
        <w:t>“</w:t>
      </w:r>
      <w:r w:rsidR="00F7089C" w:rsidRPr="00FB6599">
        <w:rPr>
          <w:rFonts w:cs="Times New Roman"/>
          <w:szCs w:val="21"/>
        </w:rPr>
        <w:t>一带一路</w:t>
      </w:r>
      <w:r w:rsidR="006C0633" w:rsidRPr="006C0633">
        <w:rPr>
          <w:rFonts w:cs="Times New Roman" w:hint="eastAsia"/>
          <w:bCs/>
          <w:szCs w:val="21"/>
        </w:rPr>
        <w:t>”</w:t>
      </w:r>
      <w:r w:rsidR="00F7089C" w:rsidRPr="00FB6599">
        <w:rPr>
          <w:rFonts w:cs="Times New Roman"/>
          <w:szCs w:val="21"/>
        </w:rPr>
        <w:t>倡议的实施使当地企业被异地并购的概率提高。因此，参考吴育辉等</w:t>
      </w:r>
      <w:r w:rsidR="00F673AD">
        <w:rPr>
          <w:rFonts w:cs="Times New Roman"/>
          <w:color w:val="080000"/>
          <w:kern w:val="0"/>
          <w:szCs w:val="21"/>
        </w:rPr>
        <w:t>（</w:t>
      </w:r>
      <w:r w:rsidR="003B7804" w:rsidRPr="00FB6599">
        <w:rPr>
          <w:rFonts w:cs="Times New Roman"/>
          <w:color w:val="080000"/>
          <w:kern w:val="0"/>
          <w:szCs w:val="21"/>
        </w:rPr>
        <w:t>2023</w:t>
      </w:r>
      <w:r w:rsidR="00F673AD">
        <w:rPr>
          <w:rFonts w:cs="Times New Roman"/>
          <w:color w:val="080000"/>
          <w:kern w:val="0"/>
          <w:szCs w:val="21"/>
        </w:rPr>
        <w:t>）</w:t>
      </w:r>
      <w:r w:rsidR="00F7089C" w:rsidRPr="00FB6599">
        <w:rPr>
          <w:rFonts w:cs="Times New Roman"/>
          <w:szCs w:val="21"/>
        </w:rPr>
        <w:t>的做法，本文将</w:t>
      </w:r>
      <w:r w:rsidR="00EA484C" w:rsidRPr="00FB6599">
        <w:rPr>
          <w:rFonts w:cs="Times New Roman"/>
          <w:szCs w:val="21"/>
        </w:rPr>
        <w:t>标的企业</w:t>
      </w:r>
      <w:r w:rsidR="00F7089C" w:rsidRPr="00FB6599">
        <w:rPr>
          <w:rFonts w:cs="Times New Roman"/>
          <w:szCs w:val="21"/>
        </w:rPr>
        <w:t>所在</w:t>
      </w:r>
      <w:proofErr w:type="gramStart"/>
      <w:r w:rsidR="00F7089C" w:rsidRPr="00FB6599">
        <w:rPr>
          <w:rFonts w:cs="Times New Roman"/>
          <w:szCs w:val="21"/>
        </w:rPr>
        <w:t>省是否</w:t>
      </w:r>
      <w:proofErr w:type="gramEnd"/>
      <w:r w:rsidR="00F7089C" w:rsidRPr="00FB6599">
        <w:rPr>
          <w:rFonts w:cs="Times New Roman"/>
          <w:szCs w:val="21"/>
        </w:rPr>
        <w:t>属于</w:t>
      </w:r>
      <w:r w:rsidR="00F7089C" w:rsidRPr="00FB6599">
        <w:rPr>
          <w:rFonts w:cs="Times New Roman"/>
          <w:szCs w:val="21"/>
        </w:rPr>
        <w:t>18</w:t>
      </w:r>
      <w:r w:rsidR="00F7089C" w:rsidRPr="00FB6599">
        <w:rPr>
          <w:rFonts w:cs="Times New Roman"/>
          <w:szCs w:val="21"/>
        </w:rPr>
        <w:t>个</w:t>
      </w:r>
      <w:r w:rsidR="0075640E" w:rsidRPr="0075640E">
        <w:rPr>
          <w:rFonts w:ascii="宋体" w:hAnsi="宋体" w:hint="eastAsia"/>
          <w:bCs/>
          <w:szCs w:val="21"/>
        </w:rPr>
        <w:t>“</w:t>
      </w:r>
      <w:r w:rsidR="00F7089C" w:rsidRPr="00FB6599">
        <w:rPr>
          <w:rFonts w:cs="Times New Roman"/>
          <w:szCs w:val="21"/>
        </w:rPr>
        <w:t>一带一路</w:t>
      </w:r>
      <w:r w:rsidR="0075640E" w:rsidRPr="0075640E">
        <w:rPr>
          <w:rFonts w:ascii="宋体" w:hAnsi="宋体" w:cs="Times New Roman"/>
          <w:bCs/>
        </w:rPr>
        <w:t>”</w:t>
      </w:r>
      <w:r w:rsidR="00F7089C" w:rsidRPr="00FB6599">
        <w:rPr>
          <w:rFonts w:cs="Times New Roman"/>
          <w:szCs w:val="21"/>
        </w:rPr>
        <w:t>重点实施省份（</w:t>
      </w:r>
      <m:oMath>
        <m:r>
          <w:rPr>
            <w:rFonts w:ascii="Cambria Math" w:hAnsi="Cambria Math" w:cs="Times New Roman"/>
            <w:szCs w:val="21"/>
          </w:rPr>
          <m:t>Belt×T</m:t>
        </m:r>
      </m:oMath>
      <w:r w:rsidR="00F7089C" w:rsidRPr="00FB6599">
        <w:rPr>
          <w:rFonts w:cs="Times New Roman"/>
          <w:szCs w:val="21"/>
        </w:rPr>
        <w:t>）与是否上线</w:t>
      </w:r>
      <w:r w:rsidR="00437641" w:rsidRPr="00FB6599">
        <w:rPr>
          <w:rFonts w:cs="Times New Roman"/>
          <w:szCs w:val="21"/>
        </w:rPr>
        <w:t>公共数据开放平台</w:t>
      </w:r>
      <w:r w:rsidR="00F7089C" w:rsidRPr="00FB6599">
        <w:rPr>
          <w:rFonts w:cs="Times New Roman"/>
          <w:szCs w:val="21"/>
        </w:rPr>
        <w:t>同时纳入回归。</w:t>
      </w:r>
      <w:r w:rsidR="00B53930">
        <w:rPr>
          <w:rStyle w:val="a8"/>
          <w:rFonts w:cs="Times New Roman"/>
          <w:kern w:val="0"/>
          <w:sz w:val="18"/>
          <w:szCs w:val="18"/>
        </w:rPr>
        <w:footnoteReference w:id="2"/>
      </w:r>
      <w:r w:rsidR="00862D77">
        <w:rPr>
          <w:rFonts w:ascii="宋体" w:hAnsi="宋体" w:cs="Times New Roman" w:hint="eastAsia"/>
          <w:szCs w:val="21"/>
        </w:rPr>
        <w:t>③</w:t>
      </w:r>
      <w:r w:rsidR="005845B2" w:rsidRPr="00FB6599">
        <w:rPr>
          <w:rFonts w:cs="Times New Roman"/>
          <w:szCs w:val="21"/>
        </w:rPr>
        <w:t>参照方锦程等</w:t>
      </w:r>
      <w:r w:rsidR="00F673AD">
        <w:rPr>
          <w:rFonts w:cs="Times New Roman"/>
          <w:color w:val="080000"/>
          <w:kern w:val="0"/>
          <w:szCs w:val="21"/>
        </w:rPr>
        <w:t>（</w:t>
      </w:r>
      <w:r w:rsidR="003B7804" w:rsidRPr="00FB6599">
        <w:rPr>
          <w:rFonts w:cs="Times New Roman"/>
          <w:color w:val="080000"/>
          <w:kern w:val="0"/>
          <w:szCs w:val="21"/>
        </w:rPr>
        <w:t>2023</w:t>
      </w:r>
      <w:r w:rsidR="00F673AD">
        <w:rPr>
          <w:rFonts w:cs="Times New Roman"/>
          <w:color w:val="080000"/>
          <w:kern w:val="0"/>
          <w:szCs w:val="21"/>
        </w:rPr>
        <w:t>）</w:t>
      </w:r>
      <w:r w:rsidR="005845B2" w:rsidRPr="00FB6599">
        <w:rPr>
          <w:rFonts w:cs="Times New Roman"/>
          <w:szCs w:val="21"/>
        </w:rPr>
        <w:t>的做法，将</w:t>
      </w:r>
      <w:r w:rsidR="00EA484C" w:rsidRPr="00FB6599">
        <w:rPr>
          <w:rFonts w:cs="Times New Roman"/>
          <w:szCs w:val="21"/>
        </w:rPr>
        <w:t>标的企业</w:t>
      </w:r>
      <w:r w:rsidR="005845B2" w:rsidRPr="00FB6599">
        <w:rPr>
          <w:rFonts w:cs="Times New Roman"/>
          <w:szCs w:val="21"/>
        </w:rPr>
        <w:t>所在</w:t>
      </w:r>
      <w:r w:rsidR="00C92D7B" w:rsidRPr="00FB6599">
        <w:rPr>
          <w:rFonts w:cs="Times New Roman"/>
          <w:szCs w:val="21"/>
        </w:rPr>
        <w:t>城市是否</w:t>
      </w:r>
      <w:r w:rsidR="007C1859" w:rsidRPr="00FB6599">
        <w:rPr>
          <w:rFonts w:cs="Times New Roman"/>
          <w:szCs w:val="21"/>
        </w:rPr>
        <w:t>实施</w:t>
      </w:r>
      <w:r w:rsidR="0075640E" w:rsidRPr="0075640E">
        <w:rPr>
          <w:rFonts w:ascii="宋体" w:hAnsi="宋体" w:hint="eastAsia"/>
          <w:bCs/>
          <w:szCs w:val="21"/>
        </w:rPr>
        <w:t>“</w:t>
      </w:r>
      <w:r w:rsidR="007C1859" w:rsidRPr="00FB6599">
        <w:rPr>
          <w:rFonts w:cs="Times New Roman"/>
          <w:szCs w:val="21"/>
        </w:rPr>
        <w:t>互联网</w:t>
      </w:r>
      <w:r w:rsidR="007C1859" w:rsidRPr="00FB6599">
        <w:rPr>
          <w:rFonts w:cs="Times New Roman"/>
          <w:szCs w:val="21"/>
        </w:rPr>
        <w:t>+</w:t>
      </w:r>
      <w:r w:rsidR="0075640E" w:rsidRPr="0075640E">
        <w:rPr>
          <w:rFonts w:ascii="宋体" w:hAnsi="宋体" w:cs="Times New Roman"/>
          <w:bCs/>
        </w:rPr>
        <w:t>”</w:t>
      </w:r>
      <w:r w:rsidR="007C1859" w:rsidRPr="00FB6599">
        <w:rPr>
          <w:rFonts w:cs="Times New Roman"/>
          <w:szCs w:val="21"/>
        </w:rPr>
        <w:t>政务服务</w:t>
      </w:r>
      <w:r w:rsidR="00247217" w:rsidRPr="00FB6599">
        <w:rPr>
          <w:rFonts w:cs="Times New Roman"/>
          <w:szCs w:val="21"/>
        </w:rPr>
        <w:t>（</w:t>
      </w:r>
      <m:oMath>
        <m:r>
          <w:rPr>
            <w:rFonts w:ascii="Cambria Math" w:hAnsi="Cambria Math" w:cs="Times New Roman"/>
            <w:szCs w:val="21"/>
          </w:rPr>
          <m:t>Internet×T</m:t>
        </m:r>
      </m:oMath>
      <w:r w:rsidR="00247217" w:rsidRPr="00FB6599">
        <w:rPr>
          <w:rFonts w:cs="Times New Roman"/>
          <w:szCs w:val="21"/>
        </w:rPr>
        <w:t>）</w:t>
      </w:r>
      <w:r w:rsidR="007C1859" w:rsidRPr="00FB6599">
        <w:rPr>
          <w:rFonts w:cs="Times New Roman"/>
          <w:szCs w:val="21"/>
        </w:rPr>
        <w:t>与是否上线</w:t>
      </w:r>
      <w:r w:rsidR="00437641" w:rsidRPr="00FB6599">
        <w:rPr>
          <w:rFonts w:cs="Times New Roman"/>
          <w:szCs w:val="21"/>
        </w:rPr>
        <w:t>公共数据开放平台</w:t>
      </w:r>
      <w:r w:rsidR="007C1859" w:rsidRPr="00FB6599">
        <w:rPr>
          <w:rFonts w:cs="Times New Roman"/>
          <w:szCs w:val="21"/>
        </w:rPr>
        <w:t>同时纳入回归，以控制政务服务信息化带来的影响。</w:t>
      </w:r>
      <w:r w:rsidR="00862D77">
        <w:rPr>
          <w:rFonts w:ascii="宋体" w:hAnsi="宋体" w:cs="Times New Roman" w:hint="eastAsia"/>
          <w:szCs w:val="21"/>
        </w:rPr>
        <w:t>④</w:t>
      </w:r>
      <w:r w:rsidR="007C1859" w:rsidRPr="00FB6599">
        <w:rPr>
          <w:rFonts w:cs="Times New Roman"/>
          <w:szCs w:val="21"/>
        </w:rPr>
        <w:t>参照</w:t>
      </w:r>
      <w:r w:rsidR="00325F3B" w:rsidRPr="00FB6599">
        <w:rPr>
          <w:rFonts w:cs="Times New Roman"/>
          <w:szCs w:val="21"/>
        </w:rPr>
        <w:t>焦豪等</w:t>
      </w:r>
      <w:r w:rsidR="00F673AD">
        <w:rPr>
          <w:rFonts w:cs="Times New Roman"/>
          <w:color w:val="080000"/>
          <w:kern w:val="0"/>
          <w:szCs w:val="21"/>
        </w:rPr>
        <w:t>（</w:t>
      </w:r>
      <w:r w:rsidR="003B7804" w:rsidRPr="00FB6599">
        <w:rPr>
          <w:rFonts w:cs="Times New Roman"/>
          <w:color w:val="080000"/>
          <w:kern w:val="0"/>
          <w:szCs w:val="21"/>
        </w:rPr>
        <w:t>2023</w:t>
      </w:r>
      <w:r w:rsidR="00F673AD">
        <w:rPr>
          <w:rFonts w:cs="Times New Roman"/>
          <w:color w:val="080000"/>
          <w:kern w:val="0"/>
          <w:szCs w:val="21"/>
        </w:rPr>
        <w:t>）</w:t>
      </w:r>
      <w:r w:rsidR="00325F3B" w:rsidRPr="00FB6599">
        <w:rPr>
          <w:rFonts w:cs="Times New Roman"/>
          <w:szCs w:val="21"/>
        </w:rPr>
        <w:t>的做法，将</w:t>
      </w:r>
      <w:r w:rsidR="00EA484C" w:rsidRPr="00FB6599">
        <w:rPr>
          <w:rFonts w:cs="Times New Roman"/>
          <w:szCs w:val="21"/>
        </w:rPr>
        <w:t>标的企业</w:t>
      </w:r>
      <w:r w:rsidR="00325F3B" w:rsidRPr="00FB6599">
        <w:rPr>
          <w:rFonts w:cs="Times New Roman"/>
          <w:szCs w:val="21"/>
        </w:rPr>
        <w:t>所在城市是否实施</w:t>
      </w:r>
      <w:r w:rsidR="0075640E" w:rsidRPr="0075640E">
        <w:rPr>
          <w:rFonts w:ascii="宋体" w:hAnsi="宋体" w:hint="eastAsia"/>
          <w:bCs/>
          <w:szCs w:val="21"/>
        </w:rPr>
        <w:t>“</w:t>
      </w:r>
      <w:r w:rsidR="00325F3B" w:rsidRPr="00FB6599">
        <w:rPr>
          <w:rFonts w:cs="Times New Roman"/>
          <w:szCs w:val="21"/>
        </w:rPr>
        <w:t>宽带中国</w:t>
      </w:r>
      <w:r w:rsidR="0075640E" w:rsidRPr="0075640E">
        <w:rPr>
          <w:rFonts w:ascii="宋体" w:hAnsi="宋体" w:cs="Times New Roman"/>
          <w:bCs/>
        </w:rPr>
        <w:t>”</w:t>
      </w:r>
      <w:r w:rsidR="00325F3B" w:rsidRPr="00FB6599">
        <w:rPr>
          <w:rFonts w:cs="Times New Roman"/>
          <w:szCs w:val="21"/>
        </w:rPr>
        <w:t>试点政策</w:t>
      </w:r>
      <w:r w:rsidR="002C4E21" w:rsidRPr="00FB6599">
        <w:rPr>
          <w:rFonts w:cs="Times New Roman"/>
          <w:szCs w:val="21"/>
        </w:rPr>
        <w:t>（</w:t>
      </w:r>
      <m:oMath>
        <m:r>
          <w:rPr>
            <w:rFonts w:ascii="Cambria Math" w:hAnsi="Cambria Math" w:cs="Times New Roman"/>
            <w:szCs w:val="21"/>
          </w:rPr>
          <m:t>Broadband×T</m:t>
        </m:r>
      </m:oMath>
      <w:r w:rsidR="002C4E21" w:rsidRPr="00FB6599">
        <w:rPr>
          <w:rFonts w:cs="Times New Roman"/>
          <w:szCs w:val="21"/>
        </w:rPr>
        <w:t>）</w:t>
      </w:r>
      <w:r w:rsidR="00325F3B" w:rsidRPr="00FB6599">
        <w:rPr>
          <w:rFonts w:cs="Times New Roman"/>
          <w:szCs w:val="21"/>
        </w:rPr>
        <w:t>与是否上线</w:t>
      </w:r>
      <w:r w:rsidR="00437641" w:rsidRPr="00FB6599">
        <w:rPr>
          <w:rFonts w:cs="Times New Roman"/>
          <w:szCs w:val="21"/>
        </w:rPr>
        <w:t>公共数据开放平台</w:t>
      </w:r>
      <w:r w:rsidR="00325F3B" w:rsidRPr="00FB6599">
        <w:rPr>
          <w:rFonts w:cs="Times New Roman"/>
          <w:szCs w:val="21"/>
        </w:rPr>
        <w:t>同时纳入回归，以控制数字基础设施建设带来的影响。</w:t>
      </w:r>
      <w:r w:rsidR="00862D77">
        <w:rPr>
          <w:rFonts w:ascii="宋体" w:hAnsi="宋体" w:cs="Times New Roman" w:hint="eastAsia"/>
          <w:szCs w:val="21"/>
        </w:rPr>
        <w:t>⑤</w:t>
      </w:r>
      <w:r w:rsidR="00247217" w:rsidRPr="00FB6599">
        <w:rPr>
          <w:rFonts w:cs="Times New Roman"/>
          <w:szCs w:val="21"/>
        </w:rPr>
        <w:t>将</w:t>
      </w:r>
      <w:r w:rsidR="00EA484C" w:rsidRPr="00FB6599">
        <w:rPr>
          <w:rFonts w:cs="Times New Roman"/>
          <w:szCs w:val="21"/>
        </w:rPr>
        <w:t>标的企业</w:t>
      </w:r>
      <w:r w:rsidR="00247217" w:rsidRPr="00FB6599">
        <w:rPr>
          <w:rFonts w:cs="Times New Roman"/>
          <w:szCs w:val="21"/>
        </w:rPr>
        <w:t>所在城市是否建立数据交易平台</w:t>
      </w:r>
      <w:r w:rsidR="002C4E21" w:rsidRPr="00FB6599">
        <w:rPr>
          <w:rFonts w:cs="Times New Roman"/>
          <w:szCs w:val="21"/>
        </w:rPr>
        <w:t>（</w:t>
      </w:r>
      <m:oMath>
        <m:r>
          <w:rPr>
            <w:rFonts w:ascii="Cambria Math" w:hAnsi="Cambria Math" w:cs="Times New Roman"/>
            <w:szCs w:val="21"/>
          </w:rPr>
          <m:t>Market×T</m:t>
        </m:r>
      </m:oMath>
      <w:r w:rsidR="002C4E21" w:rsidRPr="00FB6599">
        <w:rPr>
          <w:rFonts w:cs="Times New Roman"/>
          <w:szCs w:val="21"/>
        </w:rPr>
        <w:t>）</w:t>
      </w:r>
      <w:r w:rsidR="00247217" w:rsidRPr="00FB6599">
        <w:rPr>
          <w:rFonts w:cs="Times New Roman"/>
          <w:szCs w:val="21"/>
        </w:rPr>
        <w:t>与是否上线</w:t>
      </w:r>
      <w:r w:rsidR="00437641" w:rsidRPr="00FB6599">
        <w:rPr>
          <w:rFonts w:cs="Times New Roman"/>
          <w:szCs w:val="21"/>
        </w:rPr>
        <w:t>公共数据开放平台</w:t>
      </w:r>
      <w:r w:rsidR="00247217" w:rsidRPr="00FB6599">
        <w:rPr>
          <w:rFonts w:cs="Times New Roman"/>
          <w:szCs w:val="21"/>
        </w:rPr>
        <w:t>同时纳入回归，以控制</w:t>
      </w:r>
      <w:r w:rsidR="002C4E21" w:rsidRPr="00FB6599">
        <w:rPr>
          <w:rFonts w:cs="Times New Roman"/>
          <w:szCs w:val="21"/>
        </w:rPr>
        <w:t>数据要素流通</w:t>
      </w:r>
      <w:r w:rsidR="00247217" w:rsidRPr="00FB6599">
        <w:rPr>
          <w:rFonts w:cs="Times New Roman"/>
          <w:szCs w:val="21"/>
        </w:rPr>
        <w:t>带来的影响。</w:t>
      </w:r>
      <w:r w:rsidR="00A82887">
        <w:rPr>
          <w:rFonts w:ascii="宋体" w:hAnsi="宋体" w:cs="Times New Roman" w:hint="eastAsia"/>
          <w:szCs w:val="21"/>
        </w:rPr>
        <w:t>⑥</w:t>
      </w:r>
      <w:r w:rsidR="004A0DCB" w:rsidRPr="00FB6599">
        <w:rPr>
          <w:rFonts w:cs="Times New Roman"/>
          <w:szCs w:val="21"/>
        </w:rPr>
        <w:t>参照</w:t>
      </w:r>
      <w:r w:rsidR="00355470" w:rsidRPr="00FB6599">
        <w:rPr>
          <w:rFonts w:cs="Times New Roman"/>
          <w:szCs w:val="21"/>
        </w:rPr>
        <w:t>孙伟增等</w:t>
      </w:r>
      <w:r w:rsidR="00F673AD">
        <w:rPr>
          <w:rFonts w:cs="Times New Roman"/>
          <w:color w:val="080000"/>
          <w:kern w:val="0"/>
          <w:szCs w:val="21"/>
        </w:rPr>
        <w:t>（</w:t>
      </w:r>
      <w:r w:rsidR="00C02744" w:rsidRPr="00FB6599">
        <w:rPr>
          <w:rFonts w:cs="Times New Roman"/>
          <w:color w:val="080000"/>
          <w:kern w:val="0"/>
          <w:szCs w:val="21"/>
        </w:rPr>
        <w:t>2023</w:t>
      </w:r>
      <w:r w:rsidR="00F673AD">
        <w:rPr>
          <w:rFonts w:cs="Times New Roman"/>
          <w:color w:val="080000"/>
          <w:kern w:val="0"/>
          <w:szCs w:val="21"/>
        </w:rPr>
        <w:t>）</w:t>
      </w:r>
      <w:r w:rsidR="00355470" w:rsidRPr="00FB6599">
        <w:rPr>
          <w:rFonts w:cs="Times New Roman"/>
          <w:szCs w:val="21"/>
        </w:rPr>
        <w:t>的做法，将</w:t>
      </w:r>
      <w:r w:rsidR="00EA484C" w:rsidRPr="00FB6599">
        <w:rPr>
          <w:rFonts w:cs="Times New Roman"/>
          <w:szCs w:val="21"/>
        </w:rPr>
        <w:t>标的企业</w:t>
      </w:r>
      <w:r w:rsidR="00355470" w:rsidRPr="00FB6599">
        <w:rPr>
          <w:rFonts w:cs="Times New Roman"/>
          <w:szCs w:val="21"/>
        </w:rPr>
        <w:t>所在城市是否属于大数据试验区（</w:t>
      </w:r>
      <m:oMath>
        <m:r>
          <w:rPr>
            <w:rFonts w:ascii="Cambria Math" w:hAnsi="Cambria Math" w:cs="Times New Roman"/>
            <w:szCs w:val="21"/>
          </w:rPr>
          <m:t>BigData×T</m:t>
        </m:r>
      </m:oMath>
      <w:r w:rsidR="00355470" w:rsidRPr="00FB6599">
        <w:rPr>
          <w:rFonts w:cs="Times New Roman"/>
          <w:szCs w:val="21"/>
        </w:rPr>
        <w:t>）与</w:t>
      </w:r>
      <w:r w:rsidR="007206E7">
        <w:rPr>
          <w:rFonts w:cs="Times New Roman" w:hint="eastAsia"/>
          <w:szCs w:val="21"/>
        </w:rPr>
        <w:t>是</w:t>
      </w:r>
      <w:r w:rsidR="00355470" w:rsidRPr="00FB6599">
        <w:rPr>
          <w:rFonts w:cs="Times New Roman"/>
          <w:szCs w:val="21"/>
        </w:rPr>
        <w:t>否上线</w:t>
      </w:r>
      <w:r w:rsidR="00437641" w:rsidRPr="00FB6599">
        <w:rPr>
          <w:rFonts w:cs="Times New Roman"/>
          <w:szCs w:val="21"/>
        </w:rPr>
        <w:t>公共数据开放平台</w:t>
      </w:r>
      <w:r w:rsidR="00355470" w:rsidRPr="00FB6599">
        <w:rPr>
          <w:rFonts w:cs="Times New Roman"/>
          <w:szCs w:val="21"/>
        </w:rPr>
        <w:t>同时纳入回归，以控制数字产业政策的影响。</w:t>
      </w:r>
      <w:r w:rsidR="002C4E21" w:rsidRPr="00FB6599">
        <w:rPr>
          <w:rFonts w:cs="Times New Roman"/>
          <w:szCs w:val="21"/>
        </w:rPr>
        <w:t>回归结果</w:t>
      </w:r>
      <w:proofErr w:type="gramStart"/>
      <w:r w:rsidR="002C4E21" w:rsidRPr="00FB6599">
        <w:rPr>
          <w:rFonts w:cs="Times New Roman"/>
          <w:szCs w:val="21"/>
        </w:rPr>
        <w:t>依次如</w:t>
      </w:r>
      <w:proofErr w:type="gramEnd"/>
      <w:r w:rsidR="00225734">
        <w:rPr>
          <w:rFonts w:cs="Times New Roman" w:hint="eastAsia"/>
          <w:szCs w:val="21"/>
        </w:rPr>
        <w:t>附表</w:t>
      </w:r>
      <w:r w:rsidR="00225734">
        <w:rPr>
          <w:rFonts w:cs="Times New Roman" w:hint="eastAsia"/>
          <w:szCs w:val="21"/>
        </w:rPr>
        <w:t>6</w:t>
      </w:r>
      <w:r w:rsidR="002C4E21" w:rsidRPr="00FB6599">
        <w:rPr>
          <w:rFonts w:cs="Times New Roman"/>
          <w:szCs w:val="21"/>
        </w:rPr>
        <w:t>第（</w:t>
      </w:r>
      <w:r w:rsidR="002C4E21" w:rsidRPr="00FB6599">
        <w:rPr>
          <w:rFonts w:cs="Times New Roman"/>
          <w:szCs w:val="21"/>
        </w:rPr>
        <w:t>1</w:t>
      </w:r>
      <w:r w:rsidR="002C4E21" w:rsidRPr="00FB6599">
        <w:rPr>
          <w:rFonts w:cs="Times New Roman"/>
          <w:szCs w:val="21"/>
        </w:rPr>
        <w:t>）</w:t>
      </w:r>
      <w:r w:rsidR="002C4E21" w:rsidRPr="00FB6599">
        <w:rPr>
          <w:rFonts w:cs="Times New Roman"/>
          <w:szCs w:val="21"/>
        </w:rPr>
        <w:t>-</w:t>
      </w:r>
      <w:r w:rsidR="002C4E21" w:rsidRPr="00FB6599">
        <w:rPr>
          <w:rFonts w:cs="Times New Roman"/>
          <w:szCs w:val="21"/>
        </w:rPr>
        <w:t>（</w:t>
      </w:r>
      <w:r w:rsidR="00355470" w:rsidRPr="00FB6599">
        <w:rPr>
          <w:rFonts w:cs="Times New Roman"/>
          <w:szCs w:val="21"/>
        </w:rPr>
        <w:t>6</w:t>
      </w:r>
      <w:r w:rsidR="002C4E21" w:rsidRPr="00FB6599">
        <w:rPr>
          <w:rFonts w:cs="Times New Roman"/>
          <w:szCs w:val="21"/>
        </w:rPr>
        <w:t>）列所示，</w:t>
      </w:r>
      <m:oMath>
        <m:r>
          <w:rPr>
            <w:rFonts w:ascii="Cambria Math" w:hAnsi="Cambria Math" w:cs="Times New Roman"/>
            <w:szCs w:val="21"/>
          </w:rPr>
          <m:t>D</m:t>
        </m:r>
        <m:r>
          <w:rPr>
            <w:rFonts w:ascii="Cambria Math" w:hAnsi="Cambria Math" w:cs="Times New Roman" w:hint="eastAsia"/>
            <w:szCs w:val="21"/>
          </w:rPr>
          <m:t>ata</m:t>
        </m:r>
        <m:r>
          <w:rPr>
            <w:rFonts w:ascii="Cambria Math" w:hAnsi="Cambria Math" w:cs="Times New Roman"/>
            <w:szCs w:val="21"/>
          </w:rPr>
          <m:t>×T</m:t>
        </m:r>
      </m:oMath>
      <w:r w:rsidR="002C4E21" w:rsidRPr="00FB6599">
        <w:rPr>
          <w:rFonts w:cs="Times New Roman"/>
          <w:szCs w:val="21"/>
        </w:rPr>
        <w:t>前系数仍在</w:t>
      </w:r>
      <w:r w:rsidR="002C4E21" w:rsidRPr="00FB6599">
        <w:rPr>
          <w:rFonts w:cs="Times New Roman"/>
        </w:rPr>
        <w:t>1%</w:t>
      </w:r>
      <w:r w:rsidR="00355470" w:rsidRPr="00FB6599">
        <w:rPr>
          <w:rFonts w:cs="Times New Roman"/>
        </w:rPr>
        <w:t>或</w:t>
      </w:r>
      <w:r w:rsidR="00355470" w:rsidRPr="00FB6599">
        <w:rPr>
          <w:rFonts w:cs="Times New Roman"/>
        </w:rPr>
        <w:t>5%</w:t>
      </w:r>
      <w:r w:rsidR="002C4E21" w:rsidRPr="00FB6599">
        <w:rPr>
          <w:rFonts w:cs="Times New Roman"/>
        </w:rPr>
        <w:t>的统计水平上显著为正，表明在排除其他政策冲击后，地方政府公共数据</w:t>
      </w:r>
      <w:proofErr w:type="gramStart"/>
      <w:r w:rsidR="002C4E21" w:rsidRPr="00FB6599">
        <w:rPr>
          <w:rFonts w:cs="Times New Roman"/>
        </w:rPr>
        <w:t>开放仍</w:t>
      </w:r>
      <w:proofErr w:type="gramEnd"/>
      <w:r w:rsidR="002C4E21" w:rsidRPr="00FB6599">
        <w:rPr>
          <w:rFonts w:cs="Times New Roman"/>
        </w:rPr>
        <w:t>显著</w:t>
      </w:r>
      <w:r w:rsidR="00C5780E">
        <w:rPr>
          <w:rFonts w:cs="Times New Roman" w:hint="eastAsia"/>
        </w:rPr>
        <w:t>拓展</w:t>
      </w:r>
      <w:r w:rsidR="002C4E21" w:rsidRPr="00FB6599">
        <w:rPr>
          <w:rFonts w:cs="Times New Roman"/>
        </w:rPr>
        <w:t>了异地并购地理距离分布。</w:t>
      </w:r>
    </w:p>
    <w:p w14:paraId="555ABB42" w14:textId="77777777" w:rsidR="00BA363F" w:rsidRPr="00BA363F" w:rsidRDefault="00BA363F" w:rsidP="00BA363F">
      <w:pPr>
        <w:ind w:firstLine="396"/>
        <w:rPr>
          <w:rFonts w:cs="Times New Roman"/>
          <w:szCs w:val="21"/>
        </w:rPr>
      </w:pPr>
    </w:p>
    <w:tbl>
      <w:tblPr>
        <w:tblStyle w:val="a5"/>
        <w:tblW w:w="0" w:type="auto"/>
        <w:jc w:val="center"/>
        <w:tblLook w:val="04A0" w:firstRow="1" w:lastRow="0" w:firstColumn="1" w:lastColumn="0" w:noHBand="0" w:noVBand="1"/>
      </w:tblPr>
      <w:tblGrid>
        <w:gridCol w:w="1317"/>
        <w:gridCol w:w="927"/>
        <w:gridCol w:w="927"/>
        <w:gridCol w:w="1449"/>
        <w:gridCol w:w="1100"/>
        <w:gridCol w:w="1100"/>
        <w:gridCol w:w="1492"/>
      </w:tblGrid>
      <w:tr w:rsidR="004A0DCB" w:rsidRPr="009C5319" w14:paraId="64150D9F" w14:textId="387DDA52" w:rsidTr="00F70C15">
        <w:trPr>
          <w:jc w:val="center"/>
        </w:trPr>
        <w:tc>
          <w:tcPr>
            <w:tcW w:w="0" w:type="auto"/>
            <w:gridSpan w:val="7"/>
            <w:tcBorders>
              <w:top w:val="nil"/>
              <w:left w:val="nil"/>
              <w:bottom w:val="single" w:sz="6" w:space="0" w:color="auto"/>
              <w:right w:val="nil"/>
            </w:tcBorders>
            <w:vAlign w:val="center"/>
          </w:tcPr>
          <w:p w14:paraId="4F2D49B7" w14:textId="5EDD0C56" w:rsidR="004A0DCB" w:rsidRPr="00C70417" w:rsidRDefault="00225734" w:rsidP="00302A11">
            <w:pPr>
              <w:keepNext/>
              <w:keepLines/>
              <w:ind w:firstLine="396"/>
              <w:rPr>
                <w:rFonts w:ascii="黑体" w:eastAsia="黑体" w:hAnsi="黑体" w:cs="Times New Roman" w:hint="eastAsia"/>
                <w:color w:val="000000" w:themeColor="text1"/>
                <w:szCs w:val="21"/>
              </w:rPr>
            </w:pPr>
            <w:r>
              <w:rPr>
                <w:rFonts w:ascii="黑体" w:eastAsia="黑体" w:hAnsi="黑体" w:cs="Times New Roman" w:hint="eastAsia"/>
                <w:color w:val="000000" w:themeColor="text1"/>
                <w:szCs w:val="21"/>
              </w:rPr>
              <w:lastRenderedPageBreak/>
              <w:t>附表6</w:t>
            </w:r>
            <w:r w:rsidR="00302A11">
              <w:rPr>
                <w:rFonts w:ascii="黑体" w:eastAsia="黑体" w:hAnsi="黑体" w:cs="Times New Roman" w:hint="eastAsia"/>
                <w:color w:val="000000" w:themeColor="text1"/>
                <w:szCs w:val="21"/>
              </w:rPr>
              <w:t xml:space="preserve">                         </w:t>
            </w:r>
            <w:r w:rsidR="004A0DCB" w:rsidRPr="00C70417">
              <w:rPr>
                <w:rFonts w:ascii="黑体" w:eastAsia="黑体" w:hAnsi="黑体" w:cs="Times New Roman"/>
                <w:color w:val="000000" w:themeColor="text1"/>
                <w:szCs w:val="21"/>
              </w:rPr>
              <w:t>其他政策冲击排除</w:t>
            </w:r>
          </w:p>
        </w:tc>
      </w:tr>
      <w:tr w:rsidR="004200C5" w:rsidRPr="009C5319" w14:paraId="4B23CF38" w14:textId="77777777" w:rsidTr="004200C5">
        <w:trPr>
          <w:jc w:val="center"/>
        </w:trPr>
        <w:tc>
          <w:tcPr>
            <w:tcW w:w="0" w:type="auto"/>
            <w:vMerge w:val="restart"/>
            <w:tcBorders>
              <w:top w:val="single" w:sz="6" w:space="0" w:color="auto"/>
              <w:left w:val="nil"/>
              <w:right w:val="single" w:sz="4" w:space="0" w:color="auto"/>
            </w:tcBorders>
            <w:vAlign w:val="center"/>
          </w:tcPr>
          <w:p w14:paraId="669DA273" w14:textId="62C39EB0" w:rsidR="004200C5" w:rsidRPr="009C5319" w:rsidRDefault="004200C5" w:rsidP="004200C5">
            <w:pPr>
              <w:keepNext/>
              <w:keepLines/>
              <w:ind w:firstLineChars="0" w:firstLine="0"/>
              <w:jc w:val="center"/>
              <w:rPr>
                <w:rFonts w:cs="Times New Roman"/>
                <w:color w:val="000000" w:themeColor="text1"/>
                <w:sz w:val="18"/>
                <w:szCs w:val="18"/>
              </w:rPr>
            </w:pPr>
            <w:r w:rsidRPr="009C5319">
              <w:rPr>
                <w:rFonts w:cs="Times New Roman"/>
                <w:color w:val="000000" w:themeColor="text1"/>
                <w:sz w:val="18"/>
                <w:szCs w:val="18"/>
              </w:rPr>
              <w:t>变量</w:t>
            </w:r>
          </w:p>
        </w:tc>
        <w:tc>
          <w:tcPr>
            <w:tcW w:w="0" w:type="auto"/>
            <w:tcBorders>
              <w:top w:val="single" w:sz="6" w:space="0" w:color="auto"/>
              <w:left w:val="single" w:sz="4" w:space="0" w:color="auto"/>
              <w:bottom w:val="single" w:sz="4" w:space="0" w:color="auto"/>
              <w:right w:val="single" w:sz="4" w:space="0" w:color="auto"/>
            </w:tcBorders>
            <w:vAlign w:val="center"/>
          </w:tcPr>
          <w:p w14:paraId="486E03C6" w14:textId="781DAE00" w:rsidR="004200C5" w:rsidRPr="009C5319" w:rsidRDefault="004200C5" w:rsidP="00A0542D">
            <w:pPr>
              <w:keepNext/>
              <w:keepLines/>
              <w:ind w:firstLineChars="0" w:firstLine="0"/>
              <w:jc w:val="center"/>
              <w:rPr>
                <w:rFonts w:cs="Times New Roman"/>
                <w:color w:val="000000" w:themeColor="text1"/>
                <w:sz w:val="18"/>
                <w:szCs w:val="18"/>
              </w:rPr>
            </w:pPr>
            <w:r>
              <w:rPr>
                <w:rFonts w:cs="Times New Roman"/>
                <w:color w:val="000000" w:themeColor="text1"/>
                <w:sz w:val="18"/>
                <w:szCs w:val="18"/>
              </w:rPr>
              <w:t>（</w:t>
            </w:r>
            <w:r w:rsidRPr="009C5319">
              <w:rPr>
                <w:rFonts w:cs="Times New Roman"/>
                <w:color w:val="000000" w:themeColor="text1"/>
                <w:sz w:val="18"/>
                <w:szCs w:val="18"/>
              </w:rPr>
              <w:t>1</w:t>
            </w:r>
            <w:r>
              <w:rPr>
                <w:rFonts w:cs="Times New Roman"/>
                <w:color w:val="000000" w:themeColor="text1"/>
                <w:sz w:val="18"/>
                <w:szCs w:val="18"/>
              </w:rPr>
              <w:t>）</w:t>
            </w:r>
          </w:p>
        </w:tc>
        <w:tc>
          <w:tcPr>
            <w:tcW w:w="0" w:type="auto"/>
            <w:tcBorders>
              <w:top w:val="single" w:sz="6" w:space="0" w:color="auto"/>
              <w:left w:val="single" w:sz="4" w:space="0" w:color="auto"/>
              <w:bottom w:val="single" w:sz="4" w:space="0" w:color="auto"/>
              <w:right w:val="single" w:sz="4" w:space="0" w:color="auto"/>
            </w:tcBorders>
            <w:vAlign w:val="center"/>
          </w:tcPr>
          <w:p w14:paraId="3F938F48" w14:textId="25A93A53" w:rsidR="004200C5" w:rsidRPr="009C5319" w:rsidRDefault="004200C5" w:rsidP="00A0542D">
            <w:pPr>
              <w:keepNext/>
              <w:keepLines/>
              <w:ind w:firstLineChars="0" w:firstLine="0"/>
              <w:jc w:val="center"/>
              <w:rPr>
                <w:rFonts w:cs="Times New Roman"/>
                <w:color w:val="000000" w:themeColor="text1"/>
                <w:sz w:val="18"/>
                <w:szCs w:val="18"/>
              </w:rPr>
            </w:pPr>
            <w:r>
              <w:rPr>
                <w:rFonts w:cs="Times New Roman"/>
                <w:color w:val="000000" w:themeColor="text1"/>
                <w:sz w:val="18"/>
                <w:szCs w:val="18"/>
              </w:rPr>
              <w:t>（</w:t>
            </w:r>
            <w:r w:rsidRPr="009C5319">
              <w:rPr>
                <w:rFonts w:cs="Times New Roman"/>
                <w:color w:val="000000" w:themeColor="text1"/>
                <w:sz w:val="18"/>
                <w:szCs w:val="18"/>
              </w:rPr>
              <w:t>2</w:t>
            </w:r>
            <w:r>
              <w:rPr>
                <w:rFonts w:cs="Times New Roman"/>
                <w:color w:val="000000" w:themeColor="text1"/>
                <w:sz w:val="18"/>
                <w:szCs w:val="18"/>
              </w:rPr>
              <w:t>）</w:t>
            </w:r>
          </w:p>
        </w:tc>
        <w:tc>
          <w:tcPr>
            <w:tcW w:w="0" w:type="auto"/>
            <w:tcBorders>
              <w:top w:val="single" w:sz="6" w:space="0" w:color="auto"/>
              <w:left w:val="single" w:sz="4" w:space="0" w:color="auto"/>
              <w:bottom w:val="single" w:sz="4" w:space="0" w:color="auto"/>
              <w:right w:val="single" w:sz="4" w:space="0" w:color="auto"/>
            </w:tcBorders>
            <w:vAlign w:val="center"/>
          </w:tcPr>
          <w:p w14:paraId="1AEC9A85" w14:textId="682F5399" w:rsidR="004200C5" w:rsidRPr="0075640E" w:rsidRDefault="004200C5" w:rsidP="00A0542D">
            <w:pPr>
              <w:keepNext/>
              <w:keepLines/>
              <w:ind w:firstLineChars="0" w:firstLine="0"/>
              <w:jc w:val="center"/>
              <w:rPr>
                <w:rFonts w:ascii="宋体" w:hAnsi="宋体" w:hint="eastAsia"/>
                <w:bCs/>
                <w:szCs w:val="21"/>
              </w:rPr>
            </w:pPr>
            <w:r>
              <w:rPr>
                <w:rFonts w:cs="Times New Roman"/>
                <w:color w:val="000000" w:themeColor="text1"/>
                <w:sz w:val="18"/>
                <w:szCs w:val="18"/>
              </w:rPr>
              <w:t>（</w:t>
            </w:r>
            <w:r w:rsidRPr="009C5319">
              <w:rPr>
                <w:rFonts w:cs="Times New Roman"/>
                <w:color w:val="000000" w:themeColor="text1"/>
                <w:sz w:val="18"/>
                <w:szCs w:val="18"/>
              </w:rPr>
              <w:t>3</w:t>
            </w:r>
            <w:r>
              <w:rPr>
                <w:rFonts w:cs="Times New Roman"/>
                <w:color w:val="000000" w:themeColor="text1"/>
                <w:sz w:val="18"/>
                <w:szCs w:val="18"/>
              </w:rPr>
              <w:t>）</w:t>
            </w:r>
          </w:p>
        </w:tc>
        <w:tc>
          <w:tcPr>
            <w:tcW w:w="0" w:type="auto"/>
            <w:tcBorders>
              <w:top w:val="single" w:sz="6" w:space="0" w:color="auto"/>
              <w:left w:val="single" w:sz="4" w:space="0" w:color="auto"/>
              <w:bottom w:val="single" w:sz="4" w:space="0" w:color="auto"/>
              <w:right w:val="single" w:sz="4" w:space="0" w:color="auto"/>
            </w:tcBorders>
            <w:vAlign w:val="center"/>
          </w:tcPr>
          <w:p w14:paraId="01F0A03C" w14:textId="7AA6FF6D" w:rsidR="004200C5" w:rsidRPr="0075640E" w:rsidRDefault="004200C5" w:rsidP="00A0542D">
            <w:pPr>
              <w:keepNext/>
              <w:keepLines/>
              <w:ind w:firstLineChars="0" w:firstLine="0"/>
              <w:jc w:val="center"/>
              <w:rPr>
                <w:rFonts w:ascii="宋体" w:hAnsi="宋体" w:hint="eastAsia"/>
                <w:bCs/>
                <w:szCs w:val="21"/>
              </w:rPr>
            </w:pPr>
            <w:r>
              <w:rPr>
                <w:rFonts w:cs="Times New Roman"/>
                <w:color w:val="000000" w:themeColor="text1"/>
                <w:sz w:val="18"/>
                <w:szCs w:val="18"/>
              </w:rPr>
              <w:t>（</w:t>
            </w:r>
            <w:r w:rsidRPr="009C5319">
              <w:rPr>
                <w:rFonts w:cs="Times New Roman"/>
                <w:color w:val="000000" w:themeColor="text1"/>
                <w:sz w:val="18"/>
                <w:szCs w:val="18"/>
              </w:rPr>
              <w:t>4</w:t>
            </w:r>
            <w:r>
              <w:rPr>
                <w:rFonts w:cs="Times New Roman"/>
                <w:color w:val="000000" w:themeColor="text1"/>
                <w:sz w:val="18"/>
                <w:szCs w:val="18"/>
              </w:rPr>
              <w:t>）</w:t>
            </w:r>
          </w:p>
        </w:tc>
        <w:tc>
          <w:tcPr>
            <w:tcW w:w="0" w:type="auto"/>
            <w:tcBorders>
              <w:top w:val="single" w:sz="6" w:space="0" w:color="auto"/>
              <w:left w:val="single" w:sz="4" w:space="0" w:color="auto"/>
              <w:bottom w:val="single" w:sz="4" w:space="0" w:color="auto"/>
              <w:right w:val="single" w:sz="4" w:space="0" w:color="auto"/>
            </w:tcBorders>
            <w:vAlign w:val="center"/>
          </w:tcPr>
          <w:p w14:paraId="073FCEF4" w14:textId="73A1F98C" w:rsidR="004200C5" w:rsidRPr="009C5319" w:rsidRDefault="004200C5" w:rsidP="00A0542D">
            <w:pPr>
              <w:keepNext/>
              <w:keepLines/>
              <w:ind w:firstLineChars="0" w:firstLine="0"/>
              <w:jc w:val="center"/>
              <w:rPr>
                <w:rFonts w:cs="Times New Roman"/>
                <w:color w:val="000000" w:themeColor="text1"/>
                <w:sz w:val="18"/>
                <w:szCs w:val="18"/>
              </w:rPr>
            </w:pPr>
            <w:r>
              <w:rPr>
                <w:rFonts w:cs="Times New Roman"/>
                <w:color w:val="000000" w:themeColor="text1"/>
                <w:sz w:val="18"/>
                <w:szCs w:val="18"/>
              </w:rPr>
              <w:t>（</w:t>
            </w:r>
            <w:r w:rsidRPr="009C5319">
              <w:rPr>
                <w:rFonts w:cs="Times New Roman"/>
                <w:color w:val="000000" w:themeColor="text1"/>
                <w:sz w:val="18"/>
                <w:szCs w:val="18"/>
              </w:rPr>
              <w:t>5</w:t>
            </w:r>
            <w:r>
              <w:rPr>
                <w:rFonts w:cs="Times New Roman"/>
                <w:color w:val="000000" w:themeColor="text1"/>
                <w:sz w:val="18"/>
                <w:szCs w:val="18"/>
              </w:rPr>
              <w:t>）</w:t>
            </w:r>
          </w:p>
        </w:tc>
        <w:tc>
          <w:tcPr>
            <w:tcW w:w="0" w:type="auto"/>
            <w:tcBorders>
              <w:top w:val="single" w:sz="6" w:space="0" w:color="auto"/>
              <w:left w:val="single" w:sz="4" w:space="0" w:color="auto"/>
              <w:bottom w:val="single" w:sz="4" w:space="0" w:color="auto"/>
              <w:right w:val="nil"/>
            </w:tcBorders>
          </w:tcPr>
          <w:p w14:paraId="35F3201D" w14:textId="27EF60EE" w:rsidR="004200C5" w:rsidRDefault="004200C5" w:rsidP="00A0542D">
            <w:pPr>
              <w:keepNext/>
              <w:keepLines/>
              <w:ind w:firstLineChars="0" w:firstLine="0"/>
              <w:jc w:val="center"/>
              <w:rPr>
                <w:rFonts w:cs="Times New Roman"/>
                <w:color w:val="000000" w:themeColor="text1"/>
                <w:sz w:val="18"/>
                <w:szCs w:val="18"/>
              </w:rPr>
            </w:pPr>
            <w:r>
              <w:rPr>
                <w:rFonts w:cs="Times New Roman" w:hint="eastAsia"/>
                <w:color w:val="000000" w:themeColor="text1"/>
                <w:sz w:val="18"/>
                <w:szCs w:val="18"/>
              </w:rPr>
              <w:t>（</w:t>
            </w:r>
            <w:r>
              <w:rPr>
                <w:rFonts w:cs="Times New Roman" w:hint="eastAsia"/>
                <w:color w:val="000000" w:themeColor="text1"/>
                <w:sz w:val="18"/>
                <w:szCs w:val="18"/>
              </w:rPr>
              <w:t>6</w:t>
            </w:r>
            <w:r>
              <w:rPr>
                <w:rFonts w:cs="Times New Roman" w:hint="eastAsia"/>
                <w:color w:val="000000" w:themeColor="text1"/>
                <w:sz w:val="18"/>
                <w:szCs w:val="18"/>
              </w:rPr>
              <w:t>）</w:t>
            </w:r>
          </w:p>
        </w:tc>
      </w:tr>
      <w:tr w:rsidR="004200C5" w:rsidRPr="009C5319" w14:paraId="0BB8C182" w14:textId="1771C7BA" w:rsidTr="008854B8">
        <w:trPr>
          <w:jc w:val="center"/>
        </w:trPr>
        <w:tc>
          <w:tcPr>
            <w:tcW w:w="0" w:type="auto"/>
            <w:vMerge/>
            <w:tcBorders>
              <w:left w:val="nil"/>
              <w:right w:val="single" w:sz="4" w:space="0" w:color="auto"/>
            </w:tcBorders>
            <w:vAlign w:val="center"/>
          </w:tcPr>
          <w:p w14:paraId="330255AF" w14:textId="73210179" w:rsidR="004200C5" w:rsidRPr="009C5319" w:rsidRDefault="004200C5" w:rsidP="00A0542D">
            <w:pPr>
              <w:keepNext/>
              <w:keepLines/>
              <w:ind w:firstLine="336"/>
              <w:jc w:val="center"/>
              <w:rPr>
                <w:rFonts w:cs="Times New Roman"/>
                <w:color w:val="000000" w:themeColor="text1"/>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7B9DF349" w14:textId="2D330932" w:rsidR="004200C5" w:rsidRPr="009C5319" w:rsidRDefault="004200C5" w:rsidP="00A0542D">
            <w:pPr>
              <w:keepNext/>
              <w:keepLines/>
              <w:ind w:firstLineChars="0" w:firstLine="0"/>
              <w:jc w:val="center"/>
              <w:rPr>
                <w:rFonts w:cs="Times New Roman"/>
                <w:color w:val="000000" w:themeColor="text1"/>
                <w:sz w:val="18"/>
                <w:szCs w:val="18"/>
              </w:rPr>
            </w:pPr>
            <w:r w:rsidRPr="009C5319">
              <w:rPr>
                <w:rFonts w:cs="Times New Roman"/>
                <w:color w:val="000000" w:themeColor="text1"/>
                <w:sz w:val="18"/>
                <w:szCs w:val="18"/>
              </w:rPr>
              <w:t>巡回法庭</w:t>
            </w:r>
          </w:p>
        </w:tc>
        <w:tc>
          <w:tcPr>
            <w:tcW w:w="0" w:type="auto"/>
            <w:tcBorders>
              <w:top w:val="single" w:sz="4" w:space="0" w:color="auto"/>
              <w:left w:val="single" w:sz="4" w:space="0" w:color="auto"/>
              <w:bottom w:val="single" w:sz="4" w:space="0" w:color="auto"/>
              <w:right w:val="single" w:sz="4" w:space="0" w:color="auto"/>
            </w:tcBorders>
            <w:vAlign w:val="center"/>
          </w:tcPr>
          <w:p w14:paraId="758B3A1E" w14:textId="5111A6A6" w:rsidR="004200C5" w:rsidRPr="009C5319" w:rsidRDefault="004200C5" w:rsidP="00A0542D">
            <w:pPr>
              <w:keepNext/>
              <w:keepLines/>
              <w:ind w:firstLineChars="0" w:firstLine="0"/>
              <w:jc w:val="center"/>
              <w:rPr>
                <w:rFonts w:cs="Times New Roman"/>
                <w:color w:val="000000" w:themeColor="text1"/>
                <w:sz w:val="18"/>
                <w:szCs w:val="18"/>
              </w:rPr>
            </w:pPr>
            <w:r w:rsidRPr="009C5319">
              <w:rPr>
                <w:rFonts w:cs="Times New Roman"/>
                <w:color w:val="000000" w:themeColor="text1"/>
                <w:sz w:val="18"/>
                <w:szCs w:val="18"/>
              </w:rPr>
              <w:t>一带一路</w:t>
            </w:r>
          </w:p>
        </w:tc>
        <w:tc>
          <w:tcPr>
            <w:tcW w:w="0" w:type="auto"/>
            <w:tcBorders>
              <w:top w:val="single" w:sz="4" w:space="0" w:color="auto"/>
              <w:left w:val="single" w:sz="4" w:space="0" w:color="auto"/>
              <w:bottom w:val="single" w:sz="4" w:space="0" w:color="auto"/>
              <w:right w:val="single" w:sz="4" w:space="0" w:color="auto"/>
            </w:tcBorders>
            <w:vAlign w:val="center"/>
          </w:tcPr>
          <w:p w14:paraId="794181D0" w14:textId="5769D5F8" w:rsidR="004200C5" w:rsidRPr="00452118" w:rsidRDefault="004200C5" w:rsidP="00A0542D">
            <w:pPr>
              <w:keepNext/>
              <w:keepLines/>
              <w:ind w:firstLineChars="0" w:firstLine="0"/>
              <w:jc w:val="center"/>
              <w:rPr>
                <w:rFonts w:cs="Times New Roman"/>
                <w:color w:val="000000" w:themeColor="text1"/>
                <w:sz w:val="18"/>
                <w:szCs w:val="18"/>
              </w:rPr>
            </w:pPr>
            <w:r w:rsidRPr="00452118">
              <w:rPr>
                <w:rFonts w:ascii="宋体" w:hAnsi="宋体" w:hint="eastAsia"/>
                <w:bCs/>
                <w:sz w:val="18"/>
                <w:szCs w:val="18"/>
              </w:rPr>
              <w:t>“</w:t>
            </w:r>
            <w:r w:rsidRPr="00452118">
              <w:rPr>
                <w:rFonts w:cs="Times New Roman"/>
                <w:color w:val="000000" w:themeColor="text1"/>
                <w:sz w:val="18"/>
                <w:szCs w:val="18"/>
              </w:rPr>
              <w:t>互联网</w:t>
            </w:r>
            <w:r w:rsidRPr="00452118">
              <w:rPr>
                <w:rFonts w:cs="Times New Roman"/>
                <w:color w:val="000000" w:themeColor="text1"/>
                <w:sz w:val="18"/>
                <w:szCs w:val="18"/>
              </w:rPr>
              <w:t>+</w:t>
            </w:r>
            <w:r w:rsidRPr="00452118">
              <w:rPr>
                <w:rFonts w:ascii="宋体" w:hAnsi="宋体" w:cs="Times New Roman"/>
                <w:bCs/>
                <w:sz w:val="18"/>
                <w:szCs w:val="18"/>
              </w:rPr>
              <w:t>”</w:t>
            </w:r>
            <w:r w:rsidRPr="00452118">
              <w:rPr>
                <w:rFonts w:cs="Times New Roman"/>
                <w:color w:val="000000" w:themeColor="text1"/>
                <w:sz w:val="18"/>
                <w:szCs w:val="18"/>
              </w:rPr>
              <w:t>政务服务</w:t>
            </w:r>
          </w:p>
        </w:tc>
        <w:tc>
          <w:tcPr>
            <w:tcW w:w="0" w:type="auto"/>
            <w:tcBorders>
              <w:top w:val="single" w:sz="4" w:space="0" w:color="auto"/>
              <w:left w:val="single" w:sz="4" w:space="0" w:color="auto"/>
              <w:bottom w:val="single" w:sz="4" w:space="0" w:color="auto"/>
              <w:right w:val="single" w:sz="4" w:space="0" w:color="auto"/>
            </w:tcBorders>
            <w:vAlign w:val="center"/>
          </w:tcPr>
          <w:p w14:paraId="611DFE93" w14:textId="1C76C4D6" w:rsidR="004200C5" w:rsidRPr="00452118" w:rsidRDefault="004200C5" w:rsidP="00A0542D">
            <w:pPr>
              <w:keepNext/>
              <w:keepLines/>
              <w:ind w:firstLineChars="0" w:firstLine="0"/>
              <w:jc w:val="center"/>
              <w:rPr>
                <w:rFonts w:cs="Times New Roman"/>
                <w:color w:val="000000" w:themeColor="text1"/>
                <w:sz w:val="18"/>
                <w:szCs w:val="18"/>
              </w:rPr>
            </w:pPr>
            <w:r w:rsidRPr="00452118">
              <w:rPr>
                <w:rFonts w:ascii="宋体" w:hAnsi="宋体" w:hint="eastAsia"/>
                <w:bCs/>
                <w:sz w:val="18"/>
                <w:szCs w:val="18"/>
              </w:rPr>
              <w:t>“</w:t>
            </w:r>
            <w:r w:rsidRPr="00452118">
              <w:rPr>
                <w:rFonts w:cs="Times New Roman"/>
                <w:color w:val="000000" w:themeColor="text1"/>
                <w:sz w:val="18"/>
                <w:szCs w:val="18"/>
              </w:rPr>
              <w:t>宽带中国</w:t>
            </w:r>
            <w:r w:rsidRPr="00452118">
              <w:rPr>
                <w:rFonts w:ascii="宋体" w:hAnsi="宋体" w:cs="Times New Roman" w:hint="eastAsia"/>
                <w:bCs/>
                <w:sz w:val="18"/>
                <w:szCs w:val="18"/>
              </w:rPr>
              <w:t>”</w:t>
            </w:r>
          </w:p>
        </w:tc>
        <w:tc>
          <w:tcPr>
            <w:tcW w:w="0" w:type="auto"/>
            <w:tcBorders>
              <w:top w:val="single" w:sz="4" w:space="0" w:color="auto"/>
              <w:left w:val="single" w:sz="4" w:space="0" w:color="auto"/>
              <w:bottom w:val="single" w:sz="4" w:space="0" w:color="auto"/>
              <w:right w:val="single" w:sz="4" w:space="0" w:color="auto"/>
            </w:tcBorders>
            <w:vAlign w:val="center"/>
          </w:tcPr>
          <w:p w14:paraId="56BC2A8A" w14:textId="19F4834E" w:rsidR="004200C5" w:rsidRPr="009C5319" w:rsidRDefault="004200C5" w:rsidP="00A0542D">
            <w:pPr>
              <w:keepNext/>
              <w:keepLines/>
              <w:ind w:firstLineChars="0" w:firstLine="0"/>
              <w:jc w:val="center"/>
              <w:rPr>
                <w:rFonts w:cs="Times New Roman"/>
                <w:color w:val="000000" w:themeColor="text1"/>
                <w:sz w:val="18"/>
                <w:szCs w:val="18"/>
              </w:rPr>
            </w:pPr>
            <w:r w:rsidRPr="009C5319">
              <w:rPr>
                <w:rFonts w:cs="Times New Roman"/>
                <w:color w:val="000000" w:themeColor="text1"/>
                <w:sz w:val="18"/>
                <w:szCs w:val="18"/>
              </w:rPr>
              <w:t>数据交易平台</w:t>
            </w:r>
          </w:p>
        </w:tc>
        <w:tc>
          <w:tcPr>
            <w:tcW w:w="0" w:type="auto"/>
            <w:tcBorders>
              <w:top w:val="single" w:sz="4" w:space="0" w:color="auto"/>
              <w:left w:val="single" w:sz="4" w:space="0" w:color="auto"/>
              <w:bottom w:val="single" w:sz="4" w:space="0" w:color="auto"/>
              <w:right w:val="nil"/>
            </w:tcBorders>
          </w:tcPr>
          <w:p w14:paraId="0307E0AC" w14:textId="545E0D65" w:rsidR="004200C5" w:rsidRPr="009C5319" w:rsidRDefault="004200C5" w:rsidP="00A0542D">
            <w:pPr>
              <w:keepNext/>
              <w:keepLines/>
              <w:ind w:firstLineChars="0" w:firstLine="0"/>
              <w:jc w:val="center"/>
              <w:rPr>
                <w:rFonts w:cs="Times New Roman"/>
                <w:color w:val="000000" w:themeColor="text1"/>
                <w:sz w:val="18"/>
                <w:szCs w:val="18"/>
              </w:rPr>
            </w:pPr>
            <w:r>
              <w:rPr>
                <w:rFonts w:cs="Times New Roman" w:hint="eastAsia"/>
                <w:color w:val="000000" w:themeColor="text1"/>
                <w:sz w:val="18"/>
                <w:szCs w:val="18"/>
              </w:rPr>
              <w:t>国家大数据综合试验区</w:t>
            </w:r>
          </w:p>
        </w:tc>
      </w:tr>
      <w:tr w:rsidR="004200C5" w:rsidRPr="009C5319" w14:paraId="1590F921" w14:textId="1220FFF0" w:rsidTr="008854B8">
        <w:trPr>
          <w:jc w:val="center"/>
        </w:trPr>
        <w:tc>
          <w:tcPr>
            <w:tcW w:w="0" w:type="auto"/>
            <w:vMerge/>
            <w:tcBorders>
              <w:left w:val="nil"/>
              <w:bottom w:val="single" w:sz="4" w:space="0" w:color="auto"/>
              <w:right w:val="single" w:sz="4" w:space="0" w:color="auto"/>
            </w:tcBorders>
            <w:vAlign w:val="center"/>
          </w:tcPr>
          <w:p w14:paraId="51F89BFA" w14:textId="49A7CC27" w:rsidR="004200C5" w:rsidRPr="009C5319" w:rsidRDefault="004200C5" w:rsidP="00A0542D">
            <w:pPr>
              <w:keepNext/>
              <w:keepLines/>
              <w:ind w:firstLineChars="0" w:firstLine="0"/>
              <w:jc w:val="center"/>
              <w:rPr>
                <w:rFonts w:cs="Times New Roman"/>
                <w:color w:val="000000" w:themeColor="text1"/>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4984B743" w14:textId="77777777" w:rsidR="004200C5" w:rsidRPr="009C5319" w:rsidRDefault="004200C5" w:rsidP="004200C5">
            <w:pPr>
              <w:keepNext/>
              <w:keepLines/>
              <w:ind w:firstLineChars="0" w:firstLine="0"/>
              <w:rPr>
                <w:rFonts w:cs="Times New Roman"/>
                <w:iCs/>
                <w:color w:val="000000" w:themeColor="text1"/>
                <w:sz w:val="18"/>
                <w:szCs w:val="18"/>
              </w:rPr>
            </w:pPr>
            <m:oMathPara>
              <m:oMath>
                <m:r>
                  <w:rPr>
                    <w:rFonts w:ascii="Cambria Math" w:hAnsi="Cambria Math" w:cs="Times New Roman"/>
                    <w:sz w:val="18"/>
                    <w:szCs w:val="18"/>
                  </w:rPr>
                  <m:t>MaDist</m:t>
                </m:r>
              </m:oMath>
            </m:oMathPara>
          </w:p>
        </w:tc>
        <w:tc>
          <w:tcPr>
            <w:tcW w:w="0" w:type="auto"/>
            <w:tcBorders>
              <w:top w:val="single" w:sz="4" w:space="0" w:color="auto"/>
              <w:left w:val="single" w:sz="4" w:space="0" w:color="auto"/>
              <w:bottom w:val="single" w:sz="4" w:space="0" w:color="auto"/>
              <w:right w:val="single" w:sz="4" w:space="0" w:color="auto"/>
            </w:tcBorders>
            <w:vAlign w:val="center"/>
          </w:tcPr>
          <w:p w14:paraId="03775F55" w14:textId="77777777" w:rsidR="004200C5" w:rsidRPr="009C5319" w:rsidRDefault="004200C5" w:rsidP="004200C5">
            <w:pPr>
              <w:keepNext/>
              <w:keepLines/>
              <w:ind w:firstLineChars="0" w:firstLine="0"/>
              <w:rPr>
                <w:rFonts w:cs="Times New Roman"/>
                <w:iCs/>
                <w:color w:val="000000" w:themeColor="text1"/>
                <w:sz w:val="18"/>
                <w:szCs w:val="18"/>
              </w:rPr>
            </w:pPr>
            <m:oMathPara>
              <m:oMath>
                <m:r>
                  <w:rPr>
                    <w:rFonts w:ascii="Cambria Math" w:hAnsi="Cambria Math" w:cs="Times New Roman"/>
                    <w:sz w:val="18"/>
                    <w:szCs w:val="18"/>
                  </w:rPr>
                  <m:t>MaDist</m:t>
                </m:r>
              </m:oMath>
            </m:oMathPara>
          </w:p>
        </w:tc>
        <w:tc>
          <w:tcPr>
            <w:tcW w:w="0" w:type="auto"/>
            <w:tcBorders>
              <w:top w:val="single" w:sz="4" w:space="0" w:color="auto"/>
              <w:left w:val="single" w:sz="4" w:space="0" w:color="auto"/>
              <w:bottom w:val="single" w:sz="4" w:space="0" w:color="auto"/>
              <w:right w:val="single" w:sz="4" w:space="0" w:color="auto"/>
            </w:tcBorders>
          </w:tcPr>
          <w:p w14:paraId="2600E6E1" w14:textId="1A8805DD" w:rsidR="004200C5" w:rsidRPr="009C5319" w:rsidRDefault="004200C5" w:rsidP="004200C5">
            <w:pPr>
              <w:keepNext/>
              <w:keepLines/>
              <w:ind w:firstLineChars="0" w:firstLine="0"/>
              <w:rPr>
                <w:rFonts w:cs="Times New Roman"/>
                <w:sz w:val="18"/>
                <w:szCs w:val="18"/>
              </w:rPr>
            </w:pPr>
            <m:oMathPara>
              <m:oMath>
                <m:r>
                  <w:rPr>
                    <w:rFonts w:ascii="Cambria Math" w:hAnsi="Cambria Math" w:cs="Times New Roman"/>
                    <w:sz w:val="18"/>
                    <w:szCs w:val="18"/>
                  </w:rPr>
                  <m:t>MaDist</m:t>
                </m:r>
              </m:oMath>
            </m:oMathPara>
          </w:p>
        </w:tc>
        <w:tc>
          <w:tcPr>
            <w:tcW w:w="0" w:type="auto"/>
            <w:tcBorders>
              <w:top w:val="single" w:sz="4" w:space="0" w:color="auto"/>
              <w:left w:val="single" w:sz="4" w:space="0" w:color="auto"/>
              <w:bottom w:val="single" w:sz="4" w:space="0" w:color="auto"/>
              <w:right w:val="single" w:sz="4" w:space="0" w:color="auto"/>
            </w:tcBorders>
          </w:tcPr>
          <w:p w14:paraId="7B9168E9" w14:textId="6F55B51E" w:rsidR="004200C5" w:rsidRPr="009C5319" w:rsidRDefault="004200C5" w:rsidP="004200C5">
            <w:pPr>
              <w:keepNext/>
              <w:keepLines/>
              <w:ind w:firstLineChars="0" w:firstLine="0"/>
              <w:rPr>
                <w:rFonts w:cs="Times New Roman"/>
                <w:sz w:val="18"/>
                <w:szCs w:val="18"/>
              </w:rPr>
            </w:pPr>
            <m:oMathPara>
              <m:oMath>
                <m:r>
                  <w:rPr>
                    <w:rFonts w:ascii="Cambria Math" w:hAnsi="Cambria Math" w:cs="Times New Roman"/>
                    <w:sz w:val="18"/>
                    <w:szCs w:val="18"/>
                  </w:rPr>
                  <m:t>MaDist</m:t>
                </m:r>
              </m:oMath>
            </m:oMathPara>
          </w:p>
        </w:tc>
        <w:tc>
          <w:tcPr>
            <w:tcW w:w="0" w:type="auto"/>
            <w:tcBorders>
              <w:top w:val="single" w:sz="4" w:space="0" w:color="auto"/>
              <w:left w:val="single" w:sz="4" w:space="0" w:color="auto"/>
              <w:bottom w:val="single" w:sz="4" w:space="0" w:color="auto"/>
              <w:right w:val="single" w:sz="4" w:space="0" w:color="auto"/>
            </w:tcBorders>
          </w:tcPr>
          <w:p w14:paraId="6DA62D16" w14:textId="461224D4" w:rsidR="004200C5" w:rsidRPr="009C5319" w:rsidRDefault="004200C5" w:rsidP="004200C5">
            <w:pPr>
              <w:keepNext/>
              <w:keepLines/>
              <w:ind w:firstLineChars="0" w:firstLine="0"/>
              <w:rPr>
                <w:rFonts w:cs="Times New Roman"/>
                <w:sz w:val="18"/>
                <w:szCs w:val="18"/>
              </w:rPr>
            </w:pPr>
            <m:oMathPara>
              <m:oMath>
                <m:r>
                  <w:rPr>
                    <w:rFonts w:ascii="Cambria Math" w:hAnsi="Cambria Math" w:cs="Times New Roman"/>
                    <w:sz w:val="18"/>
                    <w:szCs w:val="18"/>
                  </w:rPr>
                  <m:t>MaDist</m:t>
                </m:r>
              </m:oMath>
            </m:oMathPara>
          </w:p>
        </w:tc>
        <w:tc>
          <w:tcPr>
            <w:tcW w:w="0" w:type="auto"/>
            <w:tcBorders>
              <w:top w:val="single" w:sz="4" w:space="0" w:color="auto"/>
              <w:left w:val="single" w:sz="4" w:space="0" w:color="auto"/>
              <w:bottom w:val="single" w:sz="4" w:space="0" w:color="auto"/>
              <w:right w:val="nil"/>
            </w:tcBorders>
          </w:tcPr>
          <w:p w14:paraId="170754B6" w14:textId="48CB45D4" w:rsidR="004200C5" w:rsidRDefault="004200C5" w:rsidP="004200C5">
            <w:pPr>
              <w:keepNext/>
              <w:keepLines/>
              <w:ind w:firstLineChars="0" w:firstLine="0"/>
              <w:rPr>
                <w:rFonts w:cs="Times New Roman"/>
                <w:sz w:val="18"/>
                <w:szCs w:val="18"/>
              </w:rPr>
            </w:pPr>
            <m:oMathPara>
              <m:oMath>
                <m:r>
                  <w:rPr>
                    <w:rFonts w:ascii="Cambria Math" w:hAnsi="Cambria Math" w:cs="Times New Roman"/>
                    <w:sz w:val="18"/>
                    <w:szCs w:val="18"/>
                  </w:rPr>
                  <m:t>MaDist</m:t>
                </m:r>
              </m:oMath>
            </m:oMathPara>
          </w:p>
        </w:tc>
      </w:tr>
      <w:tr w:rsidR="00A0542D" w:rsidRPr="009C5319" w14:paraId="2CDB2025" w14:textId="0F4983C7" w:rsidTr="004200C5">
        <w:trPr>
          <w:trHeight w:val="355"/>
          <w:jc w:val="center"/>
        </w:trPr>
        <w:tc>
          <w:tcPr>
            <w:tcW w:w="0" w:type="auto"/>
            <w:vMerge w:val="restart"/>
            <w:tcBorders>
              <w:top w:val="single" w:sz="4" w:space="0" w:color="auto"/>
              <w:left w:val="nil"/>
              <w:bottom w:val="nil"/>
              <w:right w:val="single" w:sz="4" w:space="0" w:color="auto"/>
            </w:tcBorders>
            <w:vAlign w:val="center"/>
          </w:tcPr>
          <w:p w14:paraId="75B211C5" w14:textId="77777777" w:rsidR="00A0542D" w:rsidRPr="004200C5" w:rsidRDefault="00A0542D" w:rsidP="004200C5">
            <w:pPr>
              <w:keepNext/>
              <w:keepLines/>
              <w:ind w:firstLineChars="0" w:firstLine="0"/>
              <w:jc w:val="left"/>
              <w:rPr>
                <w:rFonts w:cs="Times New Roman"/>
                <w:iCs/>
                <w:color w:val="000000" w:themeColor="text1"/>
                <w:sz w:val="18"/>
                <w:szCs w:val="18"/>
              </w:rPr>
            </w:pPr>
            <m:oMathPara>
              <m:oMathParaPr>
                <m:jc m:val="left"/>
              </m:oMathParaPr>
              <m:oMath>
                <m:r>
                  <w:rPr>
                    <w:rFonts w:ascii="Cambria Math" w:hAnsi="Cambria Math" w:cs="Times New Roman"/>
                    <w:sz w:val="18"/>
                    <w:szCs w:val="18"/>
                  </w:rPr>
                  <m:t>Data×T</m:t>
                </m:r>
              </m:oMath>
            </m:oMathPara>
          </w:p>
        </w:tc>
        <w:tc>
          <w:tcPr>
            <w:tcW w:w="0" w:type="auto"/>
            <w:tcBorders>
              <w:top w:val="single" w:sz="4" w:space="0" w:color="auto"/>
              <w:left w:val="single" w:sz="4" w:space="0" w:color="auto"/>
              <w:bottom w:val="nil"/>
              <w:right w:val="single" w:sz="4" w:space="0" w:color="auto"/>
            </w:tcBorders>
          </w:tcPr>
          <w:p w14:paraId="4B60A7E7" w14:textId="4460D95F" w:rsidR="00A0542D" w:rsidRPr="00481C60" w:rsidRDefault="00A0542D" w:rsidP="00A0542D">
            <w:pPr>
              <w:keepNext/>
              <w:keepLines/>
              <w:ind w:firstLineChars="0" w:firstLine="0"/>
              <w:jc w:val="center"/>
              <w:rPr>
                <w:rFonts w:cs="Times New Roman"/>
                <w:kern w:val="0"/>
                <w:sz w:val="18"/>
                <w:szCs w:val="18"/>
              </w:rPr>
            </w:pPr>
            <w:r w:rsidRPr="00481C60">
              <w:rPr>
                <w:rFonts w:cs="Times New Roman"/>
                <w:kern w:val="0"/>
                <w:sz w:val="18"/>
                <w:szCs w:val="18"/>
              </w:rPr>
              <w:t>0.2802***</w:t>
            </w:r>
          </w:p>
        </w:tc>
        <w:tc>
          <w:tcPr>
            <w:tcW w:w="0" w:type="auto"/>
            <w:tcBorders>
              <w:top w:val="single" w:sz="4" w:space="0" w:color="auto"/>
              <w:left w:val="single" w:sz="4" w:space="0" w:color="auto"/>
              <w:bottom w:val="nil"/>
              <w:right w:val="single" w:sz="4" w:space="0" w:color="auto"/>
            </w:tcBorders>
          </w:tcPr>
          <w:p w14:paraId="56163424" w14:textId="0F1BBCE4" w:rsidR="00A0542D" w:rsidRPr="00481C60" w:rsidRDefault="00A0542D" w:rsidP="00A0542D">
            <w:pPr>
              <w:keepNext/>
              <w:keepLines/>
              <w:ind w:firstLineChars="0" w:firstLine="0"/>
              <w:rPr>
                <w:rFonts w:cs="Times New Roman"/>
                <w:kern w:val="0"/>
                <w:sz w:val="18"/>
                <w:szCs w:val="18"/>
              </w:rPr>
            </w:pPr>
            <w:r w:rsidRPr="00481C60">
              <w:rPr>
                <w:rFonts w:cs="Times New Roman"/>
                <w:kern w:val="0"/>
                <w:sz w:val="18"/>
                <w:szCs w:val="18"/>
              </w:rPr>
              <w:t>0.2349***</w:t>
            </w:r>
          </w:p>
        </w:tc>
        <w:tc>
          <w:tcPr>
            <w:tcW w:w="0" w:type="auto"/>
            <w:tcBorders>
              <w:top w:val="single" w:sz="4" w:space="0" w:color="auto"/>
              <w:left w:val="single" w:sz="4" w:space="0" w:color="auto"/>
              <w:bottom w:val="nil"/>
              <w:right w:val="single" w:sz="4" w:space="0" w:color="auto"/>
            </w:tcBorders>
          </w:tcPr>
          <w:p w14:paraId="7A1FBB99" w14:textId="09F38C08" w:rsidR="00A0542D" w:rsidRPr="00481C60" w:rsidRDefault="00A0542D" w:rsidP="00A0542D">
            <w:pPr>
              <w:keepNext/>
              <w:keepLines/>
              <w:ind w:firstLineChars="0" w:firstLine="0"/>
              <w:jc w:val="center"/>
              <w:rPr>
                <w:rFonts w:cs="Times New Roman"/>
                <w:kern w:val="0"/>
                <w:sz w:val="18"/>
                <w:szCs w:val="18"/>
              </w:rPr>
            </w:pPr>
            <w:r w:rsidRPr="00481C60">
              <w:rPr>
                <w:rFonts w:cs="Times New Roman"/>
                <w:kern w:val="0"/>
                <w:sz w:val="18"/>
                <w:szCs w:val="18"/>
              </w:rPr>
              <w:t>0.1734***</w:t>
            </w:r>
          </w:p>
        </w:tc>
        <w:tc>
          <w:tcPr>
            <w:tcW w:w="0" w:type="auto"/>
            <w:tcBorders>
              <w:top w:val="single" w:sz="4" w:space="0" w:color="auto"/>
              <w:left w:val="single" w:sz="4" w:space="0" w:color="auto"/>
              <w:bottom w:val="nil"/>
              <w:right w:val="single" w:sz="4" w:space="0" w:color="auto"/>
            </w:tcBorders>
          </w:tcPr>
          <w:p w14:paraId="105DB3E8" w14:textId="27D2604C" w:rsidR="00A0542D" w:rsidRPr="00481C60" w:rsidRDefault="00A0542D" w:rsidP="00A0542D">
            <w:pPr>
              <w:keepNext/>
              <w:keepLines/>
              <w:ind w:firstLineChars="0" w:firstLine="0"/>
              <w:jc w:val="center"/>
              <w:rPr>
                <w:rFonts w:cs="Times New Roman"/>
                <w:kern w:val="0"/>
                <w:sz w:val="18"/>
                <w:szCs w:val="18"/>
              </w:rPr>
            </w:pPr>
            <w:r w:rsidRPr="00481C60">
              <w:rPr>
                <w:rFonts w:cs="Times New Roman"/>
                <w:kern w:val="0"/>
                <w:sz w:val="18"/>
                <w:szCs w:val="18"/>
              </w:rPr>
              <w:t>0.1</w:t>
            </w:r>
            <w:r w:rsidR="00CC75C2">
              <w:rPr>
                <w:rFonts w:cs="Times New Roman" w:hint="eastAsia"/>
                <w:kern w:val="0"/>
                <w:sz w:val="18"/>
                <w:szCs w:val="18"/>
              </w:rPr>
              <w:t>609</w:t>
            </w:r>
            <w:r w:rsidRPr="00481C60">
              <w:rPr>
                <w:rFonts w:cs="Times New Roman"/>
                <w:kern w:val="0"/>
                <w:sz w:val="18"/>
                <w:szCs w:val="18"/>
              </w:rPr>
              <w:t>***</w:t>
            </w:r>
          </w:p>
        </w:tc>
        <w:tc>
          <w:tcPr>
            <w:tcW w:w="0" w:type="auto"/>
            <w:tcBorders>
              <w:top w:val="single" w:sz="4" w:space="0" w:color="auto"/>
              <w:left w:val="single" w:sz="4" w:space="0" w:color="auto"/>
              <w:bottom w:val="nil"/>
              <w:right w:val="single" w:sz="4" w:space="0" w:color="auto"/>
            </w:tcBorders>
          </w:tcPr>
          <w:p w14:paraId="473A1215" w14:textId="7FB63303" w:rsidR="00A0542D" w:rsidRPr="00481C60" w:rsidRDefault="00A0542D" w:rsidP="00A0542D">
            <w:pPr>
              <w:keepNext/>
              <w:keepLines/>
              <w:ind w:firstLineChars="0" w:firstLine="0"/>
              <w:jc w:val="center"/>
              <w:rPr>
                <w:rFonts w:cs="Times New Roman"/>
                <w:kern w:val="0"/>
                <w:sz w:val="18"/>
                <w:szCs w:val="18"/>
              </w:rPr>
            </w:pPr>
            <w:r w:rsidRPr="00481C60">
              <w:rPr>
                <w:rFonts w:cs="Times New Roman"/>
                <w:kern w:val="0"/>
                <w:sz w:val="18"/>
                <w:szCs w:val="18"/>
              </w:rPr>
              <w:t>0.1122**</w:t>
            </w:r>
          </w:p>
        </w:tc>
        <w:tc>
          <w:tcPr>
            <w:tcW w:w="0" w:type="auto"/>
            <w:tcBorders>
              <w:top w:val="single" w:sz="4" w:space="0" w:color="auto"/>
              <w:left w:val="single" w:sz="4" w:space="0" w:color="auto"/>
              <w:bottom w:val="nil"/>
              <w:right w:val="nil"/>
            </w:tcBorders>
          </w:tcPr>
          <w:p w14:paraId="12512739" w14:textId="45A7D6A6" w:rsidR="00A0542D" w:rsidRPr="009C5319" w:rsidRDefault="00A0542D" w:rsidP="00A0542D">
            <w:pPr>
              <w:keepNext/>
              <w:keepLines/>
              <w:ind w:firstLineChars="0" w:firstLine="0"/>
              <w:jc w:val="center"/>
              <w:rPr>
                <w:rFonts w:cs="Times New Roman"/>
                <w:kern w:val="0"/>
                <w:sz w:val="18"/>
                <w:szCs w:val="18"/>
              </w:rPr>
            </w:pPr>
            <w:r w:rsidRPr="00481C60">
              <w:rPr>
                <w:rFonts w:cs="Times New Roman"/>
                <w:kern w:val="0"/>
                <w:sz w:val="18"/>
                <w:szCs w:val="18"/>
              </w:rPr>
              <w:t>0.1715***</w:t>
            </w:r>
          </w:p>
        </w:tc>
      </w:tr>
      <w:tr w:rsidR="00A0542D" w:rsidRPr="009C5319" w14:paraId="4FE93CE6" w14:textId="4E5A8132" w:rsidTr="004200C5">
        <w:trPr>
          <w:trHeight w:val="60"/>
          <w:jc w:val="center"/>
        </w:trPr>
        <w:tc>
          <w:tcPr>
            <w:tcW w:w="0" w:type="auto"/>
            <w:vMerge/>
            <w:tcBorders>
              <w:top w:val="nil"/>
              <w:left w:val="nil"/>
              <w:bottom w:val="nil"/>
              <w:right w:val="single" w:sz="4" w:space="0" w:color="auto"/>
            </w:tcBorders>
            <w:vAlign w:val="center"/>
          </w:tcPr>
          <w:p w14:paraId="6D6D07D3" w14:textId="77777777" w:rsidR="00A0542D" w:rsidRPr="009C5319" w:rsidRDefault="00A0542D" w:rsidP="004200C5">
            <w:pPr>
              <w:keepNext/>
              <w:keepLines/>
              <w:ind w:firstLine="336"/>
              <w:jc w:val="left"/>
              <w:rPr>
                <w:rFonts w:cs="Times New Roman"/>
                <w:iCs/>
                <w:color w:val="000000" w:themeColor="text1"/>
                <w:sz w:val="18"/>
                <w:szCs w:val="18"/>
              </w:rPr>
            </w:pPr>
          </w:p>
        </w:tc>
        <w:tc>
          <w:tcPr>
            <w:tcW w:w="0" w:type="auto"/>
            <w:tcBorders>
              <w:top w:val="nil"/>
              <w:left w:val="single" w:sz="4" w:space="0" w:color="auto"/>
              <w:bottom w:val="nil"/>
              <w:right w:val="single" w:sz="4" w:space="0" w:color="auto"/>
            </w:tcBorders>
          </w:tcPr>
          <w:p w14:paraId="0AD2286F" w14:textId="52B8312D" w:rsidR="00A0542D" w:rsidRPr="00481C60" w:rsidRDefault="00A0542D" w:rsidP="00A0542D">
            <w:pPr>
              <w:keepNext/>
              <w:keepLines/>
              <w:ind w:firstLineChars="0" w:firstLine="0"/>
              <w:jc w:val="center"/>
              <w:rPr>
                <w:rFonts w:cs="Times New Roman"/>
                <w:kern w:val="0"/>
                <w:sz w:val="18"/>
                <w:szCs w:val="18"/>
              </w:rPr>
            </w:pPr>
            <w:r w:rsidRPr="00481C60">
              <w:rPr>
                <w:rFonts w:cs="Times New Roman"/>
                <w:kern w:val="0"/>
                <w:sz w:val="18"/>
                <w:szCs w:val="18"/>
              </w:rPr>
              <w:t>(0.0667)</w:t>
            </w:r>
          </w:p>
        </w:tc>
        <w:tc>
          <w:tcPr>
            <w:tcW w:w="0" w:type="auto"/>
            <w:tcBorders>
              <w:top w:val="nil"/>
              <w:left w:val="single" w:sz="4" w:space="0" w:color="auto"/>
              <w:bottom w:val="nil"/>
              <w:right w:val="single" w:sz="4" w:space="0" w:color="auto"/>
            </w:tcBorders>
          </w:tcPr>
          <w:p w14:paraId="3B65EAB0" w14:textId="59458052" w:rsidR="00A0542D" w:rsidRPr="00481C60" w:rsidRDefault="00A0542D" w:rsidP="00A0542D">
            <w:pPr>
              <w:keepNext/>
              <w:keepLines/>
              <w:ind w:firstLineChars="0" w:firstLine="0"/>
              <w:rPr>
                <w:rFonts w:cs="Times New Roman"/>
                <w:kern w:val="0"/>
                <w:sz w:val="18"/>
                <w:szCs w:val="18"/>
              </w:rPr>
            </w:pPr>
            <w:r w:rsidRPr="00481C60">
              <w:rPr>
                <w:rFonts w:cs="Times New Roman"/>
                <w:kern w:val="0"/>
                <w:sz w:val="18"/>
                <w:szCs w:val="18"/>
              </w:rPr>
              <w:t>(0.0526)</w:t>
            </w:r>
          </w:p>
        </w:tc>
        <w:tc>
          <w:tcPr>
            <w:tcW w:w="0" w:type="auto"/>
            <w:tcBorders>
              <w:top w:val="nil"/>
              <w:left w:val="single" w:sz="4" w:space="0" w:color="auto"/>
              <w:bottom w:val="nil"/>
              <w:right w:val="single" w:sz="4" w:space="0" w:color="auto"/>
            </w:tcBorders>
          </w:tcPr>
          <w:p w14:paraId="1E50FFF2" w14:textId="18BA846F" w:rsidR="00A0542D" w:rsidRPr="00481C60" w:rsidRDefault="00A0542D" w:rsidP="00A0542D">
            <w:pPr>
              <w:keepNext/>
              <w:keepLines/>
              <w:ind w:firstLineChars="0" w:firstLine="0"/>
              <w:jc w:val="center"/>
              <w:rPr>
                <w:rFonts w:cs="Times New Roman"/>
                <w:kern w:val="0"/>
                <w:sz w:val="18"/>
                <w:szCs w:val="18"/>
              </w:rPr>
            </w:pPr>
            <w:r w:rsidRPr="00481C60">
              <w:rPr>
                <w:rFonts w:cs="Times New Roman"/>
                <w:kern w:val="0"/>
                <w:sz w:val="18"/>
                <w:szCs w:val="18"/>
              </w:rPr>
              <w:t>(0.0441)</w:t>
            </w:r>
          </w:p>
        </w:tc>
        <w:tc>
          <w:tcPr>
            <w:tcW w:w="0" w:type="auto"/>
            <w:tcBorders>
              <w:top w:val="nil"/>
              <w:left w:val="single" w:sz="4" w:space="0" w:color="auto"/>
              <w:bottom w:val="nil"/>
              <w:right w:val="single" w:sz="4" w:space="0" w:color="auto"/>
            </w:tcBorders>
          </w:tcPr>
          <w:p w14:paraId="1E7C5F9A" w14:textId="49E6717C" w:rsidR="00A0542D" w:rsidRPr="00481C60" w:rsidRDefault="00A0542D" w:rsidP="00A0542D">
            <w:pPr>
              <w:keepNext/>
              <w:keepLines/>
              <w:ind w:firstLineChars="0" w:firstLine="0"/>
              <w:jc w:val="center"/>
              <w:rPr>
                <w:rFonts w:cs="Times New Roman"/>
                <w:kern w:val="0"/>
                <w:sz w:val="18"/>
                <w:szCs w:val="18"/>
              </w:rPr>
            </w:pPr>
            <w:r w:rsidRPr="00481C60">
              <w:rPr>
                <w:rFonts w:cs="Times New Roman"/>
                <w:kern w:val="0"/>
                <w:sz w:val="18"/>
                <w:szCs w:val="18"/>
              </w:rPr>
              <w:t>(0.04</w:t>
            </w:r>
            <w:r w:rsidR="00CC75C2">
              <w:rPr>
                <w:rFonts w:cs="Times New Roman" w:hint="eastAsia"/>
                <w:kern w:val="0"/>
                <w:sz w:val="18"/>
                <w:szCs w:val="18"/>
              </w:rPr>
              <w:t>47</w:t>
            </w:r>
            <w:r w:rsidRPr="00481C60">
              <w:rPr>
                <w:rFonts w:cs="Times New Roman"/>
                <w:kern w:val="0"/>
                <w:sz w:val="18"/>
                <w:szCs w:val="18"/>
              </w:rPr>
              <w:t>)</w:t>
            </w:r>
          </w:p>
        </w:tc>
        <w:tc>
          <w:tcPr>
            <w:tcW w:w="0" w:type="auto"/>
            <w:tcBorders>
              <w:top w:val="nil"/>
              <w:left w:val="single" w:sz="4" w:space="0" w:color="auto"/>
              <w:bottom w:val="nil"/>
              <w:right w:val="single" w:sz="4" w:space="0" w:color="auto"/>
            </w:tcBorders>
          </w:tcPr>
          <w:p w14:paraId="136B7A87" w14:textId="0375E690" w:rsidR="00A0542D" w:rsidRPr="00481C60" w:rsidRDefault="00A0542D" w:rsidP="00A0542D">
            <w:pPr>
              <w:keepNext/>
              <w:keepLines/>
              <w:ind w:firstLineChars="0" w:firstLine="0"/>
              <w:jc w:val="center"/>
              <w:rPr>
                <w:rFonts w:cs="Times New Roman"/>
                <w:kern w:val="0"/>
                <w:sz w:val="18"/>
                <w:szCs w:val="18"/>
              </w:rPr>
            </w:pPr>
            <w:r w:rsidRPr="00481C60">
              <w:rPr>
                <w:rFonts w:cs="Times New Roman"/>
                <w:kern w:val="0"/>
                <w:sz w:val="18"/>
                <w:szCs w:val="18"/>
              </w:rPr>
              <w:t>(0.0471)</w:t>
            </w:r>
          </w:p>
        </w:tc>
        <w:tc>
          <w:tcPr>
            <w:tcW w:w="0" w:type="auto"/>
            <w:tcBorders>
              <w:top w:val="nil"/>
              <w:left w:val="single" w:sz="4" w:space="0" w:color="auto"/>
              <w:bottom w:val="nil"/>
              <w:right w:val="nil"/>
            </w:tcBorders>
          </w:tcPr>
          <w:p w14:paraId="011B484D" w14:textId="6ADE88AA" w:rsidR="00A0542D" w:rsidRPr="009C5319" w:rsidRDefault="00A0542D" w:rsidP="00A0542D">
            <w:pPr>
              <w:keepNext/>
              <w:keepLines/>
              <w:ind w:firstLineChars="0" w:firstLine="0"/>
              <w:jc w:val="center"/>
              <w:rPr>
                <w:rFonts w:cs="Times New Roman"/>
                <w:kern w:val="0"/>
                <w:sz w:val="18"/>
                <w:szCs w:val="18"/>
              </w:rPr>
            </w:pPr>
            <w:r w:rsidRPr="00481C60">
              <w:rPr>
                <w:rFonts w:cs="Times New Roman"/>
                <w:kern w:val="0"/>
                <w:sz w:val="18"/>
                <w:szCs w:val="18"/>
              </w:rPr>
              <w:t>(0.0442)</w:t>
            </w:r>
          </w:p>
        </w:tc>
      </w:tr>
      <w:tr w:rsidR="00A0542D" w:rsidRPr="009C5319" w14:paraId="7BFF544B" w14:textId="0EB167C6" w:rsidTr="004200C5">
        <w:trPr>
          <w:trHeight w:val="60"/>
          <w:jc w:val="center"/>
        </w:trPr>
        <w:tc>
          <w:tcPr>
            <w:tcW w:w="0" w:type="auto"/>
            <w:vMerge w:val="restart"/>
            <w:tcBorders>
              <w:top w:val="nil"/>
              <w:left w:val="nil"/>
              <w:right w:val="single" w:sz="4" w:space="0" w:color="auto"/>
            </w:tcBorders>
            <w:vAlign w:val="center"/>
          </w:tcPr>
          <w:p w14:paraId="0EE74985" w14:textId="64281735" w:rsidR="00A0542D" w:rsidRPr="004200C5" w:rsidRDefault="00A0542D" w:rsidP="004200C5">
            <w:pPr>
              <w:keepNext/>
              <w:keepLines/>
              <w:ind w:firstLine="336"/>
              <w:jc w:val="left"/>
              <w:rPr>
                <w:rFonts w:cs="Times New Roman"/>
                <w:iCs/>
                <w:color w:val="000000" w:themeColor="text1"/>
                <w:sz w:val="18"/>
                <w:szCs w:val="18"/>
              </w:rPr>
            </w:pPr>
            <m:oMathPara>
              <m:oMathParaPr>
                <m:jc m:val="left"/>
              </m:oMathParaPr>
              <m:oMath>
                <m:r>
                  <w:rPr>
                    <w:rFonts w:ascii="Cambria Math" w:hAnsi="Cambria Math" w:cs="Times New Roman"/>
                    <w:sz w:val="18"/>
                    <w:szCs w:val="18"/>
                  </w:rPr>
                  <m:t>C</m:t>
                </m:r>
                <m:r>
                  <w:rPr>
                    <w:rFonts w:ascii="Cambria Math" w:hAnsi="Cambria Math" w:cs="Times New Roman" w:hint="eastAsia"/>
                    <w:sz w:val="18"/>
                    <w:szCs w:val="18"/>
                  </w:rPr>
                  <m:t>ourt</m:t>
                </m:r>
                <m:r>
                  <w:rPr>
                    <w:rFonts w:ascii="Cambria Math" w:hAnsi="Cambria Math" w:cs="Times New Roman"/>
                    <w:sz w:val="18"/>
                    <w:szCs w:val="18"/>
                  </w:rPr>
                  <m:t>×T</m:t>
                </m:r>
              </m:oMath>
            </m:oMathPara>
          </w:p>
        </w:tc>
        <w:tc>
          <w:tcPr>
            <w:tcW w:w="0" w:type="auto"/>
            <w:tcBorders>
              <w:top w:val="nil"/>
              <w:left w:val="single" w:sz="4" w:space="0" w:color="auto"/>
              <w:bottom w:val="nil"/>
              <w:right w:val="single" w:sz="4" w:space="0" w:color="auto"/>
            </w:tcBorders>
          </w:tcPr>
          <w:p w14:paraId="59FC2FA2" w14:textId="045D2707" w:rsidR="00A0542D" w:rsidRPr="00481C60" w:rsidRDefault="00A0542D" w:rsidP="00A0542D">
            <w:pPr>
              <w:keepNext/>
              <w:keepLines/>
              <w:ind w:firstLineChars="0" w:firstLine="0"/>
              <w:jc w:val="center"/>
              <w:rPr>
                <w:rFonts w:cs="Times New Roman"/>
                <w:kern w:val="0"/>
                <w:sz w:val="18"/>
                <w:szCs w:val="18"/>
              </w:rPr>
            </w:pPr>
            <w:r w:rsidRPr="00481C60">
              <w:rPr>
                <w:rFonts w:cs="Times New Roman"/>
                <w:kern w:val="0"/>
                <w:sz w:val="18"/>
                <w:szCs w:val="18"/>
              </w:rPr>
              <w:t>-0.0944</w:t>
            </w:r>
          </w:p>
        </w:tc>
        <w:tc>
          <w:tcPr>
            <w:tcW w:w="0" w:type="auto"/>
            <w:tcBorders>
              <w:top w:val="nil"/>
              <w:left w:val="single" w:sz="4" w:space="0" w:color="auto"/>
              <w:bottom w:val="nil"/>
              <w:right w:val="single" w:sz="4" w:space="0" w:color="auto"/>
            </w:tcBorders>
          </w:tcPr>
          <w:p w14:paraId="3ABC3C28"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625CB05B"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18E68D7E"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5FCEECF8"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nil"/>
            </w:tcBorders>
          </w:tcPr>
          <w:p w14:paraId="46E6DA71" w14:textId="77777777" w:rsidR="00A0542D" w:rsidRPr="00481C60" w:rsidRDefault="00A0542D" w:rsidP="00A0542D">
            <w:pPr>
              <w:keepNext/>
              <w:keepLines/>
              <w:ind w:firstLineChars="0" w:firstLine="0"/>
              <w:jc w:val="center"/>
              <w:rPr>
                <w:rFonts w:cs="Times New Roman"/>
                <w:kern w:val="0"/>
                <w:sz w:val="18"/>
                <w:szCs w:val="18"/>
              </w:rPr>
            </w:pPr>
          </w:p>
        </w:tc>
      </w:tr>
      <w:tr w:rsidR="00A0542D" w:rsidRPr="009C5319" w14:paraId="6AA2AFE9" w14:textId="2156F948" w:rsidTr="004200C5">
        <w:trPr>
          <w:trHeight w:val="60"/>
          <w:jc w:val="center"/>
        </w:trPr>
        <w:tc>
          <w:tcPr>
            <w:tcW w:w="0" w:type="auto"/>
            <w:vMerge/>
            <w:tcBorders>
              <w:left w:val="nil"/>
              <w:bottom w:val="nil"/>
              <w:right w:val="single" w:sz="4" w:space="0" w:color="auto"/>
            </w:tcBorders>
            <w:vAlign w:val="center"/>
          </w:tcPr>
          <w:p w14:paraId="0D51B5FD" w14:textId="77777777" w:rsidR="00A0542D" w:rsidRPr="009C5319" w:rsidRDefault="00A0542D" w:rsidP="004200C5">
            <w:pPr>
              <w:keepNext/>
              <w:keepLines/>
              <w:ind w:firstLine="336"/>
              <w:jc w:val="left"/>
              <w:rPr>
                <w:rFonts w:cs="Times New Roman"/>
                <w:iCs/>
                <w:color w:val="000000" w:themeColor="text1"/>
                <w:sz w:val="18"/>
                <w:szCs w:val="18"/>
              </w:rPr>
            </w:pPr>
          </w:p>
        </w:tc>
        <w:tc>
          <w:tcPr>
            <w:tcW w:w="0" w:type="auto"/>
            <w:tcBorders>
              <w:top w:val="nil"/>
              <w:left w:val="single" w:sz="4" w:space="0" w:color="auto"/>
              <w:bottom w:val="nil"/>
              <w:right w:val="single" w:sz="4" w:space="0" w:color="auto"/>
            </w:tcBorders>
          </w:tcPr>
          <w:p w14:paraId="12BF5E64" w14:textId="42A0D156" w:rsidR="00A0542D" w:rsidRPr="00481C60" w:rsidRDefault="00A0542D" w:rsidP="00A0542D">
            <w:pPr>
              <w:keepNext/>
              <w:keepLines/>
              <w:ind w:firstLineChars="0" w:firstLine="0"/>
              <w:jc w:val="center"/>
              <w:rPr>
                <w:rFonts w:cs="Times New Roman"/>
                <w:kern w:val="0"/>
                <w:sz w:val="18"/>
                <w:szCs w:val="18"/>
              </w:rPr>
            </w:pPr>
            <w:r w:rsidRPr="00481C60">
              <w:rPr>
                <w:rFonts w:cs="Times New Roman"/>
                <w:kern w:val="0"/>
                <w:sz w:val="18"/>
                <w:szCs w:val="18"/>
              </w:rPr>
              <w:t>(0.1000)</w:t>
            </w:r>
          </w:p>
        </w:tc>
        <w:tc>
          <w:tcPr>
            <w:tcW w:w="0" w:type="auto"/>
            <w:tcBorders>
              <w:top w:val="nil"/>
              <w:left w:val="single" w:sz="4" w:space="0" w:color="auto"/>
              <w:bottom w:val="nil"/>
              <w:right w:val="single" w:sz="4" w:space="0" w:color="auto"/>
            </w:tcBorders>
          </w:tcPr>
          <w:p w14:paraId="5294CDA3"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31A1BF9B"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25406B89"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336A3286"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nil"/>
            </w:tcBorders>
          </w:tcPr>
          <w:p w14:paraId="20A6013F" w14:textId="77777777" w:rsidR="00A0542D" w:rsidRPr="00481C60" w:rsidRDefault="00A0542D" w:rsidP="00A0542D">
            <w:pPr>
              <w:keepNext/>
              <w:keepLines/>
              <w:ind w:firstLineChars="0" w:firstLine="0"/>
              <w:jc w:val="center"/>
              <w:rPr>
                <w:rFonts w:cs="Times New Roman"/>
                <w:kern w:val="0"/>
                <w:sz w:val="18"/>
                <w:szCs w:val="18"/>
              </w:rPr>
            </w:pPr>
          </w:p>
        </w:tc>
      </w:tr>
      <w:tr w:rsidR="00A0542D" w:rsidRPr="009C5319" w14:paraId="1A583DED" w14:textId="1B8A894F" w:rsidTr="004200C5">
        <w:trPr>
          <w:trHeight w:val="60"/>
          <w:jc w:val="center"/>
        </w:trPr>
        <w:tc>
          <w:tcPr>
            <w:tcW w:w="0" w:type="auto"/>
            <w:vMerge w:val="restart"/>
            <w:tcBorders>
              <w:top w:val="nil"/>
              <w:left w:val="nil"/>
              <w:bottom w:val="nil"/>
              <w:right w:val="single" w:sz="4" w:space="0" w:color="auto"/>
            </w:tcBorders>
            <w:vAlign w:val="center"/>
          </w:tcPr>
          <w:p w14:paraId="42705098" w14:textId="37D8C9B2" w:rsidR="00A0542D" w:rsidRPr="004200C5" w:rsidRDefault="00A0542D" w:rsidP="004200C5">
            <w:pPr>
              <w:keepNext/>
              <w:keepLines/>
              <w:ind w:firstLine="336"/>
              <w:jc w:val="left"/>
              <w:rPr>
                <w:rFonts w:cs="Times New Roman"/>
                <w:iCs/>
                <w:color w:val="000000" w:themeColor="text1"/>
                <w:sz w:val="18"/>
                <w:szCs w:val="18"/>
              </w:rPr>
            </w:pPr>
            <m:oMathPara>
              <m:oMathParaPr>
                <m:jc m:val="left"/>
              </m:oMathParaPr>
              <m:oMath>
                <m:r>
                  <w:rPr>
                    <w:rFonts w:ascii="Cambria Math" w:hAnsi="Cambria Math" w:cs="Times New Roman"/>
                    <w:sz w:val="18"/>
                    <w:szCs w:val="18"/>
                  </w:rPr>
                  <m:t>Belt×T</m:t>
                </m:r>
              </m:oMath>
            </m:oMathPara>
          </w:p>
        </w:tc>
        <w:tc>
          <w:tcPr>
            <w:tcW w:w="0" w:type="auto"/>
            <w:tcBorders>
              <w:top w:val="nil"/>
              <w:left w:val="single" w:sz="4" w:space="0" w:color="auto"/>
              <w:bottom w:val="nil"/>
              <w:right w:val="single" w:sz="4" w:space="0" w:color="auto"/>
            </w:tcBorders>
          </w:tcPr>
          <w:p w14:paraId="69D0AEBC"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05CC4222" w14:textId="09C9CF09" w:rsidR="00A0542D" w:rsidRPr="00481C60" w:rsidRDefault="00A0542D" w:rsidP="00A0542D">
            <w:pPr>
              <w:keepNext/>
              <w:keepLines/>
              <w:ind w:firstLineChars="0" w:firstLine="0"/>
              <w:jc w:val="center"/>
              <w:rPr>
                <w:rFonts w:cs="Times New Roman"/>
                <w:kern w:val="0"/>
                <w:sz w:val="18"/>
                <w:szCs w:val="18"/>
              </w:rPr>
            </w:pPr>
            <w:r w:rsidRPr="00481C60">
              <w:rPr>
                <w:rFonts w:cs="Times New Roman"/>
                <w:kern w:val="0"/>
                <w:sz w:val="18"/>
                <w:szCs w:val="18"/>
              </w:rPr>
              <w:t>-0.0742</w:t>
            </w:r>
          </w:p>
        </w:tc>
        <w:tc>
          <w:tcPr>
            <w:tcW w:w="0" w:type="auto"/>
            <w:tcBorders>
              <w:top w:val="nil"/>
              <w:left w:val="single" w:sz="4" w:space="0" w:color="auto"/>
              <w:bottom w:val="nil"/>
              <w:right w:val="single" w:sz="4" w:space="0" w:color="auto"/>
            </w:tcBorders>
          </w:tcPr>
          <w:p w14:paraId="0811D20B"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2EB3B29C"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3ED7D081"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nil"/>
            </w:tcBorders>
          </w:tcPr>
          <w:p w14:paraId="2CC250C0" w14:textId="77777777" w:rsidR="00A0542D" w:rsidRPr="00481C60" w:rsidRDefault="00A0542D" w:rsidP="00A0542D">
            <w:pPr>
              <w:keepNext/>
              <w:keepLines/>
              <w:ind w:firstLineChars="0" w:firstLine="0"/>
              <w:jc w:val="center"/>
              <w:rPr>
                <w:rFonts w:cs="Times New Roman"/>
                <w:kern w:val="0"/>
                <w:sz w:val="18"/>
                <w:szCs w:val="18"/>
              </w:rPr>
            </w:pPr>
          </w:p>
        </w:tc>
      </w:tr>
      <w:tr w:rsidR="00A0542D" w:rsidRPr="009C5319" w14:paraId="1E12BA25" w14:textId="35A0A04E" w:rsidTr="004200C5">
        <w:trPr>
          <w:trHeight w:val="60"/>
          <w:jc w:val="center"/>
        </w:trPr>
        <w:tc>
          <w:tcPr>
            <w:tcW w:w="0" w:type="auto"/>
            <w:vMerge/>
            <w:tcBorders>
              <w:left w:val="nil"/>
              <w:bottom w:val="nil"/>
              <w:right w:val="single" w:sz="4" w:space="0" w:color="auto"/>
            </w:tcBorders>
            <w:vAlign w:val="center"/>
          </w:tcPr>
          <w:p w14:paraId="464C642B" w14:textId="77777777" w:rsidR="00A0542D" w:rsidRPr="009C5319" w:rsidRDefault="00A0542D" w:rsidP="004200C5">
            <w:pPr>
              <w:keepNext/>
              <w:keepLines/>
              <w:ind w:firstLine="336"/>
              <w:jc w:val="left"/>
              <w:rPr>
                <w:rFonts w:cs="Times New Roman"/>
                <w:iCs/>
                <w:color w:val="000000" w:themeColor="text1"/>
                <w:sz w:val="18"/>
                <w:szCs w:val="18"/>
              </w:rPr>
            </w:pPr>
          </w:p>
        </w:tc>
        <w:tc>
          <w:tcPr>
            <w:tcW w:w="0" w:type="auto"/>
            <w:tcBorders>
              <w:top w:val="nil"/>
              <w:left w:val="single" w:sz="4" w:space="0" w:color="auto"/>
              <w:bottom w:val="nil"/>
              <w:right w:val="single" w:sz="4" w:space="0" w:color="auto"/>
            </w:tcBorders>
          </w:tcPr>
          <w:p w14:paraId="7BABB2DD"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04F9C20C" w14:textId="254F1D2B" w:rsidR="00A0542D" w:rsidRPr="00481C60" w:rsidRDefault="00A0542D" w:rsidP="00A0542D">
            <w:pPr>
              <w:keepNext/>
              <w:keepLines/>
              <w:ind w:firstLineChars="0" w:firstLine="0"/>
              <w:jc w:val="center"/>
              <w:rPr>
                <w:rFonts w:cs="Times New Roman"/>
                <w:kern w:val="0"/>
                <w:sz w:val="18"/>
                <w:szCs w:val="18"/>
              </w:rPr>
            </w:pPr>
            <w:r w:rsidRPr="00481C60">
              <w:rPr>
                <w:rFonts w:cs="Times New Roman"/>
                <w:kern w:val="0"/>
                <w:sz w:val="18"/>
                <w:szCs w:val="18"/>
              </w:rPr>
              <w:t>(0.0500)</w:t>
            </w:r>
          </w:p>
        </w:tc>
        <w:tc>
          <w:tcPr>
            <w:tcW w:w="0" w:type="auto"/>
            <w:tcBorders>
              <w:top w:val="nil"/>
              <w:left w:val="single" w:sz="4" w:space="0" w:color="auto"/>
              <w:bottom w:val="nil"/>
              <w:right w:val="single" w:sz="4" w:space="0" w:color="auto"/>
            </w:tcBorders>
          </w:tcPr>
          <w:p w14:paraId="7C960047"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21958D4B"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015A4680"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nil"/>
            </w:tcBorders>
          </w:tcPr>
          <w:p w14:paraId="6E329FE8" w14:textId="77777777" w:rsidR="00A0542D" w:rsidRPr="00481C60" w:rsidRDefault="00A0542D" w:rsidP="00A0542D">
            <w:pPr>
              <w:keepNext/>
              <w:keepLines/>
              <w:ind w:firstLineChars="0" w:firstLine="0"/>
              <w:jc w:val="center"/>
              <w:rPr>
                <w:rFonts w:cs="Times New Roman"/>
                <w:kern w:val="0"/>
                <w:sz w:val="18"/>
                <w:szCs w:val="18"/>
              </w:rPr>
            </w:pPr>
          </w:p>
        </w:tc>
      </w:tr>
      <w:tr w:rsidR="00A0542D" w:rsidRPr="009C5319" w14:paraId="44943828" w14:textId="272D83BD" w:rsidTr="004200C5">
        <w:trPr>
          <w:trHeight w:val="60"/>
          <w:jc w:val="center"/>
        </w:trPr>
        <w:tc>
          <w:tcPr>
            <w:tcW w:w="0" w:type="auto"/>
            <w:vMerge w:val="restart"/>
            <w:tcBorders>
              <w:top w:val="nil"/>
              <w:left w:val="nil"/>
              <w:right w:val="single" w:sz="4" w:space="0" w:color="auto"/>
            </w:tcBorders>
            <w:vAlign w:val="center"/>
          </w:tcPr>
          <w:p w14:paraId="4F7BEDB0" w14:textId="05670F24" w:rsidR="00A0542D" w:rsidRPr="004200C5" w:rsidRDefault="00A0542D" w:rsidP="004200C5">
            <w:pPr>
              <w:keepNext/>
              <w:keepLines/>
              <w:ind w:firstLine="336"/>
              <w:jc w:val="left"/>
              <w:rPr>
                <w:rFonts w:cs="Times New Roman"/>
                <w:iCs/>
                <w:color w:val="000000" w:themeColor="text1"/>
                <w:sz w:val="18"/>
                <w:szCs w:val="18"/>
              </w:rPr>
            </w:pPr>
            <m:oMathPara>
              <m:oMathParaPr>
                <m:jc m:val="left"/>
              </m:oMathParaPr>
              <m:oMath>
                <m:r>
                  <w:rPr>
                    <w:rFonts w:ascii="Cambria Math" w:hAnsi="Cambria Math" w:cs="Times New Roman"/>
                    <w:sz w:val="18"/>
                    <w:szCs w:val="18"/>
                  </w:rPr>
                  <m:t>Internet×T</m:t>
                </m:r>
              </m:oMath>
            </m:oMathPara>
          </w:p>
        </w:tc>
        <w:tc>
          <w:tcPr>
            <w:tcW w:w="0" w:type="auto"/>
            <w:tcBorders>
              <w:top w:val="nil"/>
              <w:left w:val="single" w:sz="4" w:space="0" w:color="auto"/>
              <w:bottom w:val="nil"/>
              <w:right w:val="single" w:sz="4" w:space="0" w:color="auto"/>
            </w:tcBorders>
          </w:tcPr>
          <w:p w14:paraId="605A6761"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073CEA67"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46F9360D" w14:textId="7C983CB0" w:rsidR="00A0542D" w:rsidRPr="00481C60" w:rsidRDefault="00A0542D" w:rsidP="00A0542D">
            <w:pPr>
              <w:keepNext/>
              <w:keepLines/>
              <w:ind w:firstLineChars="0" w:firstLine="0"/>
              <w:jc w:val="center"/>
              <w:rPr>
                <w:rFonts w:cs="Times New Roman"/>
                <w:kern w:val="0"/>
                <w:sz w:val="18"/>
                <w:szCs w:val="18"/>
              </w:rPr>
            </w:pPr>
            <w:r w:rsidRPr="00481C60">
              <w:rPr>
                <w:rFonts w:cs="Times New Roman"/>
                <w:kern w:val="0"/>
                <w:sz w:val="18"/>
                <w:szCs w:val="18"/>
              </w:rPr>
              <w:t>0.1043**</w:t>
            </w:r>
          </w:p>
        </w:tc>
        <w:tc>
          <w:tcPr>
            <w:tcW w:w="0" w:type="auto"/>
            <w:tcBorders>
              <w:top w:val="nil"/>
              <w:left w:val="single" w:sz="4" w:space="0" w:color="auto"/>
              <w:bottom w:val="nil"/>
              <w:right w:val="single" w:sz="4" w:space="0" w:color="auto"/>
            </w:tcBorders>
          </w:tcPr>
          <w:p w14:paraId="619B793F"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24874EA3"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nil"/>
            </w:tcBorders>
          </w:tcPr>
          <w:p w14:paraId="1823B843" w14:textId="77777777" w:rsidR="00A0542D" w:rsidRPr="00481C60" w:rsidRDefault="00A0542D" w:rsidP="00A0542D">
            <w:pPr>
              <w:keepNext/>
              <w:keepLines/>
              <w:ind w:firstLineChars="0" w:firstLine="0"/>
              <w:jc w:val="center"/>
              <w:rPr>
                <w:rFonts w:cs="Times New Roman"/>
                <w:kern w:val="0"/>
                <w:sz w:val="18"/>
                <w:szCs w:val="18"/>
              </w:rPr>
            </w:pPr>
          </w:p>
        </w:tc>
      </w:tr>
      <w:tr w:rsidR="00A0542D" w:rsidRPr="009C5319" w14:paraId="7EF42C58" w14:textId="2D60AA92" w:rsidTr="004200C5">
        <w:trPr>
          <w:trHeight w:val="60"/>
          <w:jc w:val="center"/>
        </w:trPr>
        <w:tc>
          <w:tcPr>
            <w:tcW w:w="0" w:type="auto"/>
            <w:vMerge/>
            <w:tcBorders>
              <w:left w:val="nil"/>
              <w:bottom w:val="nil"/>
              <w:right w:val="single" w:sz="4" w:space="0" w:color="auto"/>
            </w:tcBorders>
            <w:vAlign w:val="center"/>
          </w:tcPr>
          <w:p w14:paraId="053B2296" w14:textId="77777777" w:rsidR="00A0542D" w:rsidRPr="009C5319" w:rsidRDefault="00A0542D" w:rsidP="004200C5">
            <w:pPr>
              <w:keepNext/>
              <w:keepLines/>
              <w:ind w:firstLine="336"/>
              <w:jc w:val="left"/>
              <w:rPr>
                <w:rFonts w:cs="Times New Roman"/>
                <w:iCs/>
                <w:color w:val="000000" w:themeColor="text1"/>
                <w:sz w:val="18"/>
                <w:szCs w:val="18"/>
              </w:rPr>
            </w:pPr>
          </w:p>
        </w:tc>
        <w:tc>
          <w:tcPr>
            <w:tcW w:w="0" w:type="auto"/>
            <w:tcBorders>
              <w:top w:val="nil"/>
              <w:left w:val="single" w:sz="4" w:space="0" w:color="auto"/>
              <w:bottom w:val="nil"/>
              <w:right w:val="single" w:sz="4" w:space="0" w:color="auto"/>
            </w:tcBorders>
          </w:tcPr>
          <w:p w14:paraId="48AA95FB"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53488E95"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2192C026" w14:textId="4E75BBC0" w:rsidR="00A0542D" w:rsidRPr="00481C60" w:rsidRDefault="00A0542D" w:rsidP="00A0542D">
            <w:pPr>
              <w:keepNext/>
              <w:keepLines/>
              <w:ind w:firstLineChars="0" w:firstLine="0"/>
              <w:jc w:val="center"/>
              <w:rPr>
                <w:rFonts w:cs="Times New Roman"/>
                <w:kern w:val="0"/>
                <w:sz w:val="18"/>
                <w:szCs w:val="18"/>
              </w:rPr>
            </w:pPr>
            <w:r w:rsidRPr="00481C60">
              <w:rPr>
                <w:rFonts w:cs="Times New Roman"/>
                <w:kern w:val="0"/>
                <w:sz w:val="18"/>
                <w:szCs w:val="18"/>
              </w:rPr>
              <w:t>(0.0477)</w:t>
            </w:r>
          </w:p>
        </w:tc>
        <w:tc>
          <w:tcPr>
            <w:tcW w:w="0" w:type="auto"/>
            <w:tcBorders>
              <w:top w:val="nil"/>
              <w:left w:val="single" w:sz="4" w:space="0" w:color="auto"/>
              <w:bottom w:val="nil"/>
              <w:right w:val="single" w:sz="4" w:space="0" w:color="auto"/>
            </w:tcBorders>
          </w:tcPr>
          <w:p w14:paraId="15E2395D"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22BF6A2C"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nil"/>
            </w:tcBorders>
          </w:tcPr>
          <w:p w14:paraId="707C80C6" w14:textId="77777777" w:rsidR="00A0542D" w:rsidRPr="00481C60" w:rsidRDefault="00A0542D" w:rsidP="00A0542D">
            <w:pPr>
              <w:keepNext/>
              <w:keepLines/>
              <w:ind w:firstLineChars="0" w:firstLine="0"/>
              <w:jc w:val="center"/>
              <w:rPr>
                <w:rFonts w:cs="Times New Roman"/>
                <w:kern w:val="0"/>
                <w:sz w:val="18"/>
                <w:szCs w:val="18"/>
              </w:rPr>
            </w:pPr>
          </w:p>
        </w:tc>
      </w:tr>
      <w:tr w:rsidR="00A0542D" w:rsidRPr="009C5319" w14:paraId="4B969ADE" w14:textId="73650EAF" w:rsidTr="004200C5">
        <w:trPr>
          <w:trHeight w:val="60"/>
          <w:jc w:val="center"/>
        </w:trPr>
        <w:tc>
          <w:tcPr>
            <w:tcW w:w="0" w:type="auto"/>
            <w:vMerge w:val="restart"/>
            <w:tcBorders>
              <w:top w:val="nil"/>
              <w:left w:val="nil"/>
              <w:right w:val="single" w:sz="4" w:space="0" w:color="auto"/>
            </w:tcBorders>
            <w:vAlign w:val="center"/>
          </w:tcPr>
          <w:p w14:paraId="50F37D47" w14:textId="0E04DD2F" w:rsidR="00A0542D" w:rsidRPr="004200C5" w:rsidRDefault="00A0542D" w:rsidP="004200C5">
            <w:pPr>
              <w:keepNext/>
              <w:keepLines/>
              <w:ind w:firstLine="336"/>
              <w:jc w:val="left"/>
              <w:rPr>
                <w:rFonts w:cs="Times New Roman"/>
                <w:iCs/>
                <w:color w:val="000000" w:themeColor="text1"/>
                <w:sz w:val="18"/>
                <w:szCs w:val="18"/>
              </w:rPr>
            </w:pPr>
            <m:oMathPara>
              <m:oMathParaPr>
                <m:jc m:val="left"/>
              </m:oMathParaPr>
              <m:oMath>
                <m:r>
                  <w:rPr>
                    <w:rFonts w:ascii="Cambria Math" w:hAnsi="Cambria Math" w:cs="Times New Roman"/>
                    <w:sz w:val="18"/>
                    <w:szCs w:val="18"/>
                  </w:rPr>
                  <m:t>Broadband×T</m:t>
                </m:r>
              </m:oMath>
            </m:oMathPara>
          </w:p>
        </w:tc>
        <w:tc>
          <w:tcPr>
            <w:tcW w:w="0" w:type="auto"/>
            <w:tcBorders>
              <w:top w:val="nil"/>
              <w:left w:val="single" w:sz="4" w:space="0" w:color="auto"/>
              <w:bottom w:val="nil"/>
              <w:right w:val="single" w:sz="4" w:space="0" w:color="auto"/>
            </w:tcBorders>
          </w:tcPr>
          <w:p w14:paraId="2819F2C6"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06835194"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76DD3E5B"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20AE0D9D" w14:textId="3DC0F079" w:rsidR="00A0542D" w:rsidRPr="00481C60" w:rsidRDefault="00A0542D" w:rsidP="00A0542D">
            <w:pPr>
              <w:keepNext/>
              <w:keepLines/>
              <w:ind w:firstLineChars="0" w:firstLine="0"/>
              <w:jc w:val="center"/>
              <w:rPr>
                <w:rFonts w:cs="Times New Roman"/>
                <w:kern w:val="0"/>
                <w:sz w:val="18"/>
                <w:szCs w:val="18"/>
              </w:rPr>
            </w:pPr>
            <w:r w:rsidRPr="00481C60">
              <w:rPr>
                <w:rFonts w:cs="Times New Roman"/>
                <w:kern w:val="0"/>
                <w:sz w:val="18"/>
                <w:szCs w:val="18"/>
              </w:rPr>
              <w:t>0.1</w:t>
            </w:r>
            <w:r w:rsidR="00CC75C2">
              <w:rPr>
                <w:rFonts w:cs="Times New Roman" w:hint="eastAsia"/>
                <w:kern w:val="0"/>
                <w:sz w:val="18"/>
                <w:szCs w:val="18"/>
              </w:rPr>
              <w:t>137</w:t>
            </w:r>
            <w:r w:rsidRPr="00481C60">
              <w:rPr>
                <w:rFonts w:cs="Times New Roman"/>
                <w:kern w:val="0"/>
                <w:sz w:val="18"/>
                <w:szCs w:val="18"/>
              </w:rPr>
              <w:t>***</w:t>
            </w:r>
          </w:p>
        </w:tc>
        <w:tc>
          <w:tcPr>
            <w:tcW w:w="0" w:type="auto"/>
            <w:tcBorders>
              <w:top w:val="nil"/>
              <w:left w:val="single" w:sz="4" w:space="0" w:color="auto"/>
              <w:bottom w:val="nil"/>
              <w:right w:val="single" w:sz="4" w:space="0" w:color="auto"/>
            </w:tcBorders>
          </w:tcPr>
          <w:p w14:paraId="504D10E2"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nil"/>
            </w:tcBorders>
          </w:tcPr>
          <w:p w14:paraId="06F13901" w14:textId="77777777" w:rsidR="00A0542D" w:rsidRPr="00481C60" w:rsidRDefault="00A0542D" w:rsidP="00A0542D">
            <w:pPr>
              <w:keepNext/>
              <w:keepLines/>
              <w:ind w:firstLineChars="0" w:firstLine="0"/>
              <w:jc w:val="center"/>
              <w:rPr>
                <w:rFonts w:cs="Times New Roman"/>
                <w:kern w:val="0"/>
                <w:sz w:val="18"/>
                <w:szCs w:val="18"/>
              </w:rPr>
            </w:pPr>
          </w:p>
        </w:tc>
      </w:tr>
      <w:tr w:rsidR="00A0542D" w:rsidRPr="009C5319" w14:paraId="612711E1" w14:textId="6F247E5A" w:rsidTr="004200C5">
        <w:trPr>
          <w:trHeight w:val="60"/>
          <w:jc w:val="center"/>
        </w:trPr>
        <w:tc>
          <w:tcPr>
            <w:tcW w:w="0" w:type="auto"/>
            <w:vMerge/>
            <w:tcBorders>
              <w:left w:val="nil"/>
              <w:bottom w:val="nil"/>
              <w:right w:val="single" w:sz="4" w:space="0" w:color="auto"/>
            </w:tcBorders>
            <w:vAlign w:val="center"/>
          </w:tcPr>
          <w:p w14:paraId="6BC024A4" w14:textId="77777777" w:rsidR="00A0542D" w:rsidRPr="009C5319" w:rsidRDefault="00A0542D" w:rsidP="004200C5">
            <w:pPr>
              <w:keepNext/>
              <w:keepLines/>
              <w:ind w:firstLine="336"/>
              <w:jc w:val="left"/>
              <w:rPr>
                <w:rFonts w:cs="Times New Roman"/>
                <w:iCs/>
                <w:color w:val="000000" w:themeColor="text1"/>
                <w:sz w:val="18"/>
                <w:szCs w:val="18"/>
              </w:rPr>
            </w:pPr>
          </w:p>
        </w:tc>
        <w:tc>
          <w:tcPr>
            <w:tcW w:w="0" w:type="auto"/>
            <w:tcBorders>
              <w:top w:val="nil"/>
              <w:left w:val="single" w:sz="4" w:space="0" w:color="auto"/>
              <w:bottom w:val="nil"/>
              <w:right w:val="single" w:sz="4" w:space="0" w:color="auto"/>
            </w:tcBorders>
          </w:tcPr>
          <w:p w14:paraId="454A9A4B"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5A0E0CAE"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68095C74"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4A2CC7E6" w14:textId="0AD9D41D" w:rsidR="00A0542D" w:rsidRPr="00481C60" w:rsidRDefault="00A0542D" w:rsidP="00A0542D">
            <w:pPr>
              <w:keepNext/>
              <w:keepLines/>
              <w:ind w:firstLineChars="0" w:firstLine="0"/>
              <w:jc w:val="center"/>
              <w:rPr>
                <w:rFonts w:cs="Times New Roman"/>
                <w:kern w:val="0"/>
                <w:sz w:val="18"/>
                <w:szCs w:val="18"/>
              </w:rPr>
            </w:pPr>
            <w:r w:rsidRPr="00481C60">
              <w:rPr>
                <w:rFonts w:cs="Times New Roman"/>
                <w:kern w:val="0"/>
                <w:sz w:val="18"/>
                <w:szCs w:val="18"/>
              </w:rPr>
              <w:t>(0.039</w:t>
            </w:r>
            <w:r w:rsidR="00CC75C2">
              <w:rPr>
                <w:rFonts w:cs="Times New Roman" w:hint="eastAsia"/>
                <w:kern w:val="0"/>
                <w:sz w:val="18"/>
                <w:szCs w:val="18"/>
              </w:rPr>
              <w:t>5</w:t>
            </w:r>
            <w:r w:rsidRPr="00481C60">
              <w:rPr>
                <w:rFonts w:cs="Times New Roman"/>
                <w:kern w:val="0"/>
                <w:sz w:val="18"/>
                <w:szCs w:val="18"/>
              </w:rPr>
              <w:t>)</w:t>
            </w:r>
          </w:p>
        </w:tc>
        <w:tc>
          <w:tcPr>
            <w:tcW w:w="0" w:type="auto"/>
            <w:tcBorders>
              <w:top w:val="nil"/>
              <w:left w:val="single" w:sz="4" w:space="0" w:color="auto"/>
              <w:bottom w:val="nil"/>
              <w:right w:val="single" w:sz="4" w:space="0" w:color="auto"/>
            </w:tcBorders>
          </w:tcPr>
          <w:p w14:paraId="32FDA2C4"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nil"/>
            </w:tcBorders>
          </w:tcPr>
          <w:p w14:paraId="66103C3A" w14:textId="77777777" w:rsidR="00A0542D" w:rsidRPr="00481C60" w:rsidRDefault="00A0542D" w:rsidP="00A0542D">
            <w:pPr>
              <w:keepNext/>
              <w:keepLines/>
              <w:ind w:firstLineChars="0" w:firstLine="0"/>
              <w:jc w:val="center"/>
              <w:rPr>
                <w:rFonts w:cs="Times New Roman"/>
                <w:kern w:val="0"/>
                <w:sz w:val="18"/>
                <w:szCs w:val="18"/>
              </w:rPr>
            </w:pPr>
          </w:p>
        </w:tc>
      </w:tr>
      <w:tr w:rsidR="00A0542D" w:rsidRPr="009C5319" w14:paraId="1520DCCA" w14:textId="17E36EE4" w:rsidTr="004200C5">
        <w:trPr>
          <w:trHeight w:val="60"/>
          <w:jc w:val="center"/>
        </w:trPr>
        <w:tc>
          <w:tcPr>
            <w:tcW w:w="0" w:type="auto"/>
            <w:vMerge w:val="restart"/>
            <w:tcBorders>
              <w:top w:val="nil"/>
              <w:left w:val="nil"/>
              <w:right w:val="single" w:sz="4" w:space="0" w:color="auto"/>
            </w:tcBorders>
            <w:vAlign w:val="center"/>
          </w:tcPr>
          <w:p w14:paraId="32E5D2CF" w14:textId="44135641" w:rsidR="00A0542D" w:rsidRPr="004200C5" w:rsidRDefault="00A0542D" w:rsidP="004200C5">
            <w:pPr>
              <w:keepNext/>
              <w:keepLines/>
              <w:ind w:firstLine="336"/>
              <w:jc w:val="left"/>
              <w:rPr>
                <w:rFonts w:cs="Times New Roman"/>
                <w:iCs/>
                <w:color w:val="000000" w:themeColor="text1"/>
                <w:sz w:val="18"/>
                <w:szCs w:val="18"/>
              </w:rPr>
            </w:pPr>
            <m:oMathPara>
              <m:oMathParaPr>
                <m:jc m:val="left"/>
              </m:oMathParaPr>
              <m:oMath>
                <m:r>
                  <w:rPr>
                    <w:rFonts w:ascii="Cambria Math" w:hAnsi="Cambria Math" w:cs="Times New Roman"/>
                    <w:sz w:val="18"/>
                    <w:szCs w:val="18"/>
                  </w:rPr>
                  <m:t>Market×T</m:t>
                </m:r>
              </m:oMath>
            </m:oMathPara>
          </w:p>
        </w:tc>
        <w:tc>
          <w:tcPr>
            <w:tcW w:w="0" w:type="auto"/>
            <w:tcBorders>
              <w:top w:val="nil"/>
              <w:left w:val="single" w:sz="4" w:space="0" w:color="auto"/>
              <w:bottom w:val="nil"/>
              <w:right w:val="single" w:sz="4" w:space="0" w:color="auto"/>
            </w:tcBorders>
          </w:tcPr>
          <w:p w14:paraId="35D52285"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4C9A218E"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50062B3D"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17B59728"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2C74A4C3" w14:textId="0A22135A" w:rsidR="00A0542D" w:rsidRPr="00481C60" w:rsidRDefault="00A0542D" w:rsidP="00A0542D">
            <w:pPr>
              <w:keepNext/>
              <w:keepLines/>
              <w:ind w:firstLineChars="0" w:firstLine="0"/>
              <w:jc w:val="center"/>
              <w:rPr>
                <w:rFonts w:cs="Times New Roman"/>
                <w:kern w:val="0"/>
                <w:sz w:val="18"/>
                <w:szCs w:val="18"/>
              </w:rPr>
            </w:pPr>
            <w:r w:rsidRPr="00481C60">
              <w:rPr>
                <w:rFonts w:cs="Times New Roman"/>
                <w:kern w:val="0"/>
                <w:sz w:val="18"/>
                <w:szCs w:val="18"/>
              </w:rPr>
              <w:t>0.1849***</w:t>
            </w:r>
          </w:p>
        </w:tc>
        <w:tc>
          <w:tcPr>
            <w:tcW w:w="0" w:type="auto"/>
            <w:tcBorders>
              <w:top w:val="nil"/>
              <w:left w:val="single" w:sz="4" w:space="0" w:color="auto"/>
              <w:bottom w:val="nil"/>
              <w:right w:val="nil"/>
            </w:tcBorders>
          </w:tcPr>
          <w:p w14:paraId="0B21D0F0" w14:textId="77777777" w:rsidR="00A0542D" w:rsidRPr="009C5319" w:rsidRDefault="00A0542D" w:rsidP="00A0542D">
            <w:pPr>
              <w:keepNext/>
              <w:keepLines/>
              <w:ind w:firstLineChars="0" w:firstLine="0"/>
              <w:jc w:val="center"/>
              <w:rPr>
                <w:rFonts w:cs="Times New Roman"/>
                <w:kern w:val="0"/>
                <w:sz w:val="18"/>
                <w:szCs w:val="18"/>
              </w:rPr>
            </w:pPr>
          </w:p>
        </w:tc>
      </w:tr>
      <w:tr w:rsidR="00A0542D" w:rsidRPr="009C5319" w14:paraId="5A55A77E" w14:textId="2B592BD4" w:rsidTr="004200C5">
        <w:trPr>
          <w:trHeight w:val="60"/>
          <w:jc w:val="center"/>
        </w:trPr>
        <w:tc>
          <w:tcPr>
            <w:tcW w:w="0" w:type="auto"/>
            <w:vMerge/>
            <w:tcBorders>
              <w:left w:val="nil"/>
              <w:bottom w:val="nil"/>
              <w:right w:val="single" w:sz="4" w:space="0" w:color="auto"/>
            </w:tcBorders>
            <w:vAlign w:val="center"/>
          </w:tcPr>
          <w:p w14:paraId="28C2DCEB" w14:textId="77777777" w:rsidR="00A0542D" w:rsidRPr="009C5319" w:rsidRDefault="00A0542D" w:rsidP="004200C5">
            <w:pPr>
              <w:keepNext/>
              <w:keepLines/>
              <w:ind w:firstLine="336"/>
              <w:jc w:val="left"/>
              <w:rPr>
                <w:rFonts w:cs="Times New Roman"/>
                <w:iCs/>
                <w:color w:val="000000" w:themeColor="text1"/>
                <w:sz w:val="18"/>
                <w:szCs w:val="18"/>
              </w:rPr>
            </w:pPr>
          </w:p>
        </w:tc>
        <w:tc>
          <w:tcPr>
            <w:tcW w:w="0" w:type="auto"/>
            <w:tcBorders>
              <w:top w:val="nil"/>
              <w:left w:val="single" w:sz="4" w:space="0" w:color="auto"/>
              <w:bottom w:val="nil"/>
              <w:right w:val="single" w:sz="4" w:space="0" w:color="auto"/>
            </w:tcBorders>
          </w:tcPr>
          <w:p w14:paraId="56A1EB4D"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1CCCD133"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78825E67"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3C6C7D32"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290BB0AC" w14:textId="210B9E52" w:rsidR="00A0542D" w:rsidRPr="00481C60" w:rsidRDefault="00A0542D" w:rsidP="00A0542D">
            <w:pPr>
              <w:keepNext/>
              <w:keepLines/>
              <w:ind w:firstLineChars="0" w:firstLine="0"/>
              <w:jc w:val="center"/>
              <w:rPr>
                <w:rFonts w:cs="Times New Roman"/>
                <w:kern w:val="0"/>
                <w:sz w:val="18"/>
                <w:szCs w:val="18"/>
              </w:rPr>
            </w:pPr>
            <w:r w:rsidRPr="00481C60">
              <w:rPr>
                <w:rFonts w:cs="Times New Roman"/>
                <w:kern w:val="0"/>
                <w:sz w:val="18"/>
                <w:szCs w:val="18"/>
              </w:rPr>
              <w:t>(0.0428)</w:t>
            </w:r>
          </w:p>
        </w:tc>
        <w:tc>
          <w:tcPr>
            <w:tcW w:w="0" w:type="auto"/>
            <w:tcBorders>
              <w:top w:val="nil"/>
              <w:left w:val="single" w:sz="4" w:space="0" w:color="auto"/>
              <w:bottom w:val="nil"/>
              <w:right w:val="nil"/>
            </w:tcBorders>
          </w:tcPr>
          <w:p w14:paraId="16F3370A" w14:textId="77777777" w:rsidR="00A0542D" w:rsidRPr="009C5319" w:rsidRDefault="00A0542D" w:rsidP="00A0542D">
            <w:pPr>
              <w:keepNext/>
              <w:keepLines/>
              <w:ind w:firstLineChars="0" w:firstLine="0"/>
              <w:jc w:val="center"/>
              <w:rPr>
                <w:rFonts w:cs="Times New Roman"/>
                <w:kern w:val="0"/>
                <w:sz w:val="18"/>
                <w:szCs w:val="18"/>
              </w:rPr>
            </w:pPr>
          </w:p>
        </w:tc>
      </w:tr>
      <w:tr w:rsidR="00A0542D" w:rsidRPr="009C5319" w14:paraId="46C57B96" w14:textId="77777777" w:rsidTr="004200C5">
        <w:trPr>
          <w:trHeight w:val="60"/>
          <w:jc w:val="center"/>
        </w:trPr>
        <w:tc>
          <w:tcPr>
            <w:tcW w:w="0" w:type="auto"/>
            <w:vMerge w:val="restart"/>
            <w:tcBorders>
              <w:top w:val="nil"/>
              <w:left w:val="nil"/>
              <w:bottom w:val="nil"/>
              <w:right w:val="single" w:sz="4" w:space="0" w:color="auto"/>
            </w:tcBorders>
            <w:vAlign w:val="center"/>
          </w:tcPr>
          <w:p w14:paraId="70E3FD53" w14:textId="24219810" w:rsidR="00A0542D" w:rsidRPr="004200C5" w:rsidRDefault="00A0542D" w:rsidP="004200C5">
            <w:pPr>
              <w:keepNext/>
              <w:keepLines/>
              <w:ind w:firstLine="336"/>
              <w:jc w:val="left"/>
              <w:rPr>
                <w:rFonts w:cs="Times New Roman"/>
                <w:iCs/>
                <w:color w:val="000000" w:themeColor="text1"/>
                <w:sz w:val="18"/>
                <w:szCs w:val="18"/>
              </w:rPr>
            </w:pPr>
            <m:oMathPara>
              <m:oMathParaPr>
                <m:jc m:val="left"/>
              </m:oMathParaPr>
              <m:oMath>
                <m:r>
                  <w:rPr>
                    <w:rFonts w:ascii="Cambria Math" w:hAnsi="Cambria Math" w:cs="Times New Roman"/>
                    <w:sz w:val="18"/>
                    <w:szCs w:val="18"/>
                  </w:rPr>
                  <m:t>B</m:t>
                </m:r>
                <m:r>
                  <w:rPr>
                    <w:rFonts w:ascii="Cambria Math" w:hAnsi="Cambria Math" w:cs="Times New Roman" w:hint="eastAsia"/>
                    <w:sz w:val="18"/>
                    <w:szCs w:val="18"/>
                  </w:rPr>
                  <m:t>ig</m:t>
                </m:r>
                <m:r>
                  <w:rPr>
                    <w:rFonts w:ascii="Cambria Math" w:hAnsi="Cambria Math" w:cs="Times New Roman"/>
                    <w:sz w:val="18"/>
                    <w:szCs w:val="18"/>
                  </w:rPr>
                  <m:t>Data×T</m:t>
                </m:r>
              </m:oMath>
            </m:oMathPara>
          </w:p>
        </w:tc>
        <w:tc>
          <w:tcPr>
            <w:tcW w:w="0" w:type="auto"/>
            <w:tcBorders>
              <w:top w:val="nil"/>
              <w:left w:val="single" w:sz="4" w:space="0" w:color="auto"/>
              <w:bottom w:val="nil"/>
              <w:right w:val="single" w:sz="4" w:space="0" w:color="auto"/>
            </w:tcBorders>
          </w:tcPr>
          <w:p w14:paraId="757A4ABE"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6F9242F2"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591F3BB8"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1E42DAC9"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05D01BCD" w14:textId="77777777" w:rsidR="00A0542D" w:rsidRPr="009C5319"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nil"/>
            </w:tcBorders>
          </w:tcPr>
          <w:p w14:paraId="1BC74597" w14:textId="65BA3772" w:rsidR="00A0542D" w:rsidRPr="009C5319" w:rsidRDefault="00A0542D" w:rsidP="00A0542D">
            <w:pPr>
              <w:keepNext/>
              <w:keepLines/>
              <w:ind w:firstLineChars="0" w:firstLine="0"/>
              <w:jc w:val="center"/>
              <w:rPr>
                <w:rFonts w:cs="Times New Roman"/>
                <w:kern w:val="0"/>
                <w:sz w:val="18"/>
                <w:szCs w:val="18"/>
              </w:rPr>
            </w:pPr>
            <w:r w:rsidRPr="00481C60">
              <w:rPr>
                <w:rFonts w:cs="Times New Roman"/>
                <w:kern w:val="0"/>
                <w:sz w:val="18"/>
                <w:szCs w:val="18"/>
              </w:rPr>
              <w:t>0.0812*</w:t>
            </w:r>
          </w:p>
        </w:tc>
      </w:tr>
      <w:tr w:rsidR="00A0542D" w:rsidRPr="009C5319" w14:paraId="4702D0D6" w14:textId="77777777" w:rsidTr="004200C5">
        <w:trPr>
          <w:trHeight w:val="60"/>
          <w:jc w:val="center"/>
        </w:trPr>
        <w:tc>
          <w:tcPr>
            <w:tcW w:w="0" w:type="auto"/>
            <w:vMerge/>
            <w:tcBorders>
              <w:left w:val="nil"/>
              <w:bottom w:val="nil"/>
              <w:right w:val="single" w:sz="4" w:space="0" w:color="auto"/>
            </w:tcBorders>
            <w:vAlign w:val="center"/>
          </w:tcPr>
          <w:p w14:paraId="2122F925" w14:textId="77777777" w:rsidR="00A0542D" w:rsidRPr="009C5319" w:rsidRDefault="00A0542D" w:rsidP="004200C5">
            <w:pPr>
              <w:keepNext/>
              <w:keepLines/>
              <w:ind w:firstLine="336"/>
              <w:jc w:val="left"/>
              <w:rPr>
                <w:rFonts w:cs="Times New Roman"/>
                <w:iCs/>
                <w:color w:val="000000" w:themeColor="text1"/>
                <w:sz w:val="18"/>
                <w:szCs w:val="18"/>
              </w:rPr>
            </w:pPr>
          </w:p>
        </w:tc>
        <w:tc>
          <w:tcPr>
            <w:tcW w:w="0" w:type="auto"/>
            <w:tcBorders>
              <w:top w:val="nil"/>
              <w:left w:val="single" w:sz="4" w:space="0" w:color="auto"/>
              <w:bottom w:val="nil"/>
              <w:right w:val="single" w:sz="4" w:space="0" w:color="auto"/>
            </w:tcBorders>
          </w:tcPr>
          <w:p w14:paraId="55BCB723"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43CAAA7B"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50FB18AF"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4BEECFE9" w14:textId="77777777" w:rsidR="00A0542D" w:rsidRPr="00481C60"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single" w:sz="4" w:space="0" w:color="auto"/>
            </w:tcBorders>
          </w:tcPr>
          <w:p w14:paraId="23AAEB6C" w14:textId="77777777" w:rsidR="00A0542D" w:rsidRPr="009C5319" w:rsidRDefault="00A0542D" w:rsidP="00A0542D">
            <w:pPr>
              <w:keepNext/>
              <w:keepLines/>
              <w:ind w:firstLineChars="0" w:firstLine="0"/>
              <w:jc w:val="center"/>
              <w:rPr>
                <w:rFonts w:cs="Times New Roman"/>
                <w:kern w:val="0"/>
                <w:sz w:val="18"/>
                <w:szCs w:val="18"/>
              </w:rPr>
            </w:pPr>
          </w:p>
        </w:tc>
        <w:tc>
          <w:tcPr>
            <w:tcW w:w="0" w:type="auto"/>
            <w:tcBorders>
              <w:top w:val="nil"/>
              <w:left w:val="single" w:sz="4" w:space="0" w:color="auto"/>
              <w:bottom w:val="nil"/>
              <w:right w:val="nil"/>
            </w:tcBorders>
          </w:tcPr>
          <w:p w14:paraId="6F16568A" w14:textId="4C400EC1" w:rsidR="00A0542D" w:rsidRPr="009C5319" w:rsidRDefault="00A0542D" w:rsidP="00A0542D">
            <w:pPr>
              <w:keepNext/>
              <w:keepLines/>
              <w:ind w:firstLineChars="0" w:firstLine="0"/>
              <w:jc w:val="center"/>
              <w:rPr>
                <w:rFonts w:cs="Times New Roman"/>
                <w:kern w:val="0"/>
                <w:sz w:val="18"/>
                <w:szCs w:val="18"/>
              </w:rPr>
            </w:pPr>
            <w:r w:rsidRPr="00481C60">
              <w:rPr>
                <w:rFonts w:cs="Times New Roman"/>
                <w:kern w:val="0"/>
                <w:sz w:val="18"/>
                <w:szCs w:val="18"/>
              </w:rPr>
              <w:t>(0.0481)</w:t>
            </w:r>
          </w:p>
        </w:tc>
      </w:tr>
      <w:tr w:rsidR="004200C5" w:rsidRPr="009C5319" w14:paraId="1C97CBB3" w14:textId="0B933801" w:rsidTr="004200C5">
        <w:trPr>
          <w:trHeight w:val="60"/>
          <w:jc w:val="center"/>
        </w:trPr>
        <w:tc>
          <w:tcPr>
            <w:tcW w:w="0" w:type="auto"/>
            <w:tcBorders>
              <w:top w:val="nil"/>
              <w:left w:val="nil"/>
              <w:bottom w:val="nil"/>
              <w:right w:val="single" w:sz="4" w:space="0" w:color="auto"/>
            </w:tcBorders>
            <w:vAlign w:val="center"/>
          </w:tcPr>
          <w:p w14:paraId="41D23106" w14:textId="77777777" w:rsidR="004200C5" w:rsidRPr="009C5319" w:rsidRDefault="004200C5" w:rsidP="004200C5">
            <w:pPr>
              <w:keepNext/>
              <w:keepLines/>
              <w:ind w:firstLineChars="0" w:firstLine="0"/>
              <w:jc w:val="left"/>
              <w:rPr>
                <w:rFonts w:cs="Times New Roman"/>
                <w:i/>
                <w:iCs/>
                <w:color w:val="000000" w:themeColor="text1"/>
                <w:sz w:val="18"/>
                <w:szCs w:val="18"/>
              </w:rPr>
            </w:pPr>
            <w:r w:rsidRPr="009C5319">
              <w:rPr>
                <w:rFonts w:cs="Times New Roman"/>
                <w:color w:val="000000" w:themeColor="text1"/>
                <w:sz w:val="18"/>
                <w:szCs w:val="18"/>
              </w:rPr>
              <w:t>控制变量</w:t>
            </w:r>
          </w:p>
        </w:tc>
        <w:tc>
          <w:tcPr>
            <w:tcW w:w="0" w:type="auto"/>
            <w:tcBorders>
              <w:top w:val="nil"/>
              <w:left w:val="single" w:sz="4" w:space="0" w:color="auto"/>
              <w:bottom w:val="nil"/>
              <w:right w:val="single" w:sz="4" w:space="0" w:color="auto"/>
            </w:tcBorders>
          </w:tcPr>
          <w:p w14:paraId="37AF9B7B" w14:textId="28B7F1F1" w:rsidR="004200C5" w:rsidRPr="009C5319" w:rsidRDefault="004200C5" w:rsidP="004200C5">
            <w:pPr>
              <w:keepNext/>
              <w:keepLines/>
              <w:ind w:firstLineChars="0" w:firstLine="0"/>
              <w:jc w:val="center"/>
              <w:rPr>
                <w:rFonts w:cs="Times New Roman"/>
                <w:color w:val="000000" w:themeColor="text1"/>
                <w:sz w:val="18"/>
                <w:szCs w:val="18"/>
              </w:rPr>
            </w:pPr>
            <w:r>
              <w:rPr>
                <w:rFonts w:cs="Times New Roman" w:hint="eastAsia"/>
                <w:color w:val="000000" w:themeColor="text1"/>
                <w:sz w:val="18"/>
                <w:szCs w:val="18"/>
              </w:rPr>
              <w:t>是</w:t>
            </w:r>
          </w:p>
        </w:tc>
        <w:tc>
          <w:tcPr>
            <w:tcW w:w="0" w:type="auto"/>
            <w:tcBorders>
              <w:top w:val="nil"/>
              <w:left w:val="single" w:sz="4" w:space="0" w:color="auto"/>
              <w:bottom w:val="nil"/>
              <w:right w:val="single" w:sz="4" w:space="0" w:color="auto"/>
            </w:tcBorders>
          </w:tcPr>
          <w:p w14:paraId="66EC9187" w14:textId="09D1CFFD" w:rsidR="004200C5" w:rsidRPr="009C5319" w:rsidRDefault="004200C5" w:rsidP="004200C5">
            <w:pPr>
              <w:keepNext/>
              <w:keepLines/>
              <w:ind w:firstLineChars="0" w:firstLine="0"/>
              <w:jc w:val="center"/>
              <w:rPr>
                <w:rFonts w:cs="Times New Roman"/>
                <w:color w:val="000000" w:themeColor="text1"/>
                <w:sz w:val="18"/>
                <w:szCs w:val="18"/>
              </w:rPr>
            </w:pPr>
            <w:r w:rsidRPr="00810955">
              <w:rPr>
                <w:rFonts w:cs="Times New Roman" w:hint="eastAsia"/>
                <w:color w:val="000000" w:themeColor="text1"/>
                <w:sz w:val="18"/>
                <w:szCs w:val="18"/>
              </w:rPr>
              <w:t>是</w:t>
            </w:r>
          </w:p>
        </w:tc>
        <w:tc>
          <w:tcPr>
            <w:tcW w:w="0" w:type="auto"/>
            <w:tcBorders>
              <w:top w:val="nil"/>
              <w:left w:val="single" w:sz="4" w:space="0" w:color="auto"/>
              <w:bottom w:val="nil"/>
              <w:right w:val="single" w:sz="4" w:space="0" w:color="auto"/>
            </w:tcBorders>
          </w:tcPr>
          <w:p w14:paraId="1DA6C644" w14:textId="0BE83CD0" w:rsidR="004200C5" w:rsidRPr="009C5319" w:rsidRDefault="004200C5" w:rsidP="004200C5">
            <w:pPr>
              <w:keepNext/>
              <w:keepLines/>
              <w:ind w:firstLineChars="0" w:firstLine="0"/>
              <w:jc w:val="center"/>
              <w:rPr>
                <w:rFonts w:cs="Times New Roman"/>
                <w:color w:val="000000" w:themeColor="text1"/>
                <w:sz w:val="18"/>
                <w:szCs w:val="18"/>
              </w:rPr>
            </w:pPr>
            <w:r w:rsidRPr="00810955">
              <w:rPr>
                <w:rFonts w:cs="Times New Roman" w:hint="eastAsia"/>
                <w:color w:val="000000" w:themeColor="text1"/>
                <w:sz w:val="18"/>
                <w:szCs w:val="18"/>
              </w:rPr>
              <w:t>是</w:t>
            </w:r>
          </w:p>
        </w:tc>
        <w:tc>
          <w:tcPr>
            <w:tcW w:w="0" w:type="auto"/>
            <w:tcBorders>
              <w:top w:val="nil"/>
              <w:left w:val="single" w:sz="4" w:space="0" w:color="auto"/>
              <w:bottom w:val="nil"/>
              <w:right w:val="single" w:sz="4" w:space="0" w:color="auto"/>
            </w:tcBorders>
          </w:tcPr>
          <w:p w14:paraId="6D2A37F8" w14:textId="105F1D6D" w:rsidR="004200C5" w:rsidRPr="009C5319" w:rsidRDefault="004200C5" w:rsidP="004200C5">
            <w:pPr>
              <w:keepNext/>
              <w:keepLines/>
              <w:ind w:firstLineChars="0" w:firstLine="0"/>
              <w:jc w:val="center"/>
              <w:rPr>
                <w:rFonts w:cs="Times New Roman"/>
                <w:color w:val="000000" w:themeColor="text1"/>
                <w:sz w:val="18"/>
                <w:szCs w:val="18"/>
              </w:rPr>
            </w:pPr>
            <w:r w:rsidRPr="00810955">
              <w:rPr>
                <w:rFonts w:cs="Times New Roman" w:hint="eastAsia"/>
                <w:color w:val="000000" w:themeColor="text1"/>
                <w:sz w:val="18"/>
                <w:szCs w:val="18"/>
              </w:rPr>
              <w:t>是</w:t>
            </w:r>
          </w:p>
        </w:tc>
        <w:tc>
          <w:tcPr>
            <w:tcW w:w="0" w:type="auto"/>
            <w:tcBorders>
              <w:top w:val="nil"/>
              <w:left w:val="single" w:sz="4" w:space="0" w:color="auto"/>
              <w:bottom w:val="nil"/>
              <w:right w:val="single" w:sz="4" w:space="0" w:color="auto"/>
            </w:tcBorders>
          </w:tcPr>
          <w:p w14:paraId="6EE8D972" w14:textId="7BC92065" w:rsidR="004200C5" w:rsidRPr="009C5319" w:rsidRDefault="004200C5" w:rsidP="004200C5">
            <w:pPr>
              <w:keepNext/>
              <w:keepLines/>
              <w:ind w:firstLineChars="0" w:firstLine="0"/>
              <w:jc w:val="center"/>
              <w:rPr>
                <w:rFonts w:cs="Times New Roman"/>
                <w:color w:val="000000" w:themeColor="text1"/>
                <w:sz w:val="18"/>
                <w:szCs w:val="18"/>
              </w:rPr>
            </w:pPr>
            <w:r w:rsidRPr="00810955">
              <w:rPr>
                <w:rFonts w:cs="Times New Roman" w:hint="eastAsia"/>
                <w:color w:val="000000" w:themeColor="text1"/>
                <w:sz w:val="18"/>
                <w:szCs w:val="18"/>
              </w:rPr>
              <w:t>是</w:t>
            </w:r>
          </w:p>
        </w:tc>
        <w:tc>
          <w:tcPr>
            <w:tcW w:w="0" w:type="auto"/>
            <w:tcBorders>
              <w:top w:val="nil"/>
              <w:left w:val="single" w:sz="4" w:space="0" w:color="auto"/>
              <w:bottom w:val="nil"/>
              <w:right w:val="nil"/>
            </w:tcBorders>
          </w:tcPr>
          <w:p w14:paraId="29D828C6" w14:textId="3050CDAE" w:rsidR="004200C5" w:rsidRPr="009C5319" w:rsidRDefault="004200C5" w:rsidP="004200C5">
            <w:pPr>
              <w:keepNext/>
              <w:keepLines/>
              <w:ind w:firstLineChars="0" w:firstLine="0"/>
              <w:jc w:val="center"/>
              <w:rPr>
                <w:rFonts w:cs="Times New Roman"/>
                <w:color w:val="000000" w:themeColor="text1"/>
                <w:sz w:val="18"/>
                <w:szCs w:val="18"/>
              </w:rPr>
            </w:pPr>
            <w:r w:rsidRPr="00810955">
              <w:rPr>
                <w:rFonts w:cs="Times New Roman" w:hint="eastAsia"/>
                <w:color w:val="000000" w:themeColor="text1"/>
                <w:sz w:val="18"/>
                <w:szCs w:val="18"/>
              </w:rPr>
              <w:t>是</w:t>
            </w:r>
          </w:p>
        </w:tc>
      </w:tr>
      <w:tr w:rsidR="004200C5" w:rsidRPr="009C5319" w14:paraId="322DFB13" w14:textId="64A1066C" w:rsidTr="004200C5">
        <w:trPr>
          <w:jc w:val="center"/>
        </w:trPr>
        <w:tc>
          <w:tcPr>
            <w:tcW w:w="0" w:type="auto"/>
            <w:tcBorders>
              <w:top w:val="nil"/>
              <w:left w:val="nil"/>
              <w:bottom w:val="single" w:sz="4" w:space="0" w:color="auto"/>
              <w:right w:val="single" w:sz="4" w:space="0" w:color="auto"/>
            </w:tcBorders>
            <w:vAlign w:val="center"/>
          </w:tcPr>
          <w:p w14:paraId="7E2CA7F9" w14:textId="6439B39D" w:rsidR="004200C5" w:rsidRPr="009C5319" w:rsidRDefault="004200C5" w:rsidP="004200C5">
            <w:pPr>
              <w:keepNext/>
              <w:keepLines/>
              <w:ind w:firstLineChars="0" w:firstLine="0"/>
              <w:jc w:val="left"/>
              <w:rPr>
                <w:rFonts w:cs="Times New Roman"/>
                <w:color w:val="000000" w:themeColor="text1"/>
                <w:sz w:val="18"/>
                <w:szCs w:val="18"/>
              </w:rPr>
            </w:pPr>
            <w:r w:rsidRPr="009C5319">
              <w:rPr>
                <w:rFonts w:cs="Times New Roman"/>
                <w:color w:val="000000" w:themeColor="text1"/>
                <w:sz w:val="18"/>
                <w:szCs w:val="18"/>
              </w:rPr>
              <w:t>固定效应</w:t>
            </w:r>
          </w:p>
        </w:tc>
        <w:tc>
          <w:tcPr>
            <w:tcW w:w="0" w:type="auto"/>
            <w:tcBorders>
              <w:top w:val="nil"/>
              <w:left w:val="single" w:sz="4" w:space="0" w:color="auto"/>
              <w:bottom w:val="single" w:sz="4" w:space="0" w:color="auto"/>
              <w:right w:val="single" w:sz="4" w:space="0" w:color="auto"/>
            </w:tcBorders>
          </w:tcPr>
          <w:p w14:paraId="1234EB8E" w14:textId="6E639F9F" w:rsidR="004200C5" w:rsidRPr="009C5319" w:rsidRDefault="004200C5" w:rsidP="004200C5">
            <w:pPr>
              <w:keepNext/>
              <w:keepLines/>
              <w:ind w:firstLineChars="0" w:firstLine="0"/>
              <w:jc w:val="center"/>
              <w:rPr>
                <w:rFonts w:cs="Times New Roman"/>
                <w:color w:val="000000" w:themeColor="text1"/>
                <w:sz w:val="18"/>
                <w:szCs w:val="18"/>
              </w:rPr>
            </w:pPr>
            <w:r w:rsidRPr="00ED77C0">
              <w:rPr>
                <w:rFonts w:cs="Times New Roman" w:hint="eastAsia"/>
                <w:color w:val="000000" w:themeColor="text1"/>
                <w:sz w:val="18"/>
                <w:szCs w:val="18"/>
              </w:rPr>
              <w:t>是</w:t>
            </w:r>
          </w:p>
        </w:tc>
        <w:tc>
          <w:tcPr>
            <w:tcW w:w="0" w:type="auto"/>
            <w:tcBorders>
              <w:top w:val="nil"/>
              <w:left w:val="single" w:sz="4" w:space="0" w:color="auto"/>
              <w:bottom w:val="single" w:sz="4" w:space="0" w:color="auto"/>
              <w:right w:val="single" w:sz="4" w:space="0" w:color="auto"/>
            </w:tcBorders>
          </w:tcPr>
          <w:p w14:paraId="133D4FE0" w14:textId="49260BFA" w:rsidR="004200C5" w:rsidRPr="009C5319" w:rsidRDefault="004200C5" w:rsidP="004200C5">
            <w:pPr>
              <w:keepNext/>
              <w:keepLines/>
              <w:ind w:firstLineChars="0" w:firstLine="0"/>
              <w:jc w:val="center"/>
              <w:rPr>
                <w:rFonts w:cs="Times New Roman"/>
                <w:color w:val="000000" w:themeColor="text1"/>
                <w:sz w:val="18"/>
                <w:szCs w:val="18"/>
              </w:rPr>
            </w:pPr>
            <w:r w:rsidRPr="00ED77C0">
              <w:rPr>
                <w:rFonts w:cs="Times New Roman" w:hint="eastAsia"/>
                <w:color w:val="000000" w:themeColor="text1"/>
                <w:sz w:val="18"/>
                <w:szCs w:val="18"/>
              </w:rPr>
              <w:t>是</w:t>
            </w:r>
          </w:p>
        </w:tc>
        <w:tc>
          <w:tcPr>
            <w:tcW w:w="0" w:type="auto"/>
            <w:tcBorders>
              <w:top w:val="nil"/>
              <w:left w:val="single" w:sz="4" w:space="0" w:color="auto"/>
              <w:bottom w:val="single" w:sz="4" w:space="0" w:color="auto"/>
              <w:right w:val="single" w:sz="4" w:space="0" w:color="auto"/>
            </w:tcBorders>
          </w:tcPr>
          <w:p w14:paraId="7DDFB7E6" w14:textId="2DF49BF3" w:rsidR="004200C5" w:rsidRPr="009C5319" w:rsidRDefault="004200C5" w:rsidP="004200C5">
            <w:pPr>
              <w:keepNext/>
              <w:keepLines/>
              <w:ind w:firstLineChars="0" w:firstLine="0"/>
              <w:jc w:val="center"/>
              <w:rPr>
                <w:rFonts w:cs="Times New Roman"/>
                <w:color w:val="000000" w:themeColor="text1"/>
                <w:sz w:val="18"/>
                <w:szCs w:val="18"/>
              </w:rPr>
            </w:pPr>
            <w:r w:rsidRPr="00ED77C0">
              <w:rPr>
                <w:rFonts w:cs="Times New Roman" w:hint="eastAsia"/>
                <w:color w:val="000000" w:themeColor="text1"/>
                <w:sz w:val="18"/>
                <w:szCs w:val="18"/>
              </w:rPr>
              <w:t>是</w:t>
            </w:r>
          </w:p>
        </w:tc>
        <w:tc>
          <w:tcPr>
            <w:tcW w:w="0" w:type="auto"/>
            <w:tcBorders>
              <w:top w:val="nil"/>
              <w:left w:val="single" w:sz="4" w:space="0" w:color="auto"/>
              <w:bottom w:val="single" w:sz="4" w:space="0" w:color="auto"/>
              <w:right w:val="single" w:sz="4" w:space="0" w:color="auto"/>
            </w:tcBorders>
          </w:tcPr>
          <w:p w14:paraId="546B131A" w14:textId="18026BD2" w:rsidR="004200C5" w:rsidRPr="009C5319" w:rsidRDefault="004200C5" w:rsidP="004200C5">
            <w:pPr>
              <w:keepNext/>
              <w:keepLines/>
              <w:ind w:firstLineChars="0" w:firstLine="0"/>
              <w:jc w:val="center"/>
              <w:rPr>
                <w:rFonts w:cs="Times New Roman"/>
                <w:color w:val="000000" w:themeColor="text1"/>
                <w:sz w:val="18"/>
                <w:szCs w:val="18"/>
              </w:rPr>
            </w:pPr>
            <w:r w:rsidRPr="00ED77C0">
              <w:rPr>
                <w:rFonts w:cs="Times New Roman" w:hint="eastAsia"/>
                <w:color w:val="000000" w:themeColor="text1"/>
                <w:sz w:val="18"/>
                <w:szCs w:val="18"/>
              </w:rPr>
              <w:t>是</w:t>
            </w:r>
          </w:p>
        </w:tc>
        <w:tc>
          <w:tcPr>
            <w:tcW w:w="0" w:type="auto"/>
            <w:tcBorders>
              <w:top w:val="nil"/>
              <w:left w:val="single" w:sz="4" w:space="0" w:color="auto"/>
              <w:bottom w:val="single" w:sz="4" w:space="0" w:color="auto"/>
              <w:right w:val="single" w:sz="4" w:space="0" w:color="auto"/>
            </w:tcBorders>
          </w:tcPr>
          <w:p w14:paraId="2013AF4F" w14:textId="02B5F946" w:rsidR="004200C5" w:rsidRPr="009C5319" w:rsidRDefault="004200C5" w:rsidP="004200C5">
            <w:pPr>
              <w:keepNext/>
              <w:keepLines/>
              <w:ind w:firstLineChars="0" w:firstLine="0"/>
              <w:jc w:val="center"/>
              <w:rPr>
                <w:rFonts w:cs="Times New Roman"/>
                <w:color w:val="000000" w:themeColor="text1"/>
                <w:sz w:val="18"/>
                <w:szCs w:val="18"/>
              </w:rPr>
            </w:pPr>
            <w:r w:rsidRPr="00ED77C0">
              <w:rPr>
                <w:rFonts w:cs="Times New Roman" w:hint="eastAsia"/>
                <w:color w:val="000000" w:themeColor="text1"/>
                <w:sz w:val="18"/>
                <w:szCs w:val="18"/>
              </w:rPr>
              <w:t>是</w:t>
            </w:r>
          </w:p>
        </w:tc>
        <w:tc>
          <w:tcPr>
            <w:tcW w:w="0" w:type="auto"/>
            <w:tcBorders>
              <w:top w:val="nil"/>
              <w:left w:val="single" w:sz="4" w:space="0" w:color="auto"/>
              <w:bottom w:val="single" w:sz="4" w:space="0" w:color="auto"/>
              <w:right w:val="nil"/>
            </w:tcBorders>
          </w:tcPr>
          <w:p w14:paraId="10805CEA" w14:textId="22D39995" w:rsidR="004200C5" w:rsidRPr="009C5319" w:rsidRDefault="004200C5" w:rsidP="004200C5">
            <w:pPr>
              <w:keepNext/>
              <w:keepLines/>
              <w:ind w:firstLineChars="0" w:firstLine="0"/>
              <w:jc w:val="center"/>
              <w:rPr>
                <w:rFonts w:cs="Times New Roman"/>
                <w:color w:val="000000" w:themeColor="text1"/>
                <w:sz w:val="18"/>
                <w:szCs w:val="18"/>
              </w:rPr>
            </w:pPr>
            <w:r w:rsidRPr="00ED77C0">
              <w:rPr>
                <w:rFonts w:cs="Times New Roman" w:hint="eastAsia"/>
                <w:color w:val="000000" w:themeColor="text1"/>
                <w:sz w:val="18"/>
                <w:szCs w:val="18"/>
              </w:rPr>
              <w:t>是</w:t>
            </w:r>
          </w:p>
        </w:tc>
      </w:tr>
      <w:tr w:rsidR="004200C5" w:rsidRPr="009C5319" w14:paraId="0BD88A8B" w14:textId="27794444" w:rsidTr="004200C5">
        <w:trPr>
          <w:jc w:val="center"/>
        </w:trPr>
        <w:tc>
          <w:tcPr>
            <w:tcW w:w="0" w:type="auto"/>
            <w:tcBorders>
              <w:top w:val="single" w:sz="4" w:space="0" w:color="auto"/>
              <w:left w:val="nil"/>
              <w:bottom w:val="nil"/>
              <w:right w:val="single" w:sz="4" w:space="0" w:color="auto"/>
            </w:tcBorders>
            <w:vAlign w:val="center"/>
          </w:tcPr>
          <w:p w14:paraId="2905D24F" w14:textId="68015F9F" w:rsidR="004200C5" w:rsidRPr="009C5319" w:rsidRDefault="004200C5" w:rsidP="004200C5">
            <w:pPr>
              <w:keepNext/>
              <w:keepLines/>
              <w:ind w:firstLineChars="0" w:firstLine="0"/>
              <w:jc w:val="left"/>
              <w:rPr>
                <w:rFonts w:cs="Times New Roman"/>
                <w:iCs/>
                <w:color w:val="000000" w:themeColor="text1"/>
                <w:sz w:val="18"/>
                <w:szCs w:val="18"/>
              </w:rPr>
            </w:pPr>
            <w:r>
              <w:rPr>
                <w:rFonts w:cs="Times New Roman" w:hint="eastAsia"/>
                <w:iCs/>
                <w:color w:val="000000" w:themeColor="text1"/>
                <w:sz w:val="18"/>
                <w:szCs w:val="18"/>
              </w:rPr>
              <w:t>观测值</w:t>
            </w:r>
          </w:p>
        </w:tc>
        <w:tc>
          <w:tcPr>
            <w:tcW w:w="0" w:type="auto"/>
            <w:tcBorders>
              <w:top w:val="single" w:sz="4" w:space="0" w:color="auto"/>
              <w:left w:val="single" w:sz="4" w:space="0" w:color="auto"/>
              <w:bottom w:val="nil"/>
              <w:right w:val="single" w:sz="4" w:space="0" w:color="auto"/>
            </w:tcBorders>
          </w:tcPr>
          <w:p w14:paraId="5F61E256" w14:textId="148FFEE3" w:rsidR="004200C5" w:rsidRPr="009C5319" w:rsidRDefault="004200C5" w:rsidP="004200C5">
            <w:pPr>
              <w:keepNext/>
              <w:keepLines/>
              <w:ind w:firstLineChars="0" w:firstLine="0"/>
              <w:jc w:val="center"/>
              <w:rPr>
                <w:rFonts w:cs="Times New Roman"/>
                <w:color w:val="000000" w:themeColor="text1"/>
                <w:sz w:val="18"/>
                <w:szCs w:val="18"/>
              </w:rPr>
            </w:pPr>
            <w:r w:rsidRPr="009C5319">
              <w:rPr>
                <w:rFonts w:cs="Times New Roman"/>
                <w:kern w:val="0"/>
                <w:sz w:val="18"/>
                <w:szCs w:val="18"/>
              </w:rPr>
              <w:t>4569</w:t>
            </w:r>
          </w:p>
        </w:tc>
        <w:tc>
          <w:tcPr>
            <w:tcW w:w="0" w:type="auto"/>
            <w:tcBorders>
              <w:top w:val="single" w:sz="4" w:space="0" w:color="auto"/>
              <w:left w:val="single" w:sz="4" w:space="0" w:color="auto"/>
              <w:bottom w:val="nil"/>
              <w:right w:val="single" w:sz="4" w:space="0" w:color="auto"/>
            </w:tcBorders>
          </w:tcPr>
          <w:p w14:paraId="4934DB94" w14:textId="59D7735C" w:rsidR="004200C5" w:rsidRPr="009C5319" w:rsidRDefault="004200C5" w:rsidP="004200C5">
            <w:pPr>
              <w:keepNext/>
              <w:keepLines/>
              <w:ind w:firstLineChars="0" w:firstLine="0"/>
              <w:jc w:val="center"/>
              <w:rPr>
                <w:rFonts w:cs="Times New Roman"/>
                <w:color w:val="000000" w:themeColor="text1"/>
                <w:sz w:val="18"/>
                <w:szCs w:val="18"/>
              </w:rPr>
            </w:pPr>
            <w:r w:rsidRPr="009C5319">
              <w:rPr>
                <w:rFonts w:cs="Times New Roman"/>
                <w:kern w:val="0"/>
                <w:sz w:val="18"/>
                <w:szCs w:val="18"/>
              </w:rPr>
              <w:t>6028</w:t>
            </w:r>
          </w:p>
        </w:tc>
        <w:tc>
          <w:tcPr>
            <w:tcW w:w="0" w:type="auto"/>
            <w:tcBorders>
              <w:top w:val="single" w:sz="4" w:space="0" w:color="auto"/>
              <w:left w:val="single" w:sz="4" w:space="0" w:color="auto"/>
              <w:bottom w:val="nil"/>
              <w:right w:val="single" w:sz="4" w:space="0" w:color="auto"/>
            </w:tcBorders>
          </w:tcPr>
          <w:p w14:paraId="10ED561E" w14:textId="64A99E77" w:rsidR="004200C5" w:rsidRPr="009C5319" w:rsidRDefault="004200C5" w:rsidP="004200C5">
            <w:pPr>
              <w:keepNext/>
              <w:keepLines/>
              <w:ind w:firstLineChars="0" w:firstLine="0"/>
              <w:jc w:val="center"/>
              <w:rPr>
                <w:rFonts w:cs="Times New Roman"/>
                <w:sz w:val="18"/>
                <w:szCs w:val="18"/>
              </w:rPr>
            </w:pPr>
            <w:r w:rsidRPr="009C5319">
              <w:rPr>
                <w:rFonts w:cs="Times New Roman"/>
                <w:kern w:val="0"/>
                <w:sz w:val="18"/>
                <w:szCs w:val="18"/>
              </w:rPr>
              <w:t>7435</w:t>
            </w:r>
          </w:p>
        </w:tc>
        <w:tc>
          <w:tcPr>
            <w:tcW w:w="0" w:type="auto"/>
            <w:tcBorders>
              <w:top w:val="single" w:sz="4" w:space="0" w:color="auto"/>
              <w:left w:val="single" w:sz="4" w:space="0" w:color="auto"/>
              <w:bottom w:val="nil"/>
              <w:right w:val="single" w:sz="4" w:space="0" w:color="auto"/>
            </w:tcBorders>
          </w:tcPr>
          <w:p w14:paraId="709159D1" w14:textId="3F1C68CD" w:rsidR="004200C5" w:rsidRPr="009C5319" w:rsidRDefault="004200C5" w:rsidP="004200C5">
            <w:pPr>
              <w:keepNext/>
              <w:keepLines/>
              <w:ind w:firstLineChars="0" w:firstLine="0"/>
              <w:jc w:val="center"/>
              <w:rPr>
                <w:rFonts w:cs="Times New Roman"/>
                <w:sz w:val="18"/>
                <w:szCs w:val="18"/>
              </w:rPr>
            </w:pPr>
            <w:r w:rsidRPr="009C5319">
              <w:rPr>
                <w:rFonts w:cs="Times New Roman"/>
                <w:kern w:val="0"/>
                <w:sz w:val="18"/>
                <w:szCs w:val="18"/>
              </w:rPr>
              <w:t>74</w:t>
            </w:r>
            <w:r w:rsidR="00CC75C2">
              <w:rPr>
                <w:rFonts w:cs="Times New Roman" w:hint="eastAsia"/>
                <w:kern w:val="0"/>
                <w:sz w:val="18"/>
                <w:szCs w:val="18"/>
              </w:rPr>
              <w:t>35</w:t>
            </w:r>
          </w:p>
        </w:tc>
        <w:tc>
          <w:tcPr>
            <w:tcW w:w="0" w:type="auto"/>
            <w:tcBorders>
              <w:top w:val="single" w:sz="4" w:space="0" w:color="auto"/>
              <w:left w:val="single" w:sz="4" w:space="0" w:color="auto"/>
              <w:bottom w:val="nil"/>
              <w:right w:val="single" w:sz="4" w:space="0" w:color="auto"/>
            </w:tcBorders>
          </w:tcPr>
          <w:p w14:paraId="56B9D933" w14:textId="29B7118E" w:rsidR="004200C5" w:rsidRPr="009C5319" w:rsidRDefault="004200C5" w:rsidP="004200C5">
            <w:pPr>
              <w:keepNext/>
              <w:keepLines/>
              <w:ind w:firstLineChars="0" w:firstLine="0"/>
              <w:jc w:val="center"/>
              <w:rPr>
                <w:rFonts w:cs="Times New Roman"/>
                <w:sz w:val="18"/>
                <w:szCs w:val="18"/>
              </w:rPr>
            </w:pPr>
            <w:r w:rsidRPr="009C5319">
              <w:rPr>
                <w:rFonts w:cs="Times New Roman"/>
                <w:kern w:val="0"/>
                <w:sz w:val="18"/>
                <w:szCs w:val="18"/>
              </w:rPr>
              <w:t>7435</w:t>
            </w:r>
          </w:p>
        </w:tc>
        <w:tc>
          <w:tcPr>
            <w:tcW w:w="0" w:type="auto"/>
            <w:tcBorders>
              <w:top w:val="single" w:sz="4" w:space="0" w:color="auto"/>
              <w:left w:val="single" w:sz="4" w:space="0" w:color="auto"/>
              <w:bottom w:val="nil"/>
              <w:right w:val="nil"/>
            </w:tcBorders>
          </w:tcPr>
          <w:p w14:paraId="723CB493" w14:textId="0EE4CADB" w:rsidR="004200C5" w:rsidRPr="009C5319" w:rsidRDefault="004200C5" w:rsidP="004200C5">
            <w:pPr>
              <w:keepNext/>
              <w:keepLines/>
              <w:ind w:firstLineChars="0" w:firstLine="0"/>
              <w:jc w:val="center"/>
              <w:rPr>
                <w:rFonts w:cs="Times New Roman"/>
                <w:kern w:val="0"/>
                <w:sz w:val="18"/>
                <w:szCs w:val="18"/>
              </w:rPr>
            </w:pPr>
            <w:r w:rsidRPr="009C5319">
              <w:rPr>
                <w:rFonts w:cs="Times New Roman"/>
                <w:kern w:val="0"/>
                <w:sz w:val="18"/>
                <w:szCs w:val="18"/>
              </w:rPr>
              <w:t>7435</w:t>
            </w:r>
          </w:p>
        </w:tc>
      </w:tr>
      <w:tr w:rsidR="004200C5" w:rsidRPr="009C5319" w14:paraId="6E782DD4" w14:textId="1DE85D5F" w:rsidTr="005E5988">
        <w:trPr>
          <w:jc w:val="center"/>
        </w:trPr>
        <w:tc>
          <w:tcPr>
            <w:tcW w:w="0" w:type="auto"/>
            <w:tcBorders>
              <w:top w:val="nil"/>
              <w:left w:val="nil"/>
              <w:bottom w:val="single" w:sz="4" w:space="0" w:color="auto"/>
              <w:right w:val="single" w:sz="4" w:space="0" w:color="auto"/>
            </w:tcBorders>
            <w:vAlign w:val="center"/>
          </w:tcPr>
          <w:p w14:paraId="0D47BECE" w14:textId="781321D4" w:rsidR="004200C5" w:rsidRPr="004200C5" w:rsidRDefault="004200C5" w:rsidP="004200C5">
            <w:pPr>
              <w:keepNext/>
              <w:keepLines/>
              <w:ind w:firstLineChars="0" w:firstLine="0"/>
              <w:jc w:val="left"/>
              <w:rPr>
                <w:rFonts w:cs="Times New Roman"/>
                <w:iCs/>
                <w:color w:val="000000" w:themeColor="text1"/>
                <w:sz w:val="18"/>
                <w:szCs w:val="18"/>
              </w:rPr>
            </w:pPr>
            <m:oMathPara>
              <m:oMathParaPr>
                <m:jc m:val="left"/>
              </m:oMathParaPr>
              <m:oMath>
                <m:r>
                  <m:rPr>
                    <m:sty m:val="p"/>
                  </m:rPr>
                  <w:rPr>
                    <w:rFonts w:ascii="Cambria Math" w:hAnsi="Cambria Math" w:cs="Times New Roman"/>
                    <w:color w:val="000000" w:themeColor="text1"/>
                    <w:sz w:val="18"/>
                    <w:szCs w:val="18"/>
                  </w:rPr>
                  <m:t>Adj.</m:t>
                </m:r>
                <m:sSup>
                  <m:sSupPr>
                    <m:ctrlPr>
                      <w:rPr>
                        <w:rFonts w:ascii="Cambria Math" w:hAnsi="Cambria Math" w:cs="Times New Roman"/>
                        <w:color w:val="000000" w:themeColor="text1"/>
                        <w:sz w:val="18"/>
                        <w:szCs w:val="18"/>
                      </w:rPr>
                    </m:ctrlPr>
                  </m:sSupPr>
                  <m:e>
                    <m:r>
                      <w:rPr>
                        <w:rFonts w:ascii="Cambria Math" w:hAnsi="Cambria Math" w:cs="Times New Roman"/>
                        <w:color w:val="000000" w:themeColor="text1"/>
                        <w:sz w:val="18"/>
                        <w:szCs w:val="18"/>
                      </w:rPr>
                      <m:t>R</m:t>
                    </m:r>
                  </m:e>
                  <m:sup>
                    <m:r>
                      <w:rPr>
                        <w:rFonts w:ascii="Cambria Math" w:hAnsi="Cambria Math" w:cs="Times New Roman"/>
                        <w:color w:val="000000" w:themeColor="text1"/>
                        <w:sz w:val="18"/>
                        <w:szCs w:val="18"/>
                      </w:rPr>
                      <m:t>2</m:t>
                    </m:r>
                  </m:sup>
                </m:sSup>
              </m:oMath>
            </m:oMathPara>
          </w:p>
        </w:tc>
        <w:tc>
          <w:tcPr>
            <w:tcW w:w="0" w:type="auto"/>
            <w:tcBorders>
              <w:top w:val="nil"/>
              <w:left w:val="single" w:sz="4" w:space="0" w:color="auto"/>
              <w:bottom w:val="single" w:sz="4" w:space="0" w:color="auto"/>
              <w:right w:val="single" w:sz="4" w:space="0" w:color="auto"/>
            </w:tcBorders>
          </w:tcPr>
          <w:p w14:paraId="146FA32E" w14:textId="4A1A1E88" w:rsidR="004200C5" w:rsidRPr="00481C60" w:rsidRDefault="004200C5" w:rsidP="004200C5">
            <w:pPr>
              <w:keepNext/>
              <w:keepLines/>
              <w:ind w:firstLineChars="0" w:firstLine="0"/>
              <w:jc w:val="center"/>
              <w:rPr>
                <w:rFonts w:cs="Times New Roman"/>
                <w:kern w:val="0"/>
                <w:sz w:val="18"/>
                <w:szCs w:val="18"/>
              </w:rPr>
            </w:pPr>
            <w:r w:rsidRPr="00481C60">
              <w:rPr>
                <w:rFonts w:cs="Times New Roman"/>
                <w:kern w:val="0"/>
                <w:sz w:val="18"/>
                <w:szCs w:val="18"/>
              </w:rPr>
              <w:t>0.3662</w:t>
            </w:r>
          </w:p>
        </w:tc>
        <w:tc>
          <w:tcPr>
            <w:tcW w:w="0" w:type="auto"/>
            <w:tcBorders>
              <w:top w:val="nil"/>
              <w:left w:val="single" w:sz="4" w:space="0" w:color="auto"/>
              <w:bottom w:val="single" w:sz="4" w:space="0" w:color="auto"/>
              <w:right w:val="single" w:sz="4" w:space="0" w:color="auto"/>
            </w:tcBorders>
          </w:tcPr>
          <w:p w14:paraId="19D3D3FC" w14:textId="3CF7068B" w:rsidR="004200C5" w:rsidRPr="00481C60" w:rsidRDefault="004200C5" w:rsidP="004200C5">
            <w:pPr>
              <w:keepNext/>
              <w:keepLines/>
              <w:ind w:firstLineChars="0" w:firstLine="0"/>
              <w:jc w:val="center"/>
              <w:rPr>
                <w:rFonts w:cs="Times New Roman"/>
                <w:kern w:val="0"/>
                <w:sz w:val="18"/>
                <w:szCs w:val="18"/>
              </w:rPr>
            </w:pPr>
            <w:r w:rsidRPr="00481C60">
              <w:rPr>
                <w:rFonts w:cs="Times New Roman"/>
                <w:kern w:val="0"/>
                <w:sz w:val="18"/>
                <w:szCs w:val="18"/>
              </w:rPr>
              <w:t>0.3670</w:t>
            </w:r>
          </w:p>
        </w:tc>
        <w:tc>
          <w:tcPr>
            <w:tcW w:w="0" w:type="auto"/>
            <w:tcBorders>
              <w:top w:val="nil"/>
              <w:left w:val="single" w:sz="4" w:space="0" w:color="auto"/>
              <w:bottom w:val="single" w:sz="4" w:space="0" w:color="auto"/>
              <w:right w:val="single" w:sz="4" w:space="0" w:color="auto"/>
            </w:tcBorders>
          </w:tcPr>
          <w:p w14:paraId="2C20F317" w14:textId="2C552EE2" w:rsidR="004200C5" w:rsidRPr="00481C60" w:rsidRDefault="004200C5" w:rsidP="004200C5">
            <w:pPr>
              <w:keepNext/>
              <w:keepLines/>
              <w:ind w:firstLineChars="0" w:firstLine="0"/>
              <w:jc w:val="center"/>
              <w:rPr>
                <w:rFonts w:cs="Times New Roman"/>
                <w:kern w:val="0"/>
                <w:sz w:val="18"/>
                <w:szCs w:val="18"/>
              </w:rPr>
            </w:pPr>
            <w:r w:rsidRPr="00481C60">
              <w:rPr>
                <w:rFonts w:cs="Times New Roman"/>
                <w:kern w:val="0"/>
                <w:sz w:val="18"/>
                <w:szCs w:val="18"/>
              </w:rPr>
              <w:t>0.3568</w:t>
            </w:r>
          </w:p>
        </w:tc>
        <w:tc>
          <w:tcPr>
            <w:tcW w:w="0" w:type="auto"/>
            <w:tcBorders>
              <w:top w:val="nil"/>
              <w:left w:val="single" w:sz="4" w:space="0" w:color="auto"/>
              <w:bottom w:val="single" w:sz="4" w:space="0" w:color="auto"/>
              <w:right w:val="single" w:sz="4" w:space="0" w:color="auto"/>
            </w:tcBorders>
          </w:tcPr>
          <w:p w14:paraId="22BEB642" w14:textId="27487704" w:rsidR="004200C5" w:rsidRPr="00481C60" w:rsidRDefault="004200C5" w:rsidP="004200C5">
            <w:pPr>
              <w:keepNext/>
              <w:keepLines/>
              <w:ind w:firstLineChars="0" w:firstLine="0"/>
              <w:jc w:val="center"/>
              <w:rPr>
                <w:rFonts w:cs="Times New Roman"/>
                <w:kern w:val="0"/>
                <w:sz w:val="18"/>
                <w:szCs w:val="18"/>
              </w:rPr>
            </w:pPr>
            <w:r w:rsidRPr="00481C60">
              <w:rPr>
                <w:rFonts w:cs="Times New Roman"/>
                <w:kern w:val="0"/>
                <w:sz w:val="18"/>
                <w:szCs w:val="18"/>
              </w:rPr>
              <w:t>0.3</w:t>
            </w:r>
            <w:r w:rsidR="00CC75C2">
              <w:rPr>
                <w:rFonts w:cs="Times New Roman" w:hint="eastAsia"/>
                <w:kern w:val="0"/>
                <w:sz w:val="18"/>
                <w:szCs w:val="18"/>
              </w:rPr>
              <w:t>572</w:t>
            </w:r>
          </w:p>
        </w:tc>
        <w:tc>
          <w:tcPr>
            <w:tcW w:w="0" w:type="auto"/>
            <w:tcBorders>
              <w:top w:val="nil"/>
              <w:left w:val="single" w:sz="4" w:space="0" w:color="auto"/>
              <w:bottom w:val="single" w:sz="4" w:space="0" w:color="auto"/>
              <w:right w:val="single" w:sz="4" w:space="0" w:color="auto"/>
            </w:tcBorders>
          </w:tcPr>
          <w:p w14:paraId="35E9918E" w14:textId="4E797F35" w:rsidR="004200C5" w:rsidRPr="00481C60" w:rsidRDefault="004200C5" w:rsidP="004200C5">
            <w:pPr>
              <w:keepNext/>
              <w:keepLines/>
              <w:ind w:firstLineChars="0" w:firstLine="0"/>
              <w:jc w:val="center"/>
              <w:rPr>
                <w:rFonts w:cs="Times New Roman"/>
                <w:kern w:val="0"/>
                <w:sz w:val="18"/>
                <w:szCs w:val="18"/>
              </w:rPr>
            </w:pPr>
            <w:r w:rsidRPr="00481C60">
              <w:rPr>
                <w:rFonts w:cs="Times New Roman"/>
                <w:kern w:val="0"/>
                <w:sz w:val="18"/>
                <w:szCs w:val="18"/>
              </w:rPr>
              <w:t>0.3587</w:t>
            </w:r>
          </w:p>
        </w:tc>
        <w:tc>
          <w:tcPr>
            <w:tcW w:w="0" w:type="auto"/>
            <w:tcBorders>
              <w:top w:val="nil"/>
              <w:left w:val="single" w:sz="4" w:space="0" w:color="auto"/>
              <w:bottom w:val="single" w:sz="4" w:space="0" w:color="auto"/>
              <w:right w:val="nil"/>
            </w:tcBorders>
          </w:tcPr>
          <w:p w14:paraId="7652C3A0" w14:textId="1860C679" w:rsidR="004200C5" w:rsidRPr="009C5319" w:rsidRDefault="004200C5" w:rsidP="004200C5">
            <w:pPr>
              <w:keepNext/>
              <w:keepLines/>
              <w:ind w:firstLineChars="0" w:firstLine="0"/>
              <w:jc w:val="center"/>
              <w:rPr>
                <w:rFonts w:cs="Times New Roman"/>
                <w:kern w:val="0"/>
                <w:sz w:val="18"/>
                <w:szCs w:val="18"/>
              </w:rPr>
            </w:pPr>
            <w:r w:rsidRPr="00481C60">
              <w:rPr>
                <w:rFonts w:cs="Times New Roman"/>
                <w:kern w:val="0"/>
                <w:sz w:val="18"/>
                <w:szCs w:val="18"/>
              </w:rPr>
              <w:t>0.3565</w:t>
            </w:r>
          </w:p>
        </w:tc>
      </w:tr>
      <w:tr w:rsidR="005E5988" w:rsidRPr="009C5319" w14:paraId="1BF62B0F" w14:textId="77777777" w:rsidTr="005E5988">
        <w:trPr>
          <w:jc w:val="center"/>
        </w:trPr>
        <w:tc>
          <w:tcPr>
            <w:tcW w:w="0" w:type="auto"/>
            <w:gridSpan w:val="7"/>
            <w:tcBorders>
              <w:top w:val="single" w:sz="4" w:space="0" w:color="auto"/>
              <w:left w:val="nil"/>
              <w:bottom w:val="nil"/>
              <w:right w:val="single" w:sz="4" w:space="0" w:color="auto"/>
            </w:tcBorders>
            <w:vAlign w:val="center"/>
          </w:tcPr>
          <w:p w14:paraId="2C503461" w14:textId="064B09B1" w:rsidR="005E5988" w:rsidRPr="00481C60" w:rsidRDefault="005E5988" w:rsidP="005E5988">
            <w:pPr>
              <w:keepNext/>
              <w:keepLines/>
              <w:ind w:firstLine="276"/>
              <w:rPr>
                <w:rFonts w:cs="Times New Roman"/>
                <w:kern w:val="0"/>
                <w:sz w:val="18"/>
                <w:szCs w:val="18"/>
              </w:rPr>
            </w:pPr>
            <w:r>
              <w:rPr>
                <w:rFonts w:cs="Times New Roman" w:hint="eastAsia"/>
                <w:color w:val="000000" w:themeColor="text1"/>
                <w:sz w:val="15"/>
                <w:szCs w:val="15"/>
              </w:rPr>
              <w:t>注：括号内为稳健标准误；</w:t>
            </w:r>
            <w:r>
              <w:rPr>
                <w:rFonts w:cs="Times New Roman" w:hint="eastAsia"/>
                <w:color w:val="000000" w:themeColor="text1"/>
                <w:sz w:val="15"/>
                <w:szCs w:val="15"/>
              </w:rPr>
              <w:t>***</w:t>
            </w:r>
            <w:r>
              <w:rPr>
                <w:rFonts w:cs="Times New Roman" w:hint="eastAsia"/>
                <w:color w:val="000000" w:themeColor="text1"/>
                <w:sz w:val="15"/>
                <w:szCs w:val="15"/>
              </w:rPr>
              <w:t>、</w:t>
            </w:r>
            <w:r>
              <w:rPr>
                <w:rFonts w:cs="Times New Roman" w:hint="eastAsia"/>
                <w:color w:val="000000" w:themeColor="text1"/>
                <w:sz w:val="15"/>
                <w:szCs w:val="15"/>
              </w:rPr>
              <w:t>**</w:t>
            </w:r>
            <w:r>
              <w:rPr>
                <w:rFonts w:cs="Times New Roman" w:hint="eastAsia"/>
                <w:color w:val="000000" w:themeColor="text1"/>
                <w:sz w:val="15"/>
                <w:szCs w:val="15"/>
              </w:rPr>
              <w:t>、</w:t>
            </w:r>
            <w:r>
              <w:rPr>
                <w:rFonts w:cs="Times New Roman" w:hint="eastAsia"/>
                <w:color w:val="000000" w:themeColor="text1"/>
                <w:sz w:val="15"/>
                <w:szCs w:val="15"/>
              </w:rPr>
              <w:t>*</w:t>
            </w:r>
            <w:r>
              <w:rPr>
                <w:rFonts w:cs="Times New Roman" w:hint="eastAsia"/>
                <w:color w:val="000000" w:themeColor="text1"/>
                <w:sz w:val="15"/>
                <w:szCs w:val="15"/>
              </w:rPr>
              <w:t>分别表示在</w:t>
            </w:r>
            <w:r>
              <w:rPr>
                <w:rFonts w:cs="Times New Roman" w:hint="eastAsia"/>
                <w:color w:val="000000" w:themeColor="text1"/>
                <w:sz w:val="15"/>
                <w:szCs w:val="15"/>
              </w:rPr>
              <w:t>1%</w:t>
            </w:r>
            <w:r>
              <w:rPr>
                <w:rFonts w:cs="Times New Roman" w:hint="eastAsia"/>
                <w:color w:val="000000" w:themeColor="text1"/>
                <w:sz w:val="15"/>
                <w:szCs w:val="15"/>
              </w:rPr>
              <w:t>、</w:t>
            </w:r>
            <w:r>
              <w:rPr>
                <w:rFonts w:cs="Times New Roman" w:hint="eastAsia"/>
                <w:color w:val="000000" w:themeColor="text1"/>
                <w:sz w:val="15"/>
                <w:szCs w:val="15"/>
              </w:rPr>
              <w:t>5%</w:t>
            </w:r>
            <w:r>
              <w:rPr>
                <w:rFonts w:cs="Times New Roman" w:hint="eastAsia"/>
                <w:color w:val="000000" w:themeColor="text1"/>
                <w:sz w:val="15"/>
                <w:szCs w:val="15"/>
              </w:rPr>
              <w:t>及</w:t>
            </w:r>
            <w:r>
              <w:rPr>
                <w:rFonts w:cs="Times New Roman" w:hint="eastAsia"/>
                <w:color w:val="000000" w:themeColor="text1"/>
                <w:sz w:val="15"/>
                <w:szCs w:val="15"/>
              </w:rPr>
              <w:t>10%</w:t>
            </w:r>
            <w:r>
              <w:rPr>
                <w:rFonts w:cs="Times New Roman" w:hint="eastAsia"/>
                <w:color w:val="000000" w:themeColor="text1"/>
                <w:sz w:val="15"/>
                <w:szCs w:val="15"/>
              </w:rPr>
              <w:t>的水平上显著。以下各表同。</w:t>
            </w:r>
          </w:p>
        </w:tc>
      </w:tr>
    </w:tbl>
    <w:p w14:paraId="73ECF8CD" w14:textId="77777777" w:rsidR="00E81387" w:rsidRPr="00E81387" w:rsidRDefault="00E81387" w:rsidP="000D080D">
      <w:pPr>
        <w:ind w:firstLineChars="0" w:firstLine="0"/>
      </w:pPr>
    </w:p>
    <w:p w14:paraId="479A73CC" w14:textId="00ADCD51" w:rsidR="004E36E7" w:rsidRPr="00E647E7" w:rsidRDefault="004930CB" w:rsidP="000D5FBB">
      <w:pPr>
        <w:pStyle w:val="3"/>
        <w:numPr>
          <w:ilvl w:val="0"/>
          <w:numId w:val="14"/>
        </w:numPr>
        <w:ind w:left="756"/>
      </w:pPr>
      <w:r w:rsidRPr="00E647E7">
        <w:rPr>
          <w:rFonts w:hint="eastAsia"/>
        </w:rPr>
        <w:t>排除</w:t>
      </w:r>
      <w:r w:rsidR="004E36E7" w:rsidRPr="00E647E7">
        <w:rPr>
          <w:rFonts w:hint="eastAsia"/>
        </w:rPr>
        <w:t>地区间产业协同的影响</w:t>
      </w:r>
    </w:p>
    <w:p w14:paraId="5938990D" w14:textId="2DA730B3" w:rsidR="00FC4E4B" w:rsidRPr="00DF3838" w:rsidRDefault="008355AD" w:rsidP="005826D1">
      <w:pPr>
        <w:ind w:firstLine="396"/>
        <w:rPr>
          <w:rFonts w:cs="Times New Roman"/>
        </w:rPr>
      </w:pPr>
      <w:r w:rsidRPr="00DF3838">
        <w:rPr>
          <w:rFonts w:cs="Times New Roman"/>
        </w:rPr>
        <w:t>为</w:t>
      </w:r>
      <w:r w:rsidR="00C666EB" w:rsidRPr="00DF3838">
        <w:rPr>
          <w:rFonts w:cs="Times New Roman"/>
        </w:rPr>
        <w:t>控制</w:t>
      </w:r>
      <w:r w:rsidR="00426053" w:rsidRPr="00DF3838">
        <w:rPr>
          <w:rFonts w:cs="Times New Roman"/>
        </w:rPr>
        <w:t>城市间</w:t>
      </w:r>
      <w:r w:rsidR="00A02CC7" w:rsidRPr="00DF3838">
        <w:rPr>
          <w:rFonts w:cs="Times New Roman"/>
        </w:rPr>
        <w:t>产业</w:t>
      </w:r>
      <w:r w:rsidRPr="00DF3838">
        <w:rPr>
          <w:rFonts w:cs="Times New Roman"/>
        </w:rPr>
        <w:t>协同对基本结论的影响</w:t>
      </w:r>
      <w:r w:rsidR="004930CB" w:rsidRPr="00DF3838">
        <w:rPr>
          <w:rFonts w:cs="Times New Roman"/>
        </w:rPr>
        <w:t>，本文进行以下检验：</w:t>
      </w:r>
      <w:r w:rsidR="004930CB" w:rsidRPr="00DF3838">
        <w:rPr>
          <w:rFonts w:ascii="宋体" w:hAnsi="宋体" w:cs="宋体" w:hint="eastAsia"/>
        </w:rPr>
        <w:t>①</w:t>
      </w:r>
      <w:r w:rsidR="0074615F" w:rsidRPr="00DF3838">
        <w:rPr>
          <w:rFonts w:cs="Times New Roman"/>
        </w:rPr>
        <w:t>根据</w:t>
      </w:r>
      <w:r w:rsidR="005826D1" w:rsidRPr="00DF3838">
        <w:rPr>
          <w:rFonts w:cs="Times New Roman"/>
        </w:rPr>
        <w:t>赵婷和陈钊（</w:t>
      </w:r>
      <w:r w:rsidR="005826D1" w:rsidRPr="00DF3838">
        <w:rPr>
          <w:rFonts w:cs="Times New Roman"/>
        </w:rPr>
        <w:t>2019</w:t>
      </w:r>
      <w:r w:rsidR="005826D1" w:rsidRPr="00DF3838">
        <w:rPr>
          <w:rFonts w:cs="Times New Roman"/>
        </w:rPr>
        <w:t>）及</w:t>
      </w:r>
      <w:r w:rsidR="0074615F" w:rsidRPr="00DF3838">
        <w:rPr>
          <w:rFonts w:cs="Times New Roman"/>
        </w:rPr>
        <w:t>宋小宁等（</w:t>
      </w:r>
      <w:r w:rsidR="0074615F" w:rsidRPr="00DF3838">
        <w:rPr>
          <w:rFonts w:cs="Times New Roman"/>
        </w:rPr>
        <w:t>2023</w:t>
      </w:r>
      <w:r w:rsidR="0074615F" w:rsidRPr="00DF3838">
        <w:rPr>
          <w:rFonts w:cs="Times New Roman"/>
        </w:rPr>
        <w:t>）</w:t>
      </w:r>
      <w:r w:rsidR="00E132E8" w:rsidRPr="00DF3838">
        <w:rPr>
          <w:rFonts w:cs="Times New Roman"/>
        </w:rPr>
        <w:t>对于产业比较优势的</w:t>
      </w:r>
      <w:r w:rsidR="00AF0847" w:rsidRPr="00DF3838">
        <w:rPr>
          <w:rFonts w:cs="Times New Roman"/>
        </w:rPr>
        <w:t>测度</w:t>
      </w:r>
      <w:r w:rsidR="00E132E8" w:rsidRPr="00DF3838">
        <w:rPr>
          <w:rFonts w:cs="Times New Roman"/>
        </w:rPr>
        <w:t>方法，计算某城市某行业营业收入份额与该行业占全国营业收入份额的比得到地区行业区位商指标</w:t>
      </w:r>
      <w:r w:rsidR="00C10DD1" w:rsidRPr="00DF3838">
        <w:rPr>
          <w:rFonts w:cs="Times New Roman"/>
          <w:szCs w:val="21"/>
        </w:rPr>
        <w:t>（</w:t>
      </w:r>
      <m:oMath>
        <m:r>
          <w:rPr>
            <w:rFonts w:ascii="Cambria Math" w:hAnsi="Cambria Math" w:cs="Times New Roman"/>
            <w:szCs w:val="21"/>
          </w:rPr>
          <m:t>LQ</m:t>
        </m:r>
      </m:oMath>
      <w:r w:rsidR="00C10DD1" w:rsidRPr="00DF3838">
        <w:rPr>
          <w:rFonts w:cs="Times New Roman"/>
          <w:szCs w:val="21"/>
        </w:rPr>
        <w:t>）</w:t>
      </w:r>
      <w:r w:rsidR="00851257" w:rsidRPr="00DF3838">
        <w:rPr>
          <w:rFonts w:cs="Times New Roman"/>
          <w:szCs w:val="21"/>
        </w:rPr>
        <w:t>，</w:t>
      </w:r>
      <w:r w:rsidR="00C10DD1" w:rsidRPr="00DF3838">
        <w:rPr>
          <w:rFonts w:cs="Times New Roman"/>
          <w:szCs w:val="21"/>
        </w:rPr>
        <w:t>并以此判断该地区</w:t>
      </w:r>
      <w:r w:rsidR="00C85F1D" w:rsidRPr="00DF3838">
        <w:rPr>
          <w:rFonts w:cs="Times New Roman"/>
          <w:szCs w:val="21"/>
        </w:rPr>
        <w:t>该</w:t>
      </w:r>
      <w:r w:rsidR="00C10DD1" w:rsidRPr="00DF3838">
        <w:rPr>
          <w:rFonts w:cs="Times New Roman"/>
          <w:szCs w:val="21"/>
        </w:rPr>
        <w:t>行业是否具备比较优势</w:t>
      </w:r>
      <w:r w:rsidR="00C85F1D" w:rsidRPr="00DF3838">
        <w:rPr>
          <w:rFonts w:cs="Times New Roman"/>
          <w:szCs w:val="21"/>
        </w:rPr>
        <w:t>（</w:t>
      </w:r>
      <m:oMath>
        <m:r>
          <w:rPr>
            <w:rFonts w:ascii="Cambria Math" w:hAnsi="Cambria Math" w:cs="Times New Roman"/>
            <w:szCs w:val="21"/>
          </w:rPr>
          <m:t>RCA</m:t>
        </m:r>
      </m:oMath>
      <w:r w:rsidR="00C85F1D" w:rsidRPr="00DF3838">
        <w:rPr>
          <w:rFonts w:cs="Times New Roman"/>
          <w:szCs w:val="21"/>
        </w:rPr>
        <w:t>）</w:t>
      </w:r>
      <w:r w:rsidR="00C10DD1" w:rsidRPr="00DF3838">
        <w:rPr>
          <w:rFonts w:cs="Times New Roman"/>
          <w:szCs w:val="21"/>
        </w:rPr>
        <w:t>。</w:t>
      </w:r>
      <w:r w:rsidR="009816C3" w:rsidRPr="00DF3838">
        <w:rPr>
          <w:rStyle w:val="a8"/>
          <w:rFonts w:cs="Times New Roman"/>
        </w:rPr>
        <w:footnoteReference w:id="3"/>
      </w:r>
      <w:r w:rsidR="00B0795F" w:rsidRPr="00DF3838">
        <w:rPr>
          <w:rFonts w:cs="Times New Roman"/>
          <w:szCs w:val="21"/>
        </w:rPr>
        <w:t>进一步地，</w:t>
      </w:r>
      <w:r w:rsidR="00916FE6" w:rsidRPr="00DF3838">
        <w:rPr>
          <w:rFonts w:cs="Times New Roman"/>
          <w:szCs w:val="21"/>
        </w:rPr>
        <w:t>分别</w:t>
      </w:r>
      <w:r w:rsidR="00B0795F" w:rsidRPr="00DF3838">
        <w:rPr>
          <w:rFonts w:cs="Times New Roman"/>
          <w:szCs w:val="21"/>
        </w:rPr>
        <w:t>在</w:t>
      </w:r>
      <w:r w:rsidR="00B8143C" w:rsidRPr="00DF3838">
        <w:rPr>
          <w:rFonts w:cs="Times New Roman"/>
          <w:szCs w:val="21"/>
        </w:rPr>
        <w:t>模型中</w:t>
      </w:r>
      <w:r w:rsidR="00B0795F" w:rsidRPr="00DF3838">
        <w:rPr>
          <w:rFonts w:cs="Times New Roman"/>
          <w:szCs w:val="21"/>
        </w:rPr>
        <w:t>控制</w:t>
      </w:r>
      <w:r w:rsidR="00B8143C" w:rsidRPr="00DF3838">
        <w:rPr>
          <w:rFonts w:cs="Times New Roman"/>
          <w:szCs w:val="21"/>
        </w:rPr>
        <w:t>买方所在行业在标的地区的比较优势表现</w:t>
      </w:r>
      <w:r w:rsidR="00B0795F" w:rsidRPr="00DF3838">
        <w:rPr>
          <w:rFonts w:cs="Times New Roman"/>
          <w:szCs w:val="21"/>
        </w:rPr>
        <w:t>（</w:t>
      </w:r>
      <m:oMath>
        <m:r>
          <w:rPr>
            <w:rFonts w:ascii="Cambria Math" w:hAnsi="Cambria Math" w:cs="Times New Roman"/>
            <w:szCs w:val="21"/>
          </w:rPr>
          <m:t>LQ</m:t>
        </m:r>
      </m:oMath>
      <w:r w:rsidR="00B0795F" w:rsidRPr="00DF3838">
        <w:rPr>
          <w:rFonts w:cs="Times New Roman"/>
          <w:szCs w:val="21"/>
        </w:rPr>
        <w:t>或</w:t>
      </w:r>
      <m:oMath>
        <m:r>
          <w:rPr>
            <w:rFonts w:ascii="Cambria Math" w:hAnsi="Cambria Math" w:cs="Times New Roman"/>
            <w:szCs w:val="21"/>
          </w:rPr>
          <m:t>RCA</m:t>
        </m:r>
      </m:oMath>
      <w:r w:rsidR="00B0795F" w:rsidRPr="00DF3838">
        <w:rPr>
          <w:rFonts w:cs="Times New Roman"/>
          <w:szCs w:val="21"/>
        </w:rPr>
        <w:t>）后重新回归。</w:t>
      </w:r>
      <w:r w:rsidR="00B0795F" w:rsidRPr="00DF3838">
        <w:rPr>
          <w:rFonts w:ascii="宋体" w:hAnsi="宋体" w:cs="宋体" w:hint="eastAsia"/>
          <w:szCs w:val="21"/>
        </w:rPr>
        <w:t>②</w:t>
      </w:r>
      <w:r w:rsidR="000337E1" w:rsidRPr="00DF3838">
        <w:rPr>
          <w:rFonts w:cs="Times New Roman"/>
          <w:szCs w:val="21"/>
        </w:rPr>
        <w:t>参照</w:t>
      </w:r>
      <w:r w:rsidR="00B0795F" w:rsidRPr="00DF3838">
        <w:rPr>
          <w:rFonts w:cs="Times New Roman"/>
          <w:szCs w:val="21"/>
        </w:rPr>
        <w:t>范剑勇（</w:t>
      </w:r>
      <w:r w:rsidR="00B0795F" w:rsidRPr="00DF3838">
        <w:rPr>
          <w:rFonts w:cs="Times New Roman"/>
          <w:szCs w:val="21"/>
        </w:rPr>
        <w:t>2004</w:t>
      </w:r>
      <w:r w:rsidR="00B0795F" w:rsidRPr="00DF3838">
        <w:rPr>
          <w:rFonts w:cs="Times New Roman"/>
          <w:szCs w:val="21"/>
        </w:rPr>
        <w:t>）</w:t>
      </w:r>
      <w:r w:rsidR="000337E1" w:rsidRPr="00DF3838">
        <w:rPr>
          <w:rFonts w:cs="Times New Roman"/>
          <w:szCs w:val="21"/>
        </w:rPr>
        <w:t>的做法</w:t>
      </w:r>
      <w:r w:rsidR="00DA7478" w:rsidRPr="00DF3838">
        <w:rPr>
          <w:rFonts w:cs="Times New Roman"/>
          <w:szCs w:val="21"/>
        </w:rPr>
        <w:t>，</w:t>
      </w:r>
      <w:r w:rsidR="00EC69E5" w:rsidRPr="00DF3838">
        <w:rPr>
          <w:rFonts w:cs="Times New Roman"/>
          <w:szCs w:val="21"/>
        </w:rPr>
        <w:t>首先</w:t>
      </w:r>
      <w:r w:rsidR="000337E1" w:rsidRPr="00DF3838">
        <w:rPr>
          <w:rFonts w:cs="Times New Roman"/>
          <w:szCs w:val="21"/>
        </w:rPr>
        <w:t>计算</w:t>
      </w:r>
      <w:r w:rsidR="00EC69E5" w:rsidRPr="00DF3838">
        <w:rPr>
          <w:rFonts w:cs="Times New Roman"/>
          <w:szCs w:val="21"/>
        </w:rPr>
        <w:t>某省某行业从业人员在全省从业人员中占比作为</w:t>
      </w:r>
      <w:r w:rsidR="00916FE6" w:rsidRPr="00DF3838">
        <w:rPr>
          <w:rFonts w:cs="Times New Roman"/>
          <w:szCs w:val="21"/>
        </w:rPr>
        <w:t>行业</w:t>
      </w:r>
      <w:r w:rsidR="00EC69E5" w:rsidRPr="00DF3838">
        <w:rPr>
          <w:rFonts w:cs="Times New Roman"/>
          <w:szCs w:val="21"/>
        </w:rPr>
        <w:t>地区专业化系数（</w:t>
      </w:r>
      <m:oMath>
        <m:r>
          <w:rPr>
            <w:rFonts w:ascii="Cambria Math" w:hAnsi="Cambria Math" w:cs="Times New Roman"/>
            <w:szCs w:val="21"/>
          </w:rPr>
          <m:t>SI</m:t>
        </m:r>
      </m:oMath>
      <w:r w:rsidR="00EC69E5" w:rsidRPr="00DF3838">
        <w:rPr>
          <w:rFonts w:cs="Times New Roman"/>
          <w:szCs w:val="21"/>
        </w:rPr>
        <w:t>），之后测度该省与全国其他地区产业结构差异程度作为地区相对专业化指数（</w:t>
      </w:r>
      <m:oMath>
        <m:r>
          <w:rPr>
            <w:rFonts w:ascii="Cambria Math" w:hAnsi="Cambria Math" w:cs="Times New Roman"/>
            <w:szCs w:val="21"/>
          </w:rPr>
          <m:t>SD</m:t>
        </m:r>
      </m:oMath>
      <w:r w:rsidR="00EC69E5" w:rsidRPr="00DF3838">
        <w:rPr>
          <w:rFonts w:cs="Times New Roman"/>
          <w:szCs w:val="21"/>
        </w:rPr>
        <w:t>）。</w:t>
      </w:r>
      <w:r w:rsidR="009816C3" w:rsidRPr="00DF3838">
        <w:rPr>
          <w:rStyle w:val="a8"/>
          <w:rFonts w:cs="Times New Roman"/>
          <w:szCs w:val="21"/>
        </w:rPr>
        <w:footnoteReference w:id="4"/>
      </w:r>
      <w:r w:rsidR="00EC69E5" w:rsidRPr="00DF3838">
        <w:rPr>
          <w:rFonts w:cs="Times New Roman"/>
          <w:szCs w:val="21"/>
        </w:rPr>
        <w:t>类似地，</w:t>
      </w:r>
      <w:r w:rsidR="00916FE6" w:rsidRPr="00DF3838">
        <w:rPr>
          <w:rFonts w:cs="Times New Roman"/>
          <w:szCs w:val="21"/>
        </w:rPr>
        <w:t>分别在模型中控制买方所在行业在标的地区的行业地区专业化系数（</w:t>
      </w:r>
      <m:oMath>
        <m:r>
          <w:rPr>
            <w:rFonts w:ascii="Cambria Math" w:hAnsi="Cambria Math" w:cs="Times New Roman"/>
            <w:szCs w:val="21"/>
          </w:rPr>
          <m:t>SI</m:t>
        </m:r>
      </m:oMath>
      <w:r w:rsidR="00916FE6" w:rsidRPr="00DF3838">
        <w:rPr>
          <w:rFonts w:cs="Times New Roman"/>
          <w:szCs w:val="21"/>
        </w:rPr>
        <w:t>）、标的地区相对专业化指数（</w:t>
      </w:r>
      <m:oMath>
        <m:r>
          <w:rPr>
            <w:rFonts w:ascii="Cambria Math" w:hAnsi="Cambria Math" w:cs="Times New Roman"/>
            <w:szCs w:val="21"/>
          </w:rPr>
          <m:t>SD</m:t>
        </m:r>
      </m:oMath>
      <w:r w:rsidR="00916FE6" w:rsidRPr="00DF3838">
        <w:rPr>
          <w:rFonts w:cs="Times New Roman"/>
          <w:szCs w:val="21"/>
        </w:rPr>
        <w:t>）后重新回归。</w:t>
      </w:r>
      <w:r w:rsidR="000337E1" w:rsidRPr="00DF3838">
        <w:rPr>
          <w:rFonts w:cs="Times New Roman"/>
          <w:szCs w:val="21"/>
        </w:rPr>
        <w:t>回归结果</w:t>
      </w:r>
      <w:proofErr w:type="gramStart"/>
      <w:r w:rsidR="000337E1" w:rsidRPr="00DF3838">
        <w:rPr>
          <w:rFonts w:cs="Times New Roman"/>
          <w:szCs w:val="21"/>
        </w:rPr>
        <w:t>依次如</w:t>
      </w:r>
      <w:proofErr w:type="gramEnd"/>
      <w:r w:rsidR="00E04F8E" w:rsidRPr="00DF3838">
        <w:rPr>
          <w:rFonts w:cs="Times New Roman"/>
          <w:szCs w:val="21"/>
        </w:rPr>
        <w:t>附表</w:t>
      </w:r>
      <w:r w:rsidR="00E04F8E" w:rsidRPr="00DF3838">
        <w:rPr>
          <w:rFonts w:cs="Times New Roman"/>
          <w:szCs w:val="21"/>
        </w:rPr>
        <w:t>7</w:t>
      </w:r>
      <w:r w:rsidR="000337E1" w:rsidRPr="00DF3838">
        <w:rPr>
          <w:rFonts w:cs="Times New Roman"/>
          <w:szCs w:val="21"/>
        </w:rPr>
        <w:t>第（</w:t>
      </w:r>
      <w:r w:rsidR="000337E1" w:rsidRPr="00DF3838">
        <w:rPr>
          <w:rFonts w:cs="Times New Roman"/>
          <w:szCs w:val="21"/>
        </w:rPr>
        <w:t>1</w:t>
      </w:r>
      <w:r w:rsidR="000337E1" w:rsidRPr="00DF3838">
        <w:rPr>
          <w:rFonts w:cs="Times New Roman"/>
          <w:szCs w:val="21"/>
        </w:rPr>
        <w:t>）</w:t>
      </w:r>
      <w:r w:rsidR="000337E1" w:rsidRPr="00DF3838">
        <w:rPr>
          <w:rFonts w:cs="Times New Roman"/>
          <w:szCs w:val="21"/>
        </w:rPr>
        <w:t>-</w:t>
      </w:r>
      <w:r w:rsidR="000337E1" w:rsidRPr="00DF3838">
        <w:rPr>
          <w:rFonts w:cs="Times New Roman"/>
          <w:szCs w:val="21"/>
        </w:rPr>
        <w:t>（</w:t>
      </w:r>
      <w:r w:rsidR="00916FE6" w:rsidRPr="00DF3838">
        <w:rPr>
          <w:rFonts w:cs="Times New Roman"/>
          <w:szCs w:val="21"/>
        </w:rPr>
        <w:t>4</w:t>
      </w:r>
      <w:r w:rsidR="000337E1" w:rsidRPr="00DF3838">
        <w:rPr>
          <w:rFonts w:cs="Times New Roman"/>
          <w:szCs w:val="21"/>
        </w:rPr>
        <w:t>）列所</w:t>
      </w:r>
      <w:r w:rsidR="000337E1" w:rsidRPr="00DF3838">
        <w:rPr>
          <w:rFonts w:cs="Times New Roman"/>
          <w:szCs w:val="21"/>
        </w:rPr>
        <w:lastRenderedPageBreak/>
        <w:t>示，</w:t>
      </w:r>
      <m:oMath>
        <m:r>
          <w:rPr>
            <w:rFonts w:ascii="Cambria Math" w:hAnsi="Cambria Math" w:cs="Times New Roman"/>
            <w:szCs w:val="21"/>
          </w:rPr>
          <m:t>Data×T</m:t>
        </m:r>
      </m:oMath>
      <w:r w:rsidR="000337E1" w:rsidRPr="00DF3838">
        <w:rPr>
          <w:rFonts w:cs="Times New Roman"/>
          <w:szCs w:val="21"/>
        </w:rPr>
        <w:t>前系数仍在</w:t>
      </w:r>
      <w:r w:rsidR="000337E1" w:rsidRPr="00DF3838">
        <w:rPr>
          <w:rFonts w:cs="Times New Roman"/>
        </w:rPr>
        <w:t>1%</w:t>
      </w:r>
      <w:r w:rsidR="003E0ECE" w:rsidRPr="00DF3838">
        <w:rPr>
          <w:rFonts w:cs="Times New Roman"/>
        </w:rPr>
        <w:t>或</w:t>
      </w:r>
      <w:r w:rsidR="003E0ECE" w:rsidRPr="00DF3838">
        <w:rPr>
          <w:rFonts w:cs="Times New Roman"/>
        </w:rPr>
        <w:t>5%</w:t>
      </w:r>
      <w:r w:rsidR="000337E1" w:rsidRPr="00DF3838">
        <w:rPr>
          <w:rFonts w:cs="Times New Roman"/>
        </w:rPr>
        <w:t>的统计水平上显著为正，表明在控制地区间产业协同的影响后，本文基本结论未发生改变。</w:t>
      </w:r>
    </w:p>
    <w:p w14:paraId="60E14484" w14:textId="77777777" w:rsidR="00EB76C6" w:rsidRPr="00E647E7" w:rsidRDefault="00EB76C6" w:rsidP="005826D1">
      <w:pPr>
        <w:ind w:firstLine="396"/>
        <w:rPr>
          <w:rFonts w:ascii="宋体" w:hAnsi="宋体" w:cs="Times New Roman" w:hint="eastAsia"/>
        </w:rPr>
      </w:pPr>
    </w:p>
    <w:tbl>
      <w:tblPr>
        <w:tblStyle w:val="a5"/>
        <w:tblW w:w="0" w:type="auto"/>
        <w:jc w:val="center"/>
        <w:tblLook w:val="04A0" w:firstRow="1" w:lastRow="0" w:firstColumn="1" w:lastColumn="0" w:noHBand="0" w:noVBand="1"/>
      </w:tblPr>
      <w:tblGrid>
        <w:gridCol w:w="2451"/>
        <w:gridCol w:w="1478"/>
        <w:gridCol w:w="1478"/>
        <w:gridCol w:w="1344"/>
        <w:gridCol w:w="1561"/>
      </w:tblGrid>
      <w:tr w:rsidR="00E647E7" w:rsidRPr="00E647E7" w14:paraId="51378CB7" w14:textId="781E5AB8" w:rsidTr="00F70C15">
        <w:trPr>
          <w:jc w:val="center"/>
        </w:trPr>
        <w:tc>
          <w:tcPr>
            <w:tcW w:w="8312" w:type="dxa"/>
            <w:gridSpan w:val="5"/>
            <w:tcBorders>
              <w:top w:val="nil"/>
              <w:left w:val="nil"/>
              <w:bottom w:val="single" w:sz="6" w:space="0" w:color="auto"/>
              <w:right w:val="nil"/>
            </w:tcBorders>
            <w:vAlign w:val="center"/>
          </w:tcPr>
          <w:p w14:paraId="3F8B401A" w14:textId="01354F48" w:rsidR="002F1F0E" w:rsidRPr="00E647E7" w:rsidRDefault="00E04F8E" w:rsidP="00302A11">
            <w:pPr>
              <w:keepNext/>
              <w:keepLines/>
              <w:ind w:firstLine="396"/>
              <w:rPr>
                <w:rFonts w:ascii="黑体" w:eastAsia="黑体" w:hAnsi="黑体" w:cs="Times New Roman" w:hint="eastAsia"/>
                <w:szCs w:val="21"/>
              </w:rPr>
            </w:pPr>
            <w:r>
              <w:rPr>
                <w:rFonts w:ascii="黑体" w:eastAsia="黑体" w:hAnsi="黑体" w:cs="Times New Roman" w:hint="eastAsia"/>
                <w:szCs w:val="21"/>
              </w:rPr>
              <w:t>附表7</w:t>
            </w:r>
            <w:r w:rsidR="00302A11">
              <w:rPr>
                <w:rFonts w:ascii="黑体" w:eastAsia="黑体" w:hAnsi="黑体" w:cs="Times New Roman" w:hint="eastAsia"/>
                <w:szCs w:val="21"/>
              </w:rPr>
              <w:t xml:space="preserve">                        </w:t>
            </w:r>
            <w:r w:rsidR="002F1F0E" w:rsidRPr="00E647E7">
              <w:rPr>
                <w:rFonts w:ascii="黑体" w:eastAsia="黑体" w:hAnsi="黑体" w:cs="Times New Roman" w:hint="eastAsia"/>
                <w:szCs w:val="21"/>
              </w:rPr>
              <w:t>控制地区产业协同的影响</w:t>
            </w:r>
          </w:p>
        </w:tc>
      </w:tr>
      <w:tr w:rsidR="00E647E7" w:rsidRPr="00E647E7" w14:paraId="0E777BB5" w14:textId="77777777" w:rsidTr="004200C5">
        <w:trPr>
          <w:jc w:val="center"/>
        </w:trPr>
        <w:tc>
          <w:tcPr>
            <w:tcW w:w="2451" w:type="dxa"/>
            <w:tcBorders>
              <w:top w:val="single" w:sz="6" w:space="0" w:color="auto"/>
              <w:left w:val="nil"/>
              <w:bottom w:val="single" w:sz="4" w:space="0" w:color="auto"/>
              <w:right w:val="single" w:sz="4" w:space="0" w:color="auto"/>
            </w:tcBorders>
            <w:vAlign w:val="center"/>
          </w:tcPr>
          <w:p w14:paraId="18FE2DD6" w14:textId="77777777" w:rsidR="007541D9" w:rsidRPr="00E647E7" w:rsidRDefault="007541D9" w:rsidP="007541D9">
            <w:pPr>
              <w:keepNext/>
              <w:keepLines/>
              <w:ind w:firstLineChars="0" w:firstLine="0"/>
              <w:jc w:val="center"/>
              <w:rPr>
                <w:rFonts w:cs="Times New Roman"/>
                <w:sz w:val="18"/>
                <w:szCs w:val="18"/>
              </w:rPr>
            </w:pPr>
          </w:p>
        </w:tc>
        <w:tc>
          <w:tcPr>
            <w:tcW w:w="1478" w:type="dxa"/>
            <w:tcBorders>
              <w:top w:val="single" w:sz="6" w:space="0" w:color="auto"/>
              <w:left w:val="single" w:sz="4" w:space="0" w:color="auto"/>
              <w:bottom w:val="single" w:sz="4" w:space="0" w:color="auto"/>
              <w:right w:val="single" w:sz="4" w:space="0" w:color="auto"/>
            </w:tcBorders>
            <w:vAlign w:val="center"/>
          </w:tcPr>
          <w:p w14:paraId="6A3131FF" w14:textId="00F30454" w:rsidR="007541D9" w:rsidRPr="00E647E7" w:rsidRDefault="007541D9" w:rsidP="007541D9">
            <w:pPr>
              <w:keepNext/>
              <w:keepLines/>
              <w:ind w:firstLineChars="0" w:firstLine="0"/>
              <w:jc w:val="center"/>
              <w:rPr>
                <w:rFonts w:cs="Times New Roman"/>
                <w:sz w:val="18"/>
                <w:szCs w:val="18"/>
              </w:rPr>
            </w:pPr>
            <w:r w:rsidRPr="00E647E7">
              <w:rPr>
                <w:rFonts w:cs="Times New Roman"/>
                <w:sz w:val="18"/>
                <w:szCs w:val="18"/>
              </w:rPr>
              <w:t>（</w:t>
            </w:r>
            <w:r w:rsidRPr="00E647E7">
              <w:rPr>
                <w:rFonts w:cs="Times New Roman"/>
                <w:sz w:val="18"/>
                <w:szCs w:val="18"/>
              </w:rPr>
              <w:t>1</w:t>
            </w:r>
            <w:r w:rsidRPr="00E647E7">
              <w:rPr>
                <w:rFonts w:cs="Times New Roman"/>
                <w:sz w:val="18"/>
                <w:szCs w:val="18"/>
              </w:rPr>
              <w:t>）</w:t>
            </w:r>
          </w:p>
        </w:tc>
        <w:tc>
          <w:tcPr>
            <w:tcW w:w="1478" w:type="dxa"/>
            <w:tcBorders>
              <w:top w:val="single" w:sz="6" w:space="0" w:color="auto"/>
              <w:left w:val="single" w:sz="4" w:space="0" w:color="auto"/>
              <w:bottom w:val="single" w:sz="4" w:space="0" w:color="auto"/>
              <w:right w:val="single" w:sz="4" w:space="0" w:color="auto"/>
            </w:tcBorders>
            <w:vAlign w:val="center"/>
          </w:tcPr>
          <w:p w14:paraId="7C57F9DF" w14:textId="05F9BE98" w:rsidR="007541D9" w:rsidRPr="00E647E7" w:rsidRDefault="007541D9" w:rsidP="007541D9">
            <w:pPr>
              <w:keepNext/>
              <w:keepLines/>
              <w:ind w:firstLineChars="0" w:firstLine="0"/>
              <w:jc w:val="center"/>
              <w:rPr>
                <w:rFonts w:cs="Times New Roman"/>
                <w:sz w:val="18"/>
                <w:szCs w:val="18"/>
              </w:rPr>
            </w:pPr>
            <w:r w:rsidRPr="00E647E7">
              <w:rPr>
                <w:rFonts w:cs="Times New Roman"/>
                <w:sz w:val="18"/>
                <w:szCs w:val="18"/>
              </w:rPr>
              <w:t>（</w:t>
            </w:r>
            <w:r w:rsidRPr="00E647E7">
              <w:rPr>
                <w:rFonts w:cs="Times New Roman"/>
                <w:sz w:val="18"/>
                <w:szCs w:val="18"/>
              </w:rPr>
              <w:t>2</w:t>
            </w:r>
            <w:r w:rsidRPr="00E647E7">
              <w:rPr>
                <w:rFonts w:cs="Times New Roman"/>
                <w:sz w:val="18"/>
                <w:szCs w:val="18"/>
              </w:rPr>
              <w:t>）</w:t>
            </w:r>
          </w:p>
        </w:tc>
        <w:tc>
          <w:tcPr>
            <w:tcW w:w="1344" w:type="dxa"/>
            <w:tcBorders>
              <w:top w:val="single" w:sz="6" w:space="0" w:color="auto"/>
              <w:left w:val="single" w:sz="4" w:space="0" w:color="auto"/>
              <w:bottom w:val="single" w:sz="4" w:space="0" w:color="auto"/>
              <w:right w:val="nil"/>
            </w:tcBorders>
            <w:vAlign w:val="center"/>
          </w:tcPr>
          <w:p w14:paraId="5619D1FA" w14:textId="591189E9" w:rsidR="007541D9" w:rsidRPr="00E647E7" w:rsidRDefault="007541D9" w:rsidP="007541D9">
            <w:pPr>
              <w:keepNext/>
              <w:keepLines/>
              <w:ind w:firstLineChars="0" w:firstLine="0"/>
              <w:jc w:val="center"/>
              <w:rPr>
                <w:rFonts w:cs="Times New Roman"/>
                <w:sz w:val="18"/>
                <w:szCs w:val="18"/>
              </w:rPr>
            </w:pPr>
            <w:r w:rsidRPr="00E647E7">
              <w:rPr>
                <w:rFonts w:cs="Times New Roman"/>
                <w:sz w:val="18"/>
                <w:szCs w:val="18"/>
              </w:rPr>
              <w:t>（</w:t>
            </w:r>
            <w:r w:rsidRPr="00E647E7">
              <w:rPr>
                <w:rFonts w:cs="Times New Roman"/>
                <w:sz w:val="18"/>
                <w:szCs w:val="18"/>
              </w:rPr>
              <w:t>3</w:t>
            </w:r>
            <w:r w:rsidRPr="00E647E7">
              <w:rPr>
                <w:rFonts w:cs="Times New Roman"/>
                <w:sz w:val="18"/>
                <w:szCs w:val="18"/>
              </w:rPr>
              <w:t>）</w:t>
            </w:r>
          </w:p>
        </w:tc>
        <w:tc>
          <w:tcPr>
            <w:tcW w:w="1561" w:type="dxa"/>
            <w:tcBorders>
              <w:top w:val="single" w:sz="6" w:space="0" w:color="auto"/>
              <w:left w:val="single" w:sz="4" w:space="0" w:color="auto"/>
              <w:bottom w:val="single" w:sz="4" w:space="0" w:color="auto"/>
              <w:right w:val="nil"/>
            </w:tcBorders>
            <w:vAlign w:val="center"/>
          </w:tcPr>
          <w:p w14:paraId="3799484D" w14:textId="10E499EE" w:rsidR="007541D9" w:rsidRPr="00E647E7" w:rsidRDefault="007541D9" w:rsidP="007541D9">
            <w:pPr>
              <w:keepNext/>
              <w:keepLines/>
              <w:ind w:firstLineChars="0" w:firstLine="0"/>
              <w:jc w:val="center"/>
              <w:rPr>
                <w:rFonts w:cs="Times New Roman"/>
                <w:sz w:val="18"/>
                <w:szCs w:val="18"/>
              </w:rPr>
            </w:pPr>
            <w:r w:rsidRPr="00E647E7">
              <w:rPr>
                <w:rFonts w:cs="Times New Roman"/>
                <w:sz w:val="18"/>
                <w:szCs w:val="18"/>
              </w:rPr>
              <w:t>（</w:t>
            </w:r>
            <w:r w:rsidRPr="00E647E7">
              <w:rPr>
                <w:rFonts w:cs="Times New Roman" w:hint="eastAsia"/>
                <w:sz w:val="18"/>
                <w:szCs w:val="18"/>
              </w:rPr>
              <w:t>4</w:t>
            </w:r>
            <w:r w:rsidRPr="00E647E7">
              <w:rPr>
                <w:rFonts w:cs="Times New Roman"/>
                <w:sz w:val="18"/>
                <w:szCs w:val="18"/>
              </w:rPr>
              <w:t>）</w:t>
            </w:r>
          </w:p>
        </w:tc>
      </w:tr>
      <w:tr w:rsidR="00E647E7" w:rsidRPr="00E647E7" w14:paraId="7B2DCA1C" w14:textId="5C26F7A4" w:rsidTr="004200C5">
        <w:trPr>
          <w:jc w:val="center"/>
        </w:trPr>
        <w:tc>
          <w:tcPr>
            <w:tcW w:w="2451" w:type="dxa"/>
            <w:tcBorders>
              <w:top w:val="single" w:sz="4" w:space="0" w:color="auto"/>
              <w:left w:val="nil"/>
              <w:bottom w:val="single" w:sz="4" w:space="0" w:color="auto"/>
              <w:right w:val="single" w:sz="4" w:space="0" w:color="auto"/>
            </w:tcBorders>
            <w:vAlign w:val="center"/>
          </w:tcPr>
          <w:p w14:paraId="5B1E2491" w14:textId="467EA04F" w:rsidR="007541D9" w:rsidRPr="00E647E7" w:rsidRDefault="007541D9" w:rsidP="007541D9">
            <w:pPr>
              <w:keepNext/>
              <w:keepLines/>
              <w:ind w:firstLineChars="0" w:firstLine="0"/>
              <w:jc w:val="center"/>
              <w:rPr>
                <w:rFonts w:cs="Times New Roman"/>
                <w:sz w:val="18"/>
                <w:szCs w:val="18"/>
              </w:rPr>
            </w:pPr>
            <w:r w:rsidRPr="00E647E7">
              <w:rPr>
                <w:rFonts w:cs="Times New Roman" w:hint="eastAsia"/>
                <w:sz w:val="18"/>
                <w:szCs w:val="18"/>
              </w:rPr>
              <w:t>产业协同变量</w:t>
            </w:r>
          </w:p>
        </w:tc>
        <w:tc>
          <w:tcPr>
            <w:tcW w:w="1478" w:type="dxa"/>
            <w:tcBorders>
              <w:top w:val="single" w:sz="4" w:space="0" w:color="auto"/>
              <w:left w:val="single" w:sz="4" w:space="0" w:color="auto"/>
              <w:bottom w:val="single" w:sz="4" w:space="0" w:color="auto"/>
              <w:right w:val="single" w:sz="4" w:space="0" w:color="auto"/>
            </w:tcBorders>
            <w:vAlign w:val="center"/>
          </w:tcPr>
          <w:p w14:paraId="2E6DB195" w14:textId="48615C6C" w:rsidR="007541D9" w:rsidRPr="00E647E7" w:rsidRDefault="007541D9" w:rsidP="004200C5">
            <w:pPr>
              <w:keepNext/>
              <w:keepLines/>
              <w:ind w:firstLineChars="0" w:firstLine="0"/>
              <w:rPr>
                <w:rFonts w:cs="Times New Roman"/>
                <w:sz w:val="18"/>
                <w:szCs w:val="18"/>
              </w:rPr>
            </w:pPr>
            <m:oMathPara>
              <m:oMath>
                <m:r>
                  <w:rPr>
                    <w:rFonts w:ascii="Cambria Math" w:hAnsi="Cambria Math" w:cs="Times New Roman"/>
                    <w:sz w:val="18"/>
                    <w:szCs w:val="18"/>
                  </w:rPr>
                  <m:t>LQ</m:t>
                </m:r>
              </m:oMath>
            </m:oMathPara>
          </w:p>
        </w:tc>
        <w:tc>
          <w:tcPr>
            <w:tcW w:w="1478" w:type="dxa"/>
            <w:tcBorders>
              <w:top w:val="single" w:sz="4" w:space="0" w:color="auto"/>
              <w:left w:val="single" w:sz="4" w:space="0" w:color="auto"/>
              <w:bottom w:val="single" w:sz="4" w:space="0" w:color="auto"/>
              <w:right w:val="single" w:sz="4" w:space="0" w:color="auto"/>
            </w:tcBorders>
            <w:vAlign w:val="center"/>
          </w:tcPr>
          <w:p w14:paraId="414271FA" w14:textId="02EAF8BB" w:rsidR="007541D9" w:rsidRPr="00E647E7" w:rsidRDefault="007541D9" w:rsidP="004200C5">
            <w:pPr>
              <w:keepNext/>
              <w:keepLines/>
              <w:ind w:firstLineChars="0" w:firstLine="0"/>
              <w:rPr>
                <w:rFonts w:cs="Times New Roman"/>
                <w:sz w:val="18"/>
                <w:szCs w:val="18"/>
              </w:rPr>
            </w:pPr>
            <m:oMathPara>
              <m:oMath>
                <m:r>
                  <w:rPr>
                    <w:rFonts w:ascii="Cambria Math" w:hAnsi="Cambria Math" w:cs="Times New Roman"/>
                    <w:sz w:val="18"/>
                    <w:szCs w:val="18"/>
                  </w:rPr>
                  <m:t>RCA</m:t>
                </m:r>
              </m:oMath>
            </m:oMathPara>
          </w:p>
        </w:tc>
        <w:tc>
          <w:tcPr>
            <w:tcW w:w="1344" w:type="dxa"/>
            <w:tcBorders>
              <w:top w:val="single" w:sz="4" w:space="0" w:color="auto"/>
              <w:left w:val="single" w:sz="4" w:space="0" w:color="auto"/>
              <w:bottom w:val="single" w:sz="4" w:space="0" w:color="auto"/>
              <w:right w:val="nil"/>
            </w:tcBorders>
            <w:vAlign w:val="center"/>
          </w:tcPr>
          <w:p w14:paraId="2D1B5D49" w14:textId="47775D0E" w:rsidR="007541D9" w:rsidRPr="00E647E7" w:rsidRDefault="007541D9" w:rsidP="004200C5">
            <w:pPr>
              <w:keepNext/>
              <w:keepLines/>
              <w:ind w:firstLineChars="0" w:firstLine="0"/>
              <w:rPr>
                <w:rFonts w:cs="Times New Roman"/>
                <w:sz w:val="18"/>
                <w:szCs w:val="18"/>
              </w:rPr>
            </w:pPr>
            <m:oMathPara>
              <m:oMath>
                <m:r>
                  <w:rPr>
                    <w:rFonts w:ascii="Cambria Math" w:hAnsi="Cambria Math" w:cs="Times New Roman"/>
                    <w:sz w:val="18"/>
                    <w:szCs w:val="18"/>
                  </w:rPr>
                  <m:t>SI</m:t>
                </m:r>
              </m:oMath>
            </m:oMathPara>
          </w:p>
        </w:tc>
        <w:tc>
          <w:tcPr>
            <w:tcW w:w="1561" w:type="dxa"/>
            <w:tcBorders>
              <w:top w:val="single" w:sz="4" w:space="0" w:color="auto"/>
              <w:left w:val="single" w:sz="4" w:space="0" w:color="auto"/>
              <w:bottom w:val="single" w:sz="4" w:space="0" w:color="auto"/>
              <w:right w:val="nil"/>
            </w:tcBorders>
            <w:vAlign w:val="center"/>
          </w:tcPr>
          <w:p w14:paraId="5DF73262" w14:textId="5D1EB0AC" w:rsidR="007541D9" w:rsidRPr="00E647E7" w:rsidRDefault="007541D9" w:rsidP="004200C5">
            <w:pPr>
              <w:keepNext/>
              <w:keepLines/>
              <w:ind w:firstLineChars="0" w:firstLine="0"/>
              <w:rPr>
                <w:rFonts w:cs="Times New Roman"/>
                <w:sz w:val="18"/>
                <w:szCs w:val="18"/>
              </w:rPr>
            </w:pPr>
            <m:oMathPara>
              <m:oMath>
                <m:r>
                  <w:rPr>
                    <w:rFonts w:ascii="Cambria Math" w:hAnsi="Cambria Math" w:cs="Times New Roman"/>
                    <w:sz w:val="18"/>
                    <w:szCs w:val="18"/>
                  </w:rPr>
                  <m:t>SD</m:t>
                </m:r>
              </m:oMath>
            </m:oMathPara>
          </w:p>
        </w:tc>
      </w:tr>
      <w:tr w:rsidR="00E647E7" w:rsidRPr="00E647E7" w14:paraId="2C5B657E" w14:textId="4E6B48CF" w:rsidTr="004200C5">
        <w:trPr>
          <w:jc w:val="center"/>
        </w:trPr>
        <w:tc>
          <w:tcPr>
            <w:tcW w:w="2451" w:type="dxa"/>
            <w:tcBorders>
              <w:top w:val="single" w:sz="4" w:space="0" w:color="auto"/>
              <w:left w:val="nil"/>
              <w:bottom w:val="single" w:sz="4" w:space="0" w:color="auto"/>
              <w:right w:val="single" w:sz="4" w:space="0" w:color="auto"/>
            </w:tcBorders>
            <w:vAlign w:val="center"/>
          </w:tcPr>
          <w:p w14:paraId="6F35ACCC" w14:textId="77777777" w:rsidR="007541D9" w:rsidRPr="00E647E7" w:rsidRDefault="007541D9" w:rsidP="007541D9">
            <w:pPr>
              <w:keepNext/>
              <w:keepLines/>
              <w:ind w:firstLineChars="0" w:firstLine="0"/>
              <w:jc w:val="center"/>
              <w:rPr>
                <w:rFonts w:cs="Times New Roman"/>
                <w:sz w:val="18"/>
                <w:szCs w:val="18"/>
              </w:rPr>
            </w:pPr>
            <w:r w:rsidRPr="00E647E7">
              <w:rPr>
                <w:rFonts w:cs="Times New Roman"/>
                <w:sz w:val="18"/>
                <w:szCs w:val="18"/>
              </w:rPr>
              <w:t>因变量</w:t>
            </w:r>
          </w:p>
        </w:tc>
        <w:tc>
          <w:tcPr>
            <w:tcW w:w="1478" w:type="dxa"/>
            <w:tcBorders>
              <w:top w:val="single" w:sz="4" w:space="0" w:color="auto"/>
              <w:left w:val="single" w:sz="4" w:space="0" w:color="auto"/>
              <w:bottom w:val="single" w:sz="4" w:space="0" w:color="auto"/>
              <w:right w:val="single" w:sz="4" w:space="0" w:color="auto"/>
            </w:tcBorders>
            <w:vAlign w:val="center"/>
          </w:tcPr>
          <w:p w14:paraId="79330338" w14:textId="77777777" w:rsidR="007541D9" w:rsidRPr="00E647E7" w:rsidRDefault="007541D9" w:rsidP="004200C5">
            <w:pPr>
              <w:keepNext/>
              <w:keepLines/>
              <w:ind w:firstLineChars="0" w:firstLine="0"/>
              <w:rPr>
                <w:rFonts w:cs="Times New Roman"/>
                <w:iCs/>
                <w:sz w:val="18"/>
                <w:szCs w:val="18"/>
              </w:rPr>
            </w:pPr>
            <m:oMathPara>
              <m:oMath>
                <m:r>
                  <w:rPr>
                    <w:rFonts w:ascii="Cambria Math" w:hAnsi="Cambria Math" w:cs="Times New Roman"/>
                    <w:sz w:val="18"/>
                    <w:szCs w:val="18"/>
                  </w:rPr>
                  <m:t>MaDist</m:t>
                </m:r>
              </m:oMath>
            </m:oMathPara>
          </w:p>
        </w:tc>
        <w:tc>
          <w:tcPr>
            <w:tcW w:w="1478" w:type="dxa"/>
            <w:tcBorders>
              <w:top w:val="single" w:sz="4" w:space="0" w:color="auto"/>
              <w:left w:val="single" w:sz="4" w:space="0" w:color="auto"/>
              <w:bottom w:val="single" w:sz="4" w:space="0" w:color="auto"/>
              <w:right w:val="single" w:sz="4" w:space="0" w:color="auto"/>
            </w:tcBorders>
            <w:vAlign w:val="center"/>
          </w:tcPr>
          <w:p w14:paraId="350F77F3" w14:textId="77777777" w:rsidR="007541D9" w:rsidRPr="00E647E7" w:rsidRDefault="007541D9" w:rsidP="004200C5">
            <w:pPr>
              <w:keepNext/>
              <w:keepLines/>
              <w:ind w:firstLineChars="0" w:firstLine="0"/>
              <w:rPr>
                <w:rFonts w:cs="Times New Roman"/>
                <w:iCs/>
                <w:sz w:val="18"/>
                <w:szCs w:val="18"/>
              </w:rPr>
            </w:pPr>
            <m:oMathPara>
              <m:oMath>
                <m:r>
                  <w:rPr>
                    <w:rFonts w:ascii="Cambria Math" w:hAnsi="Cambria Math" w:cs="Times New Roman"/>
                    <w:sz w:val="18"/>
                    <w:szCs w:val="18"/>
                  </w:rPr>
                  <m:t>MaDist</m:t>
                </m:r>
              </m:oMath>
            </m:oMathPara>
          </w:p>
        </w:tc>
        <w:tc>
          <w:tcPr>
            <w:tcW w:w="1344" w:type="dxa"/>
            <w:tcBorders>
              <w:top w:val="single" w:sz="4" w:space="0" w:color="auto"/>
              <w:left w:val="single" w:sz="4" w:space="0" w:color="auto"/>
              <w:bottom w:val="single" w:sz="4" w:space="0" w:color="auto"/>
              <w:right w:val="nil"/>
            </w:tcBorders>
          </w:tcPr>
          <w:p w14:paraId="2D7981D1" w14:textId="77777777" w:rsidR="007541D9" w:rsidRPr="00E647E7" w:rsidRDefault="007541D9" w:rsidP="004200C5">
            <w:pPr>
              <w:keepNext/>
              <w:keepLines/>
              <w:ind w:firstLineChars="0" w:firstLine="0"/>
              <w:rPr>
                <w:rFonts w:cs="Times New Roman"/>
                <w:sz w:val="18"/>
                <w:szCs w:val="18"/>
              </w:rPr>
            </w:pPr>
            <m:oMathPara>
              <m:oMath>
                <m:r>
                  <w:rPr>
                    <w:rFonts w:ascii="Cambria Math" w:hAnsi="Cambria Math" w:cs="Times New Roman"/>
                    <w:sz w:val="18"/>
                    <w:szCs w:val="18"/>
                  </w:rPr>
                  <m:t>MaDist</m:t>
                </m:r>
              </m:oMath>
            </m:oMathPara>
          </w:p>
        </w:tc>
        <w:tc>
          <w:tcPr>
            <w:tcW w:w="1561" w:type="dxa"/>
            <w:tcBorders>
              <w:top w:val="single" w:sz="4" w:space="0" w:color="auto"/>
              <w:left w:val="single" w:sz="4" w:space="0" w:color="auto"/>
              <w:bottom w:val="single" w:sz="4" w:space="0" w:color="auto"/>
              <w:right w:val="nil"/>
            </w:tcBorders>
          </w:tcPr>
          <w:p w14:paraId="04D4FEE0" w14:textId="09989F25" w:rsidR="007541D9" w:rsidRPr="00E647E7" w:rsidRDefault="007541D9" w:rsidP="004200C5">
            <w:pPr>
              <w:keepNext/>
              <w:keepLines/>
              <w:ind w:firstLineChars="0" w:firstLine="0"/>
              <w:rPr>
                <w:rFonts w:cs="Times New Roman"/>
                <w:sz w:val="18"/>
                <w:szCs w:val="18"/>
              </w:rPr>
            </w:pPr>
            <m:oMathPara>
              <m:oMath>
                <m:r>
                  <w:rPr>
                    <w:rFonts w:ascii="Cambria Math" w:hAnsi="Cambria Math" w:cs="Times New Roman"/>
                    <w:sz w:val="18"/>
                    <w:szCs w:val="18"/>
                  </w:rPr>
                  <m:t>MaDist</m:t>
                </m:r>
              </m:oMath>
            </m:oMathPara>
          </w:p>
        </w:tc>
      </w:tr>
      <w:tr w:rsidR="00E647E7" w:rsidRPr="00E647E7" w14:paraId="4B335703" w14:textId="7A428A66" w:rsidTr="004200C5">
        <w:trPr>
          <w:trHeight w:val="355"/>
          <w:jc w:val="center"/>
        </w:trPr>
        <w:tc>
          <w:tcPr>
            <w:tcW w:w="2451" w:type="dxa"/>
            <w:vMerge w:val="restart"/>
            <w:tcBorders>
              <w:top w:val="single" w:sz="4" w:space="0" w:color="auto"/>
              <w:left w:val="nil"/>
              <w:bottom w:val="nil"/>
              <w:right w:val="single" w:sz="4" w:space="0" w:color="auto"/>
            </w:tcBorders>
            <w:vAlign w:val="center"/>
          </w:tcPr>
          <w:p w14:paraId="49516E7C" w14:textId="77777777" w:rsidR="007541D9" w:rsidRPr="004200C5" w:rsidRDefault="007541D9" w:rsidP="004200C5">
            <w:pPr>
              <w:keepNext/>
              <w:keepLines/>
              <w:ind w:firstLineChars="0" w:firstLine="0"/>
              <w:jc w:val="left"/>
              <w:rPr>
                <w:rFonts w:cs="Times New Roman"/>
                <w:iCs/>
                <w:sz w:val="18"/>
                <w:szCs w:val="18"/>
              </w:rPr>
            </w:pPr>
            <m:oMathPara>
              <m:oMathParaPr>
                <m:jc m:val="left"/>
              </m:oMathParaPr>
              <m:oMath>
                <m:r>
                  <w:rPr>
                    <w:rFonts w:ascii="Cambria Math" w:hAnsi="Cambria Math" w:cs="Times New Roman"/>
                    <w:sz w:val="18"/>
                    <w:szCs w:val="18"/>
                  </w:rPr>
                  <m:t>Data×T</m:t>
                </m:r>
              </m:oMath>
            </m:oMathPara>
          </w:p>
        </w:tc>
        <w:tc>
          <w:tcPr>
            <w:tcW w:w="1478" w:type="dxa"/>
            <w:tcBorders>
              <w:top w:val="single" w:sz="4" w:space="0" w:color="auto"/>
              <w:left w:val="single" w:sz="4" w:space="0" w:color="auto"/>
              <w:bottom w:val="nil"/>
              <w:right w:val="single" w:sz="4" w:space="0" w:color="auto"/>
            </w:tcBorders>
          </w:tcPr>
          <w:p w14:paraId="54087179" w14:textId="3AB74B78" w:rsidR="007541D9" w:rsidRPr="00E647E7" w:rsidRDefault="007541D9" w:rsidP="007541D9">
            <w:pPr>
              <w:keepNext/>
              <w:keepLines/>
              <w:ind w:firstLineChars="0" w:firstLine="0"/>
              <w:jc w:val="center"/>
              <w:rPr>
                <w:rFonts w:cs="Times New Roman"/>
                <w:sz w:val="18"/>
                <w:szCs w:val="18"/>
              </w:rPr>
            </w:pPr>
            <w:r w:rsidRPr="00E647E7">
              <w:rPr>
                <w:rFonts w:cs="Times New Roman"/>
                <w:sz w:val="18"/>
                <w:szCs w:val="18"/>
              </w:rPr>
              <w:t>0.1892***</w:t>
            </w:r>
          </w:p>
        </w:tc>
        <w:tc>
          <w:tcPr>
            <w:tcW w:w="1478" w:type="dxa"/>
            <w:tcBorders>
              <w:top w:val="single" w:sz="4" w:space="0" w:color="auto"/>
              <w:left w:val="single" w:sz="4" w:space="0" w:color="auto"/>
              <w:bottom w:val="nil"/>
              <w:right w:val="single" w:sz="4" w:space="0" w:color="auto"/>
            </w:tcBorders>
          </w:tcPr>
          <w:p w14:paraId="62F61468" w14:textId="685A8D76" w:rsidR="007541D9" w:rsidRPr="00E647E7" w:rsidRDefault="007541D9" w:rsidP="007541D9">
            <w:pPr>
              <w:keepNext/>
              <w:keepLines/>
              <w:ind w:firstLineChars="0" w:firstLine="0"/>
              <w:jc w:val="center"/>
              <w:rPr>
                <w:rFonts w:cs="Times New Roman"/>
                <w:sz w:val="18"/>
                <w:szCs w:val="18"/>
              </w:rPr>
            </w:pPr>
            <w:r w:rsidRPr="00E647E7">
              <w:rPr>
                <w:rFonts w:cs="Times New Roman"/>
                <w:sz w:val="18"/>
                <w:szCs w:val="18"/>
              </w:rPr>
              <w:t>0.1842***</w:t>
            </w:r>
          </w:p>
        </w:tc>
        <w:tc>
          <w:tcPr>
            <w:tcW w:w="1344" w:type="dxa"/>
            <w:tcBorders>
              <w:top w:val="single" w:sz="4" w:space="0" w:color="auto"/>
              <w:left w:val="single" w:sz="4" w:space="0" w:color="auto"/>
              <w:bottom w:val="nil"/>
              <w:right w:val="nil"/>
            </w:tcBorders>
          </w:tcPr>
          <w:p w14:paraId="1579D7BD" w14:textId="364BBD16" w:rsidR="007541D9" w:rsidRPr="00E647E7" w:rsidRDefault="007541D9" w:rsidP="007541D9">
            <w:pPr>
              <w:keepNext/>
              <w:keepLines/>
              <w:ind w:firstLineChars="0" w:firstLine="0"/>
              <w:jc w:val="center"/>
              <w:rPr>
                <w:rFonts w:cs="Times New Roman"/>
                <w:sz w:val="18"/>
                <w:szCs w:val="18"/>
              </w:rPr>
            </w:pPr>
            <w:r w:rsidRPr="00E647E7">
              <w:rPr>
                <w:rFonts w:cs="Times New Roman"/>
                <w:sz w:val="18"/>
                <w:szCs w:val="18"/>
              </w:rPr>
              <w:t>0.1438***</w:t>
            </w:r>
          </w:p>
        </w:tc>
        <w:tc>
          <w:tcPr>
            <w:tcW w:w="1561" w:type="dxa"/>
            <w:tcBorders>
              <w:top w:val="single" w:sz="4" w:space="0" w:color="auto"/>
              <w:left w:val="single" w:sz="4" w:space="0" w:color="auto"/>
              <w:bottom w:val="nil"/>
              <w:right w:val="nil"/>
            </w:tcBorders>
          </w:tcPr>
          <w:p w14:paraId="65C45FA4" w14:textId="6135B954" w:rsidR="007541D9" w:rsidRPr="00E647E7" w:rsidRDefault="007541D9" w:rsidP="007541D9">
            <w:pPr>
              <w:keepNext/>
              <w:keepLines/>
              <w:ind w:firstLineChars="0" w:firstLine="0"/>
              <w:jc w:val="center"/>
              <w:rPr>
                <w:rFonts w:cs="Times New Roman"/>
                <w:sz w:val="18"/>
                <w:szCs w:val="18"/>
              </w:rPr>
            </w:pPr>
            <w:r w:rsidRPr="00E647E7">
              <w:rPr>
                <w:rFonts w:cs="Times New Roman"/>
                <w:sz w:val="18"/>
                <w:szCs w:val="18"/>
              </w:rPr>
              <w:t>0.0957**</w:t>
            </w:r>
          </w:p>
        </w:tc>
      </w:tr>
      <w:tr w:rsidR="00E647E7" w:rsidRPr="00E647E7" w14:paraId="79B8D0F4" w14:textId="399608B2" w:rsidTr="00916FE6">
        <w:trPr>
          <w:trHeight w:val="60"/>
          <w:jc w:val="center"/>
        </w:trPr>
        <w:tc>
          <w:tcPr>
            <w:tcW w:w="2451" w:type="dxa"/>
            <w:vMerge/>
            <w:tcBorders>
              <w:top w:val="nil"/>
              <w:left w:val="nil"/>
              <w:bottom w:val="nil"/>
              <w:right w:val="single" w:sz="4" w:space="0" w:color="auto"/>
            </w:tcBorders>
            <w:vAlign w:val="center"/>
          </w:tcPr>
          <w:p w14:paraId="0B9DF784" w14:textId="77777777" w:rsidR="007541D9" w:rsidRPr="00E647E7" w:rsidRDefault="007541D9" w:rsidP="004200C5">
            <w:pPr>
              <w:keepNext/>
              <w:keepLines/>
              <w:ind w:firstLine="336"/>
              <w:rPr>
                <w:rFonts w:cs="Times New Roman"/>
                <w:iCs/>
                <w:sz w:val="18"/>
                <w:szCs w:val="18"/>
              </w:rPr>
            </w:pPr>
          </w:p>
        </w:tc>
        <w:tc>
          <w:tcPr>
            <w:tcW w:w="1478" w:type="dxa"/>
            <w:tcBorders>
              <w:top w:val="nil"/>
              <w:left w:val="single" w:sz="4" w:space="0" w:color="auto"/>
              <w:bottom w:val="nil"/>
              <w:right w:val="single" w:sz="4" w:space="0" w:color="auto"/>
            </w:tcBorders>
          </w:tcPr>
          <w:p w14:paraId="462D4C3C" w14:textId="7E58581B" w:rsidR="007541D9" w:rsidRPr="00E647E7" w:rsidRDefault="007541D9" w:rsidP="007541D9">
            <w:pPr>
              <w:keepNext/>
              <w:keepLines/>
              <w:ind w:firstLineChars="0" w:firstLine="0"/>
              <w:jc w:val="center"/>
              <w:rPr>
                <w:rFonts w:cs="Times New Roman"/>
                <w:sz w:val="18"/>
                <w:szCs w:val="18"/>
              </w:rPr>
            </w:pPr>
            <w:r w:rsidRPr="00E647E7">
              <w:rPr>
                <w:rFonts w:cs="Times New Roman"/>
                <w:sz w:val="18"/>
                <w:szCs w:val="18"/>
              </w:rPr>
              <w:t>(0.0440)</w:t>
            </w:r>
          </w:p>
        </w:tc>
        <w:tc>
          <w:tcPr>
            <w:tcW w:w="1478" w:type="dxa"/>
            <w:tcBorders>
              <w:top w:val="nil"/>
              <w:left w:val="single" w:sz="4" w:space="0" w:color="auto"/>
              <w:bottom w:val="nil"/>
              <w:right w:val="single" w:sz="4" w:space="0" w:color="auto"/>
            </w:tcBorders>
          </w:tcPr>
          <w:p w14:paraId="52D26600" w14:textId="0BA3C11E" w:rsidR="007541D9" w:rsidRPr="00E647E7" w:rsidRDefault="007541D9" w:rsidP="007541D9">
            <w:pPr>
              <w:keepNext/>
              <w:keepLines/>
              <w:ind w:firstLineChars="0" w:firstLine="0"/>
              <w:jc w:val="center"/>
              <w:rPr>
                <w:rFonts w:cs="Times New Roman"/>
                <w:sz w:val="18"/>
                <w:szCs w:val="18"/>
              </w:rPr>
            </w:pPr>
            <w:r w:rsidRPr="00E647E7">
              <w:rPr>
                <w:rFonts w:cs="Times New Roman"/>
                <w:sz w:val="18"/>
                <w:szCs w:val="18"/>
              </w:rPr>
              <w:t>(0.0440)</w:t>
            </w:r>
          </w:p>
        </w:tc>
        <w:tc>
          <w:tcPr>
            <w:tcW w:w="1344" w:type="dxa"/>
            <w:tcBorders>
              <w:top w:val="nil"/>
              <w:left w:val="single" w:sz="4" w:space="0" w:color="auto"/>
              <w:bottom w:val="nil"/>
              <w:right w:val="nil"/>
            </w:tcBorders>
          </w:tcPr>
          <w:p w14:paraId="6C9FDD6C" w14:textId="6513C379" w:rsidR="007541D9" w:rsidRPr="00E647E7" w:rsidRDefault="007541D9" w:rsidP="007541D9">
            <w:pPr>
              <w:keepNext/>
              <w:keepLines/>
              <w:ind w:firstLineChars="0" w:firstLine="0"/>
              <w:jc w:val="center"/>
              <w:rPr>
                <w:rFonts w:cs="Times New Roman"/>
                <w:sz w:val="18"/>
                <w:szCs w:val="18"/>
              </w:rPr>
            </w:pPr>
            <w:r w:rsidRPr="00E647E7">
              <w:rPr>
                <w:rFonts w:cs="Times New Roman"/>
                <w:sz w:val="18"/>
                <w:szCs w:val="18"/>
              </w:rPr>
              <w:t>(0.0443)</w:t>
            </w:r>
          </w:p>
        </w:tc>
        <w:tc>
          <w:tcPr>
            <w:tcW w:w="1561" w:type="dxa"/>
            <w:tcBorders>
              <w:top w:val="nil"/>
              <w:left w:val="single" w:sz="4" w:space="0" w:color="auto"/>
              <w:bottom w:val="nil"/>
              <w:right w:val="nil"/>
            </w:tcBorders>
          </w:tcPr>
          <w:p w14:paraId="4BD860A4" w14:textId="03CCD860" w:rsidR="007541D9" w:rsidRPr="00E647E7" w:rsidRDefault="007541D9" w:rsidP="007541D9">
            <w:pPr>
              <w:keepNext/>
              <w:keepLines/>
              <w:ind w:firstLineChars="0" w:firstLine="0"/>
              <w:jc w:val="center"/>
              <w:rPr>
                <w:rFonts w:cs="Times New Roman"/>
                <w:sz w:val="18"/>
                <w:szCs w:val="18"/>
              </w:rPr>
            </w:pPr>
            <w:r w:rsidRPr="00E647E7">
              <w:rPr>
                <w:rFonts w:cs="Times New Roman"/>
                <w:sz w:val="18"/>
                <w:szCs w:val="18"/>
              </w:rPr>
              <w:t>(0.0458)</w:t>
            </w:r>
          </w:p>
        </w:tc>
      </w:tr>
      <w:tr w:rsidR="00CD6DD1" w:rsidRPr="00E647E7" w14:paraId="1ADDA3A3" w14:textId="47005476" w:rsidTr="00916FE6">
        <w:trPr>
          <w:trHeight w:val="60"/>
          <w:jc w:val="center"/>
        </w:trPr>
        <w:tc>
          <w:tcPr>
            <w:tcW w:w="2451" w:type="dxa"/>
            <w:tcBorders>
              <w:top w:val="nil"/>
              <w:left w:val="nil"/>
              <w:bottom w:val="nil"/>
              <w:right w:val="single" w:sz="4" w:space="0" w:color="auto"/>
            </w:tcBorders>
            <w:vAlign w:val="center"/>
          </w:tcPr>
          <w:p w14:paraId="42350E7C" w14:textId="77777777" w:rsidR="00CD6DD1" w:rsidRPr="00E647E7" w:rsidRDefault="00CD6DD1" w:rsidP="00CD6DD1">
            <w:pPr>
              <w:keepNext/>
              <w:keepLines/>
              <w:ind w:firstLineChars="0" w:firstLine="0"/>
              <w:rPr>
                <w:rFonts w:cs="Times New Roman"/>
                <w:i/>
                <w:iCs/>
                <w:sz w:val="18"/>
                <w:szCs w:val="18"/>
              </w:rPr>
            </w:pPr>
            <w:r w:rsidRPr="00E647E7">
              <w:rPr>
                <w:rFonts w:cs="Times New Roman"/>
                <w:sz w:val="18"/>
                <w:szCs w:val="18"/>
              </w:rPr>
              <w:t>控制变量</w:t>
            </w:r>
          </w:p>
        </w:tc>
        <w:tc>
          <w:tcPr>
            <w:tcW w:w="1478" w:type="dxa"/>
            <w:tcBorders>
              <w:top w:val="nil"/>
              <w:left w:val="single" w:sz="4" w:space="0" w:color="auto"/>
              <w:bottom w:val="nil"/>
              <w:right w:val="single" w:sz="4" w:space="0" w:color="auto"/>
            </w:tcBorders>
          </w:tcPr>
          <w:p w14:paraId="08798FFB" w14:textId="4150F16C" w:rsidR="00CD6DD1" w:rsidRPr="00E647E7" w:rsidRDefault="00CD6DD1" w:rsidP="00CD6DD1">
            <w:pPr>
              <w:keepNext/>
              <w:keepLines/>
              <w:ind w:firstLineChars="0" w:firstLine="0"/>
              <w:jc w:val="center"/>
              <w:rPr>
                <w:rFonts w:cs="Times New Roman"/>
                <w:sz w:val="18"/>
                <w:szCs w:val="18"/>
              </w:rPr>
            </w:pPr>
            <w:r>
              <w:rPr>
                <w:rFonts w:cs="Times New Roman" w:hint="eastAsia"/>
                <w:sz w:val="18"/>
                <w:szCs w:val="18"/>
              </w:rPr>
              <w:t>是</w:t>
            </w:r>
          </w:p>
        </w:tc>
        <w:tc>
          <w:tcPr>
            <w:tcW w:w="1478" w:type="dxa"/>
            <w:tcBorders>
              <w:top w:val="nil"/>
              <w:left w:val="single" w:sz="4" w:space="0" w:color="auto"/>
              <w:bottom w:val="nil"/>
              <w:right w:val="single" w:sz="4" w:space="0" w:color="auto"/>
            </w:tcBorders>
          </w:tcPr>
          <w:p w14:paraId="3A9536FF" w14:textId="0B40B9C2" w:rsidR="00CD6DD1" w:rsidRPr="00E647E7" w:rsidRDefault="00CD6DD1" w:rsidP="00CD6DD1">
            <w:pPr>
              <w:keepNext/>
              <w:keepLines/>
              <w:ind w:firstLineChars="0" w:firstLine="0"/>
              <w:jc w:val="center"/>
              <w:rPr>
                <w:rFonts w:cs="Times New Roman"/>
                <w:sz w:val="18"/>
                <w:szCs w:val="18"/>
              </w:rPr>
            </w:pPr>
            <w:r>
              <w:rPr>
                <w:rFonts w:cs="Times New Roman" w:hint="eastAsia"/>
                <w:sz w:val="18"/>
                <w:szCs w:val="18"/>
              </w:rPr>
              <w:t>是</w:t>
            </w:r>
          </w:p>
        </w:tc>
        <w:tc>
          <w:tcPr>
            <w:tcW w:w="1344" w:type="dxa"/>
            <w:tcBorders>
              <w:top w:val="nil"/>
              <w:left w:val="single" w:sz="4" w:space="0" w:color="auto"/>
              <w:bottom w:val="nil"/>
              <w:right w:val="nil"/>
            </w:tcBorders>
          </w:tcPr>
          <w:p w14:paraId="096BB1ED" w14:textId="06A56AEC" w:rsidR="00CD6DD1" w:rsidRPr="00E647E7" w:rsidRDefault="00CD6DD1" w:rsidP="00CD6DD1">
            <w:pPr>
              <w:keepNext/>
              <w:keepLines/>
              <w:ind w:firstLineChars="0" w:firstLine="0"/>
              <w:jc w:val="center"/>
              <w:rPr>
                <w:rFonts w:cs="Times New Roman"/>
                <w:sz w:val="18"/>
                <w:szCs w:val="18"/>
              </w:rPr>
            </w:pPr>
            <w:r>
              <w:rPr>
                <w:rFonts w:cs="Times New Roman" w:hint="eastAsia"/>
                <w:sz w:val="18"/>
                <w:szCs w:val="18"/>
              </w:rPr>
              <w:t>是</w:t>
            </w:r>
          </w:p>
        </w:tc>
        <w:tc>
          <w:tcPr>
            <w:tcW w:w="1561" w:type="dxa"/>
            <w:tcBorders>
              <w:top w:val="nil"/>
              <w:left w:val="single" w:sz="4" w:space="0" w:color="auto"/>
              <w:bottom w:val="nil"/>
              <w:right w:val="nil"/>
            </w:tcBorders>
          </w:tcPr>
          <w:p w14:paraId="72B50762" w14:textId="2B7F280B" w:rsidR="00CD6DD1" w:rsidRPr="00E647E7" w:rsidRDefault="00CD6DD1" w:rsidP="00CD6DD1">
            <w:pPr>
              <w:keepNext/>
              <w:keepLines/>
              <w:ind w:firstLineChars="0" w:firstLine="0"/>
              <w:jc w:val="center"/>
              <w:rPr>
                <w:rFonts w:cs="Times New Roman"/>
                <w:sz w:val="18"/>
                <w:szCs w:val="18"/>
              </w:rPr>
            </w:pPr>
            <w:r>
              <w:rPr>
                <w:rFonts w:cs="Times New Roman" w:hint="eastAsia"/>
                <w:sz w:val="18"/>
                <w:szCs w:val="18"/>
              </w:rPr>
              <w:t>是</w:t>
            </w:r>
          </w:p>
        </w:tc>
      </w:tr>
      <w:tr w:rsidR="00CD6DD1" w:rsidRPr="00E647E7" w14:paraId="0515B9DB" w14:textId="25E9369C" w:rsidTr="00916FE6">
        <w:trPr>
          <w:jc w:val="center"/>
        </w:trPr>
        <w:tc>
          <w:tcPr>
            <w:tcW w:w="2451" w:type="dxa"/>
            <w:tcBorders>
              <w:top w:val="nil"/>
              <w:left w:val="nil"/>
              <w:bottom w:val="nil"/>
              <w:right w:val="single" w:sz="4" w:space="0" w:color="auto"/>
            </w:tcBorders>
            <w:vAlign w:val="center"/>
          </w:tcPr>
          <w:p w14:paraId="43DB5D4F" w14:textId="11FBE595" w:rsidR="00CD6DD1" w:rsidRPr="00E647E7" w:rsidRDefault="00CD6DD1" w:rsidP="00CD6DD1">
            <w:pPr>
              <w:keepNext/>
              <w:keepLines/>
              <w:ind w:firstLineChars="0" w:firstLine="0"/>
              <w:rPr>
                <w:rFonts w:cs="Times New Roman"/>
                <w:sz w:val="18"/>
                <w:szCs w:val="18"/>
              </w:rPr>
            </w:pPr>
            <w:r w:rsidRPr="00E647E7">
              <w:rPr>
                <w:rFonts w:cs="Times New Roman"/>
                <w:sz w:val="18"/>
                <w:szCs w:val="18"/>
              </w:rPr>
              <w:t>固定效应</w:t>
            </w:r>
          </w:p>
        </w:tc>
        <w:tc>
          <w:tcPr>
            <w:tcW w:w="1478" w:type="dxa"/>
            <w:tcBorders>
              <w:top w:val="nil"/>
              <w:left w:val="single" w:sz="4" w:space="0" w:color="auto"/>
              <w:bottom w:val="nil"/>
              <w:right w:val="single" w:sz="4" w:space="0" w:color="auto"/>
            </w:tcBorders>
          </w:tcPr>
          <w:p w14:paraId="51978946" w14:textId="7AD9B771" w:rsidR="00CD6DD1" w:rsidRPr="00E647E7" w:rsidRDefault="00CD6DD1" w:rsidP="00CD6DD1">
            <w:pPr>
              <w:keepNext/>
              <w:keepLines/>
              <w:ind w:firstLineChars="0" w:firstLine="0"/>
              <w:jc w:val="center"/>
              <w:rPr>
                <w:rFonts w:cs="Times New Roman"/>
                <w:sz w:val="18"/>
                <w:szCs w:val="18"/>
              </w:rPr>
            </w:pPr>
            <w:r w:rsidRPr="00F35BF1">
              <w:rPr>
                <w:rFonts w:cs="Times New Roman" w:hint="eastAsia"/>
                <w:sz w:val="18"/>
                <w:szCs w:val="18"/>
              </w:rPr>
              <w:t>是</w:t>
            </w:r>
          </w:p>
        </w:tc>
        <w:tc>
          <w:tcPr>
            <w:tcW w:w="1478" w:type="dxa"/>
            <w:tcBorders>
              <w:top w:val="nil"/>
              <w:left w:val="single" w:sz="4" w:space="0" w:color="auto"/>
              <w:bottom w:val="nil"/>
              <w:right w:val="single" w:sz="4" w:space="0" w:color="auto"/>
            </w:tcBorders>
          </w:tcPr>
          <w:p w14:paraId="3D7A19A6" w14:textId="54411A72" w:rsidR="00CD6DD1" w:rsidRPr="00E647E7" w:rsidRDefault="00CD6DD1" w:rsidP="00CD6DD1">
            <w:pPr>
              <w:keepNext/>
              <w:keepLines/>
              <w:ind w:firstLineChars="0" w:firstLine="0"/>
              <w:jc w:val="center"/>
              <w:rPr>
                <w:rFonts w:cs="Times New Roman"/>
                <w:sz w:val="18"/>
                <w:szCs w:val="18"/>
              </w:rPr>
            </w:pPr>
            <w:r w:rsidRPr="00F35BF1">
              <w:rPr>
                <w:rFonts w:cs="Times New Roman" w:hint="eastAsia"/>
                <w:sz w:val="18"/>
                <w:szCs w:val="18"/>
              </w:rPr>
              <w:t>是</w:t>
            </w:r>
          </w:p>
        </w:tc>
        <w:tc>
          <w:tcPr>
            <w:tcW w:w="1344" w:type="dxa"/>
            <w:tcBorders>
              <w:top w:val="nil"/>
              <w:left w:val="single" w:sz="4" w:space="0" w:color="auto"/>
              <w:bottom w:val="nil"/>
              <w:right w:val="nil"/>
            </w:tcBorders>
          </w:tcPr>
          <w:p w14:paraId="1036B945" w14:textId="0CC5BE30" w:rsidR="00CD6DD1" w:rsidRPr="00E647E7" w:rsidRDefault="00CD6DD1" w:rsidP="00CD6DD1">
            <w:pPr>
              <w:keepNext/>
              <w:keepLines/>
              <w:ind w:firstLineChars="0" w:firstLine="0"/>
              <w:jc w:val="center"/>
              <w:rPr>
                <w:rFonts w:cs="Times New Roman"/>
                <w:sz w:val="18"/>
                <w:szCs w:val="18"/>
              </w:rPr>
            </w:pPr>
            <w:r w:rsidRPr="00F35BF1">
              <w:rPr>
                <w:rFonts w:cs="Times New Roman" w:hint="eastAsia"/>
                <w:sz w:val="18"/>
                <w:szCs w:val="18"/>
              </w:rPr>
              <w:t>是</w:t>
            </w:r>
          </w:p>
        </w:tc>
        <w:tc>
          <w:tcPr>
            <w:tcW w:w="1561" w:type="dxa"/>
            <w:tcBorders>
              <w:top w:val="nil"/>
              <w:left w:val="single" w:sz="4" w:space="0" w:color="auto"/>
              <w:bottom w:val="nil"/>
              <w:right w:val="nil"/>
            </w:tcBorders>
          </w:tcPr>
          <w:p w14:paraId="7EE0C9D2" w14:textId="74677CE5" w:rsidR="00CD6DD1" w:rsidRPr="00E647E7" w:rsidRDefault="00CD6DD1" w:rsidP="00CD6DD1">
            <w:pPr>
              <w:keepNext/>
              <w:keepLines/>
              <w:ind w:firstLineChars="0" w:firstLine="0"/>
              <w:jc w:val="center"/>
              <w:rPr>
                <w:rFonts w:cs="Times New Roman"/>
                <w:sz w:val="18"/>
                <w:szCs w:val="18"/>
              </w:rPr>
            </w:pPr>
            <w:r w:rsidRPr="00F35BF1">
              <w:rPr>
                <w:rFonts w:cs="Times New Roman" w:hint="eastAsia"/>
                <w:sz w:val="18"/>
                <w:szCs w:val="18"/>
              </w:rPr>
              <w:t>是</w:t>
            </w:r>
          </w:p>
        </w:tc>
      </w:tr>
      <w:tr w:rsidR="00E647E7" w:rsidRPr="00E647E7" w14:paraId="4A04D927" w14:textId="76DC0106" w:rsidTr="00F70C15">
        <w:trPr>
          <w:jc w:val="center"/>
        </w:trPr>
        <w:tc>
          <w:tcPr>
            <w:tcW w:w="2451" w:type="dxa"/>
            <w:tcBorders>
              <w:top w:val="single" w:sz="4" w:space="0" w:color="auto"/>
              <w:left w:val="nil"/>
              <w:bottom w:val="nil"/>
              <w:right w:val="single" w:sz="4" w:space="0" w:color="auto"/>
            </w:tcBorders>
            <w:vAlign w:val="center"/>
          </w:tcPr>
          <w:p w14:paraId="01D13290" w14:textId="7C180DC9" w:rsidR="007541D9" w:rsidRPr="004200C5" w:rsidRDefault="004200C5" w:rsidP="004200C5">
            <w:pPr>
              <w:keepNext/>
              <w:keepLines/>
              <w:ind w:firstLine="336"/>
              <w:jc w:val="left"/>
              <w:rPr>
                <w:rFonts w:cs="Times New Roman"/>
                <w:iCs/>
                <w:sz w:val="18"/>
                <w:szCs w:val="18"/>
              </w:rPr>
            </w:pPr>
            <m:oMathPara>
              <m:oMathParaPr>
                <m:jc m:val="left"/>
              </m:oMathParaPr>
              <m:oMath>
                <m:r>
                  <m:rPr>
                    <m:sty m:val="p"/>
                  </m:rPr>
                  <w:rPr>
                    <w:rFonts w:ascii="Cambria Math" w:hAnsi="Cambria Math" w:cs="Times New Roman" w:hint="eastAsia"/>
                    <w:sz w:val="18"/>
                    <w:szCs w:val="18"/>
                  </w:rPr>
                  <m:t>观测值</m:t>
                </m:r>
              </m:oMath>
            </m:oMathPara>
          </w:p>
        </w:tc>
        <w:tc>
          <w:tcPr>
            <w:tcW w:w="1478" w:type="dxa"/>
            <w:tcBorders>
              <w:top w:val="single" w:sz="4" w:space="0" w:color="auto"/>
              <w:left w:val="single" w:sz="4" w:space="0" w:color="auto"/>
              <w:bottom w:val="nil"/>
              <w:right w:val="single" w:sz="4" w:space="0" w:color="auto"/>
            </w:tcBorders>
          </w:tcPr>
          <w:p w14:paraId="518D7A1B" w14:textId="4CF8FAA4" w:rsidR="007541D9" w:rsidRPr="00E647E7" w:rsidRDefault="007541D9" w:rsidP="007541D9">
            <w:pPr>
              <w:keepNext/>
              <w:keepLines/>
              <w:ind w:firstLineChars="0" w:firstLine="0"/>
              <w:jc w:val="center"/>
              <w:rPr>
                <w:rFonts w:cs="Times New Roman"/>
                <w:sz w:val="18"/>
                <w:szCs w:val="18"/>
              </w:rPr>
            </w:pPr>
            <w:r w:rsidRPr="00E647E7">
              <w:rPr>
                <w:rFonts w:cs="Times New Roman" w:hint="eastAsia"/>
                <w:sz w:val="18"/>
                <w:szCs w:val="18"/>
              </w:rPr>
              <w:t>7435</w:t>
            </w:r>
          </w:p>
        </w:tc>
        <w:tc>
          <w:tcPr>
            <w:tcW w:w="1478" w:type="dxa"/>
            <w:tcBorders>
              <w:top w:val="single" w:sz="4" w:space="0" w:color="auto"/>
              <w:left w:val="single" w:sz="4" w:space="0" w:color="auto"/>
              <w:bottom w:val="nil"/>
              <w:right w:val="single" w:sz="4" w:space="0" w:color="auto"/>
            </w:tcBorders>
          </w:tcPr>
          <w:p w14:paraId="3B9235B4" w14:textId="4D7B8BD3" w:rsidR="007541D9" w:rsidRPr="00E647E7" w:rsidRDefault="007541D9" w:rsidP="007541D9">
            <w:pPr>
              <w:keepNext/>
              <w:keepLines/>
              <w:ind w:firstLineChars="0" w:firstLine="0"/>
              <w:jc w:val="center"/>
              <w:rPr>
                <w:rFonts w:cs="Times New Roman"/>
                <w:sz w:val="18"/>
                <w:szCs w:val="18"/>
              </w:rPr>
            </w:pPr>
            <w:r w:rsidRPr="00E647E7">
              <w:rPr>
                <w:rFonts w:cs="Times New Roman" w:hint="eastAsia"/>
                <w:sz w:val="18"/>
                <w:szCs w:val="18"/>
              </w:rPr>
              <w:t>7435</w:t>
            </w:r>
          </w:p>
        </w:tc>
        <w:tc>
          <w:tcPr>
            <w:tcW w:w="1344" w:type="dxa"/>
            <w:tcBorders>
              <w:top w:val="single" w:sz="4" w:space="0" w:color="auto"/>
              <w:left w:val="single" w:sz="4" w:space="0" w:color="auto"/>
              <w:bottom w:val="nil"/>
              <w:right w:val="nil"/>
            </w:tcBorders>
          </w:tcPr>
          <w:p w14:paraId="73230757" w14:textId="55CFCD29" w:rsidR="007541D9" w:rsidRPr="00E647E7" w:rsidRDefault="007541D9" w:rsidP="007541D9">
            <w:pPr>
              <w:keepNext/>
              <w:keepLines/>
              <w:ind w:firstLineChars="0" w:firstLine="0"/>
              <w:jc w:val="center"/>
              <w:rPr>
                <w:rFonts w:cs="Times New Roman"/>
                <w:sz w:val="18"/>
                <w:szCs w:val="18"/>
              </w:rPr>
            </w:pPr>
            <w:r w:rsidRPr="00E647E7">
              <w:rPr>
                <w:rFonts w:cs="Times New Roman" w:hint="eastAsia"/>
                <w:sz w:val="18"/>
                <w:szCs w:val="18"/>
              </w:rPr>
              <w:t>7435</w:t>
            </w:r>
          </w:p>
        </w:tc>
        <w:tc>
          <w:tcPr>
            <w:tcW w:w="1561" w:type="dxa"/>
            <w:tcBorders>
              <w:top w:val="single" w:sz="4" w:space="0" w:color="auto"/>
              <w:left w:val="single" w:sz="4" w:space="0" w:color="auto"/>
              <w:bottom w:val="nil"/>
              <w:right w:val="nil"/>
            </w:tcBorders>
          </w:tcPr>
          <w:p w14:paraId="71202D80" w14:textId="7137123D" w:rsidR="007541D9" w:rsidRPr="00E647E7" w:rsidRDefault="007541D9" w:rsidP="007541D9">
            <w:pPr>
              <w:keepNext/>
              <w:keepLines/>
              <w:ind w:firstLineChars="0" w:firstLine="0"/>
              <w:jc w:val="center"/>
              <w:rPr>
                <w:rFonts w:cs="Times New Roman"/>
                <w:sz w:val="18"/>
                <w:szCs w:val="18"/>
              </w:rPr>
            </w:pPr>
            <w:r w:rsidRPr="00E647E7">
              <w:rPr>
                <w:rFonts w:cs="Times New Roman" w:hint="eastAsia"/>
                <w:sz w:val="18"/>
                <w:szCs w:val="18"/>
              </w:rPr>
              <w:t>7435</w:t>
            </w:r>
          </w:p>
        </w:tc>
      </w:tr>
      <w:tr w:rsidR="00E647E7" w:rsidRPr="00E647E7" w14:paraId="356E609D" w14:textId="7A7E7E1C" w:rsidTr="00F70C15">
        <w:trPr>
          <w:jc w:val="center"/>
        </w:trPr>
        <w:tc>
          <w:tcPr>
            <w:tcW w:w="2451" w:type="dxa"/>
            <w:tcBorders>
              <w:top w:val="nil"/>
              <w:left w:val="nil"/>
              <w:bottom w:val="single" w:sz="6" w:space="0" w:color="auto"/>
              <w:right w:val="single" w:sz="4" w:space="0" w:color="auto"/>
            </w:tcBorders>
            <w:vAlign w:val="center"/>
          </w:tcPr>
          <w:p w14:paraId="370B959E" w14:textId="20818F30" w:rsidR="007541D9" w:rsidRPr="004200C5" w:rsidRDefault="00DD3F0B" w:rsidP="004200C5">
            <w:pPr>
              <w:keepNext/>
              <w:keepLines/>
              <w:ind w:firstLine="336"/>
              <w:jc w:val="left"/>
              <w:rPr>
                <w:rFonts w:cs="Times New Roman"/>
                <w:iCs/>
                <w:sz w:val="18"/>
                <w:szCs w:val="18"/>
              </w:rPr>
            </w:pPr>
            <m:oMathPara>
              <m:oMathParaPr>
                <m:jc m:val="left"/>
              </m:oMathParaPr>
              <m:oMath>
                <m:r>
                  <m:rPr>
                    <m:sty m:val="p"/>
                  </m:rPr>
                  <w:rPr>
                    <w:rFonts w:ascii="Cambria Math" w:hAnsi="Cambria Math" w:cs="Times New Roman"/>
                    <w:color w:val="000000" w:themeColor="text1"/>
                    <w:sz w:val="18"/>
                    <w:szCs w:val="18"/>
                  </w:rPr>
                  <m:t>Adj.</m:t>
                </m:r>
                <m:sSup>
                  <m:sSupPr>
                    <m:ctrlPr>
                      <w:rPr>
                        <w:rFonts w:ascii="Cambria Math" w:hAnsi="Cambria Math" w:cs="Times New Roman"/>
                        <w:color w:val="000000" w:themeColor="text1"/>
                        <w:sz w:val="18"/>
                        <w:szCs w:val="18"/>
                      </w:rPr>
                    </m:ctrlPr>
                  </m:sSupPr>
                  <m:e>
                    <m:r>
                      <w:rPr>
                        <w:rFonts w:ascii="Cambria Math" w:hAnsi="Cambria Math" w:cs="Times New Roman"/>
                        <w:color w:val="000000" w:themeColor="text1"/>
                        <w:sz w:val="18"/>
                        <w:szCs w:val="18"/>
                      </w:rPr>
                      <m:t>R</m:t>
                    </m:r>
                  </m:e>
                  <m:sup>
                    <m:r>
                      <w:rPr>
                        <w:rFonts w:ascii="Cambria Math" w:hAnsi="Cambria Math" w:cs="Times New Roman"/>
                        <w:color w:val="000000" w:themeColor="text1"/>
                        <w:sz w:val="18"/>
                        <w:szCs w:val="18"/>
                      </w:rPr>
                      <m:t>2</m:t>
                    </m:r>
                  </m:sup>
                </m:sSup>
              </m:oMath>
            </m:oMathPara>
          </w:p>
        </w:tc>
        <w:tc>
          <w:tcPr>
            <w:tcW w:w="1478" w:type="dxa"/>
            <w:tcBorders>
              <w:top w:val="nil"/>
              <w:left w:val="single" w:sz="4" w:space="0" w:color="auto"/>
              <w:bottom w:val="single" w:sz="6" w:space="0" w:color="auto"/>
              <w:right w:val="single" w:sz="4" w:space="0" w:color="auto"/>
            </w:tcBorders>
          </w:tcPr>
          <w:p w14:paraId="5277B02E" w14:textId="27E379F9" w:rsidR="007541D9" w:rsidRPr="00E647E7" w:rsidRDefault="007541D9" w:rsidP="007541D9">
            <w:pPr>
              <w:keepNext/>
              <w:keepLines/>
              <w:ind w:firstLineChars="0" w:firstLine="0"/>
              <w:jc w:val="center"/>
              <w:rPr>
                <w:rFonts w:cs="Times New Roman"/>
                <w:sz w:val="18"/>
                <w:szCs w:val="18"/>
              </w:rPr>
            </w:pPr>
            <w:r w:rsidRPr="00E647E7">
              <w:rPr>
                <w:rFonts w:cs="Times New Roman"/>
                <w:sz w:val="18"/>
                <w:szCs w:val="18"/>
              </w:rPr>
              <w:t>0.3561</w:t>
            </w:r>
          </w:p>
        </w:tc>
        <w:tc>
          <w:tcPr>
            <w:tcW w:w="1478" w:type="dxa"/>
            <w:tcBorders>
              <w:top w:val="nil"/>
              <w:left w:val="single" w:sz="4" w:space="0" w:color="auto"/>
              <w:bottom w:val="single" w:sz="6" w:space="0" w:color="auto"/>
              <w:right w:val="single" w:sz="4" w:space="0" w:color="auto"/>
            </w:tcBorders>
          </w:tcPr>
          <w:p w14:paraId="54AEB01F" w14:textId="74D0570F" w:rsidR="007541D9" w:rsidRPr="00E647E7" w:rsidRDefault="007541D9" w:rsidP="007541D9">
            <w:pPr>
              <w:keepNext/>
              <w:keepLines/>
              <w:ind w:firstLineChars="0" w:firstLine="0"/>
              <w:jc w:val="center"/>
              <w:rPr>
                <w:rFonts w:cs="Times New Roman"/>
                <w:sz w:val="18"/>
                <w:szCs w:val="18"/>
              </w:rPr>
            </w:pPr>
            <w:r w:rsidRPr="00E647E7">
              <w:rPr>
                <w:rFonts w:cs="Times New Roman"/>
                <w:sz w:val="18"/>
                <w:szCs w:val="18"/>
              </w:rPr>
              <w:t>0.3574</w:t>
            </w:r>
          </w:p>
        </w:tc>
        <w:tc>
          <w:tcPr>
            <w:tcW w:w="1344" w:type="dxa"/>
            <w:tcBorders>
              <w:top w:val="nil"/>
              <w:left w:val="single" w:sz="4" w:space="0" w:color="auto"/>
              <w:bottom w:val="single" w:sz="6" w:space="0" w:color="auto"/>
              <w:right w:val="nil"/>
            </w:tcBorders>
          </w:tcPr>
          <w:p w14:paraId="4CA7862E" w14:textId="04A7FF35" w:rsidR="007541D9" w:rsidRPr="00E647E7" w:rsidRDefault="007541D9" w:rsidP="007541D9">
            <w:pPr>
              <w:keepNext/>
              <w:keepLines/>
              <w:ind w:firstLineChars="0" w:firstLine="0"/>
              <w:jc w:val="center"/>
              <w:rPr>
                <w:rFonts w:cs="Times New Roman"/>
                <w:sz w:val="18"/>
                <w:szCs w:val="18"/>
              </w:rPr>
            </w:pPr>
            <w:r w:rsidRPr="00E647E7">
              <w:rPr>
                <w:rFonts w:cs="Times New Roman"/>
                <w:sz w:val="18"/>
                <w:szCs w:val="18"/>
              </w:rPr>
              <w:t>0.3665</w:t>
            </w:r>
          </w:p>
        </w:tc>
        <w:tc>
          <w:tcPr>
            <w:tcW w:w="1561" w:type="dxa"/>
            <w:tcBorders>
              <w:top w:val="nil"/>
              <w:left w:val="single" w:sz="4" w:space="0" w:color="auto"/>
              <w:bottom w:val="single" w:sz="6" w:space="0" w:color="auto"/>
              <w:right w:val="nil"/>
            </w:tcBorders>
          </w:tcPr>
          <w:p w14:paraId="61B8E6B0" w14:textId="68C39615" w:rsidR="007541D9" w:rsidRPr="00E647E7" w:rsidRDefault="007541D9" w:rsidP="007541D9">
            <w:pPr>
              <w:keepNext/>
              <w:keepLines/>
              <w:ind w:firstLineChars="0" w:firstLine="0"/>
              <w:jc w:val="center"/>
              <w:rPr>
                <w:rFonts w:cs="Times New Roman"/>
                <w:sz w:val="18"/>
                <w:szCs w:val="18"/>
              </w:rPr>
            </w:pPr>
            <w:r w:rsidRPr="00E647E7">
              <w:rPr>
                <w:rFonts w:cs="Times New Roman"/>
                <w:sz w:val="18"/>
                <w:szCs w:val="18"/>
              </w:rPr>
              <w:t>0.3688</w:t>
            </w:r>
          </w:p>
        </w:tc>
      </w:tr>
    </w:tbl>
    <w:p w14:paraId="3A08CD9A" w14:textId="77777777" w:rsidR="00F36BC0" w:rsidRPr="004930CB" w:rsidRDefault="00F36BC0" w:rsidP="00FC4E4B">
      <w:pPr>
        <w:ind w:firstLine="396"/>
        <w:rPr>
          <w:color w:val="C00000"/>
        </w:rPr>
      </w:pPr>
    </w:p>
    <w:p w14:paraId="48DD360D" w14:textId="301F9B6D" w:rsidR="005A2505" w:rsidRDefault="000D080D" w:rsidP="000D5FBB">
      <w:pPr>
        <w:pStyle w:val="3"/>
        <w:numPr>
          <w:ilvl w:val="0"/>
          <w:numId w:val="14"/>
        </w:numPr>
        <w:ind w:left="756"/>
      </w:pPr>
      <w:r>
        <w:rPr>
          <w:rFonts w:hint="eastAsia"/>
        </w:rPr>
        <w:t>倾向得分匹配</w:t>
      </w:r>
    </w:p>
    <w:p w14:paraId="70570BC8" w14:textId="7918ED67" w:rsidR="003B20DD" w:rsidRPr="00FB6599" w:rsidRDefault="00382B00" w:rsidP="003B20DD">
      <w:pPr>
        <w:ind w:firstLine="396"/>
        <w:rPr>
          <w:rFonts w:cs="Times New Roman"/>
        </w:rPr>
      </w:pPr>
      <w:r w:rsidRPr="00FB6599">
        <w:rPr>
          <w:rFonts w:cs="Times New Roman"/>
        </w:rPr>
        <w:t>为缓解不可观测因素所带来</w:t>
      </w:r>
      <w:r w:rsidR="00757597" w:rsidRPr="00FB6599">
        <w:rPr>
          <w:rFonts w:cs="Times New Roman"/>
        </w:rPr>
        <w:t>的</w:t>
      </w:r>
      <w:r w:rsidRPr="00FB6599">
        <w:rPr>
          <w:rFonts w:cs="Times New Roman"/>
        </w:rPr>
        <w:t>组间样本选择偏差对基本结论的影响，本文进一步采用倾向得分匹配</w:t>
      </w:r>
      <w:r w:rsidRPr="00FB6599">
        <w:rPr>
          <w:rFonts w:cs="Times New Roman"/>
        </w:rPr>
        <w:t>-</w:t>
      </w:r>
      <w:r w:rsidRPr="00FB6599">
        <w:rPr>
          <w:rFonts w:cs="Times New Roman"/>
        </w:rPr>
        <w:t>双重差分模型</w:t>
      </w:r>
      <w:r w:rsidR="00757597" w:rsidRPr="00FB6599">
        <w:rPr>
          <w:rFonts w:cs="Times New Roman"/>
        </w:rPr>
        <w:t>（</w:t>
      </w:r>
      <w:r w:rsidR="00757597" w:rsidRPr="00FB6599">
        <w:rPr>
          <w:rFonts w:cs="Times New Roman"/>
        </w:rPr>
        <w:t>PSM-DID</w:t>
      </w:r>
      <w:r w:rsidR="00757597" w:rsidRPr="00FB6599">
        <w:rPr>
          <w:rFonts w:cs="Times New Roman"/>
        </w:rPr>
        <w:t>）</w:t>
      </w:r>
      <w:r w:rsidRPr="00FB6599">
        <w:rPr>
          <w:rFonts w:cs="Times New Roman"/>
        </w:rPr>
        <w:t>进行检验。具体地，</w:t>
      </w:r>
      <w:r w:rsidR="003B20DD" w:rsidRPr="00FB6599">
        <w:rPr>
          <w:rFonts w:cs="Times New Roman"/>
        </w:rPr>
        <w:t>以</w:t>
      </w:r>
      <w:r w:rsidR="00F62B81">
        <w:rPr>
          <w:rFonts w:cs="Times New Roman" w:hint="eastAsia"/>
        </w:rPr>
        <w:t>正文</w:t>
      </w:r>
      <w:r w:rsidR="003B20DD" w:rsidRPr="00FB6599">
        <w:rPr>
          <w:rFonts w:cs="Times New Roman"/>
        </w:rPr>
        <w:t>所述企业特征变量与地区特征变量为协变量，以</w:t>
      </w:r>
      <w:r w:rsidR="003B20DD" w:rsidRPr="00FB6599">
        <w:rPr>
          <w:rFonts w:cs="Times New Roman"/>
        </w:rPr>
        <w:t>0.05</w:t>
      </w:r>
      <w:r w:rsidR="003B20DD" w:rsidRPr="00FB6599">
        <w:rPr>
          <w:rFonts w:cs="Times New Roman"/>
        </w:rPr>
        <w:t>为卡尺范围的</w:t>
      </w:r>
      <w:r w:rsidR="003B20DD" w:rsidRPr="00FB6599">
        <w:rPr>
          <w:rFonts w:cs="Times New Roman"/>
        </w:rPr>
        <w:t>1:3</w:t>
      </w:r>
      <w:r w:rsidR="003B20DD" w:rsidRPr="00FB6599">
        <w:rPr>
          <w:rFonts w:cs="Times New Roman"/>
        </w:rPr>
        <w:t>近邻匹配法进行匹配，采用</w:t>
      </w:r>
      <w:r w:rsidR="003B20DD" w:rsidRPr="00FB6599">
        <w:rPr>
          <w:rFonts w:cs="Times New Roman"/>
        </w:rPr>
        <w:t>Logit</w:t>
      </w:r>
      <w:r w:rsidR="003B20DD" w:rsidRPr="00FB6599">
        <w:rPr>
          <w:rFonts w:cs="Times New Roman"/>
        </w:rPr>
        <w:t>方法进行估计。匹配后</w:t>
      </w:r>
      <w:r w:rsidR="003B20DD" w:rsidRPr="00FB6599">
        <w:rPr>
          <w:rFonts w:cs="Times New Roman"/>
        </w:rPr>
        <w:t>ATT</w:t>
      </w:r>
      <w:r w:rsidR="003B20DD" w:rsidRPr="00FB6599">
        <w:rPr>
          <w:rFonts w:cs="Times New Roman"/>
        </w:rPr>
        <w:t>显著为正。匹配后回归结果如</w:t>
      </w:r>
      <w:r w:rsidR="00E04F8E">
        <w:rPr>
          <w:rFonts w:cs="Times New Roman" w:hint="eastAsia"/>
        </w:rPr>
        <w:t>附表</w:t>
      </w:r>
      <w:r w:rsidR="00E04F8E">
        <w:rPr>
          <w:rFonts w:cs="Times New Roman" w:hint="eastAsia"/>
        </w:rPr>
        <w:t>8</w:t>
      </w:r>
      <w:r w:rsidR="003B20DD" w:rsidRPr="00FB6599">
        <w:rPr>
          <w:rFonts w:cs="Times New Roman"/>
        </w:rPr>
        <w:t>第（</w:t>
      </w:r>
      <w:r w:rsidR="003B20DD" w:rsidRPr="00FB6599">
        <w:rPr>
          <w:rFonts w:cs="Times New Roman"/>
        </w:rPr>
        <w:t>1</w:t>
      </w:r>
      <w:r w:rsidR="003B20DD" w:rsidRPr="00FB6599">
        <w:rPr>
          <w:rFonts w:cs="Times New Roman"/>
        </w:rPr>
        <w:t>）列所示，</w:t>
      </w:r>
      <m:oMath>
        <m:r>
          <w:rPr>
            <w:rFonts w:ascii="Cambria Math" w:hAnsi="Cambria Math" w:cs="Times New Roman"/>
            <w:szCs w:val="21"/>
          </w:rPr>
          <m:t>Data×T</m:t>
        </m:r>
      </m:oMath>
      <w:r w:rsidR="003B20DD" w:rsidRPr="00FB6599">
        <w:rPr>
          <w:rFonts w:cs="Times New Roman"/>
          <w:szCs w:val="21"/>
        </w:rPr>
        <w:t>前系数仍在</w:t>
      </w:r>
      <w:r w:rsidR="003B20DD" w:rsidRPr="00FB6599">
        <w:rPr>
          <w:rFonts w:cs="Times New Roman"/>
        </w:rPr>
        <w:t>1%</w:t>
      </w:r>
      <w:r w:rsidR="003B20DD" w:rsidRPr="00FB6599">
        <w:rPr>
          <w:rFonts w:cs="Times New Roman"/>
        </w:rPr>
        <w:t>的统计水平上显著为正，表明在控制组间样本选择偏差后，地方政府公共数据</w:t>
      </w:r>
      <w:proofErr w:type="gramStart"/>
      <w:r w:rsidR="003B20DD" w:rsidRPr="00FB6599">
        <w:rPr>
          <w:rFonts w:cs="Times New Roman"/>
        </w:rPr>
        <w:t>开放仍</w:t>
      </w:r>
      <w:proofErr w:type="gramEnd"/>
      <w:r w:rsidR="003B20DD" w:rsidRPr="00FB6599">
        <w:rPr>
          <w:rFonts w:cs="Times New Roman"/>
        </w:rPr>
        <w:t>显著</w:t>
      </w:r>
      <w:r w:rsidR="001E2EEA">
        <w:rPr>
          <w:rFonts w:cs="Times New Roman" w:hint="eastAsia"/>
        </w:rPr>
        <w:t>拓展</w:t>
      </w:r>
      <w:r w:rsidR="003B20DD" w:rsidRPr="00FB6599">
        <w:rPr>
          <w:rFonts w:cs="Times New Roman"/>
        </w:rPr>
        <w:t>了异地并购地理距离分布。</w:t>
      </w:r>
    </w:p>
    <w:p w14:paraId="650C689A" w14:textId="636A4BD8" w:rsidR="000D080D" w:rsidRDefault="000D080D" w:rsidP="000D5FBB">
      <w:pPr>
        <w:pStyle w:val="3"/>
        <w:numPr>
          <w:ilvl w:val="0"/>
          <w:numId w:val="14"/>
        </w:numPr>
        <w:ind w:left="756"/>
      </w:pPr>
      <w:r>
        <w:rPr>
          <w:rFonts w:hint="eastAsia"/>
        </w:rPr>
        <w:t>其他稳健性检验</w:t>
      </w:r>
    </w:p>
    <w:p w14:paraId="3F5D8886" w14:textId="2D02E6B5" w:rsidR="003D7CBD" w:rsidRPr="00FB6599" w:rsidRDefault="00A112AA" w:rsidP="00453D3A">
      <w:pPr>
        <w:ind w:firstLine="396"/>
        <w:rPr>
          <w:rFonts w:cs="Times New Roman"/>
        </w:rPr>
      </w:pPr>
      <w:r w:rsidRPr="00FB6599">
        <w:rPr>
          <w:rFonts w:cs="Times New Roman"/>
        </w:rPr>
        <w:t>此外，本文依次进行了以下稳健性检验：（</w:t>
      </w:r>
      <w:r w:rsidRPr="00FB6599">
        <w:rPr>
          <w:rFonts w:cs="Times New Roman"/>
        </w:rPr>
        <w:t>1</w:t>
      </w:r>
      <w:r w:rsidRPr="00FB6599">
        <w:rPr>
          <w:rFonts w:cs="Times New Roman"/>
        </w:rPr>
        <w:t>）考虑政策生效的滞后性，</w:t>
      </w:r>
      <w:r w:rsidR="00757597" w:rsidRPr="00FB6599">
        <w:rPr>
          <w:rFonts w:cs="Times New Roman"/>
        </w:rPr>
        <w:t>将</w:t>
      </w:r>
      <w:r w:rsidR="00EA484C" w:rsidRPr="00FB6599">
        <w:rPr>
          <w:rFonts w:cs="Times New Roman"/>
        </w:rPr>
        <w:t>标的企业</w:t>
      </w:r>
      <w:r w:rsidRPr="00FB6599">
        <w:rPr>
          <w:rFonts w:cs="Times New Roman"/>
        </w:rPr>
        <w:t>所在地级市</w:t>
      </w:r>
      <w:r w:rsidR="00437641" w:rsidRPr="00FB6599">
        <w:rPr>
          <w:rFonts w:cs="Times New Roman"/>
        </w:rPr>
        <w:t>公共数据开放平台</w:t>
      </w:r>
      <w:r w:rsidRPr="00FB6599">
        <w:rPr>
          <w:rFonts w:cs="Times New Roman"/>
        </w:rPr>
        <w:t>上线</w:t>
      </w:r>
      <w:r w:rsidR="00E3232F">
        <w:rPr>
          <w:rFonts w:cs="Times New Roman" w:hint="eastAsia"/>
        </w:rPr>
        <w:t>1</w:t>
      </w:r>
      <w:r w:rsidRPr="00FB6599">
        <w:rPr>
          <w:rFonts w:cs="Times New Roman"/>
        </w:rPr>
        <w:t>年</w:t>
      </w:r>
      <w:r w:rsidR="001E1E5D">
        <w:rPr>
          <w:rFonts w:cs="Times New Roman" w:hint="eastAsia"/>
        </w:rPr>
        <w:t>及以后</w:t>
      </w:r>
      <m:oMath>
        <m:r>
          <w:rPr>
            <w:rFonts w:ascii="Cambria Math" w:hAnsi="Cambria Math" w:cs="Times New Roman"/>
          </w:rPr>
          <m:t>T</m:t>
        </m:r>
      </m:oMath>
      <w:r w:rsidRPr="00FB6599">
        <w:rPr>
          <w:rFonts w:cs="Times New Roman"/>
        </w:rPr>
        <w:t>值取</w:t>
      </w:r>
      <w:r w:rsidRPr="00FB6599">
        <w:rPr>
          <w:rFonts w:cs="Times New Roman"/>
        </w:rPr>
        <w:t>1</w:t>
      </w:r>
      <w:r w:rsidR="004E0424" w:rsidRPr="00FB6599">
        <w:rPr>
          <w:rFonts w:cs="Times New Roman"/>
        </w:rPr>
        <w:t>，重新</w:t>
      </w:r>
      <w:r w:rsidR="001475FC" w:rsidRPr="00FB6599">
        <w:rPr>
          <w:rFonts w:cs="Times New Roman"/>
        </w:rPr>
        <w:t>划分</w:t>
      </w:r>
      <w:r w:rsidR="00E3232F">
        <w:rPr>
          <w:rFonts w:cs="Times New Roman" w:hint="eastAsia"/>
        </w:rPr>
        <w:t>处理</w:t>
      </w:r>
      <w:r w:rsidR="001475FC" w:rsidRPr="00FB6599">
        <w:rPr>
          <w:rFonts w:cs="Times New Roman"/>
        </w:rPr>
        <w:t>组与对照组后进行回归</w:t>
      </w:r>
      <w:r w:rsidRPr="00FB6599">
        <w:rPr>
          <w:rFonts w:cs="Times New Roman"/>
        </w:rPr>
        <w:t>；（</w:t>
      </w:r>
      <w:r w:rsidRPr="00FB6599">
        <w:rPr>
          <w:rFonts w:cs="Times New Roman"/>
        </w:rPr>
        <w:t>2</w:t>
      </w:r>
      <w:r w:rsidRPr="00FB6599">
        <w:rPr>
          <w:rFonts w:cs="Times New Roman"/>
        </w:rPr>
        <w:t>）</w:t>
      </w:r>
      <w:r w:rsidR="004E0424" w:rsidRPr="00FB6599">
        <w:rPr>
          <w:rFonts w:cs="Times New Roman"/>
        </w:rPr>
        <w:t>增强固定效应控制，在模型中进一步加入行业与时间交互固定效应</w:t>
      </w:r>
      <w:r w:rsidR="001475FC" w:rsidRPr="00FB6599">
        <w:rPr>
          <w:rFonts w:cs="Times New Roman"/>
        </w:rPr>
        <w:t>后进行回归。</w:t>
      </w:r>
      <w:r w:rsidR="001770C3" w:rsidRPr="00E647E7">
        <w:rPr>
          <w:rFonts w:cs="Times New Roman" w:hint="eastAsia"/>
        </w:rPr>
        <w:t>（</w:t>
      </w:r>
      <w:r w:rsidR="001770C3" w:rsidRPr="00E647E7">
        <w:rPr>
          <w:rFonts w:cs="Times New Roman" w:hint="eastAsia"/>
        </w:rPr>
        <w:t>3</w:t>
      </w:r>
      <w:r w:rsidR="001770C3" w:rsidRPr="00E647E7">
        <w:rPr>
          <w:rFonts w:cs="Times New Roman" w:hint="eastAsia"/>
        </w:rPr>
        <w:t>）更新样本，为控制样本时效对</w:t>
      </w:r>
      <w:r w:rsidR="008355AD" w:rsidRPr="00E647E7">
        <w:rPr>
          <w:rFonts w:cs="Times New Roman" w:hint="eastAsia"/>
        </w:rPr>
        <w:t>基本结论</w:t>
      </w:r>
      <w:r w:rsidR="001770C3" w:rsidRPr="00E647E7">
        <w:rPr>
          <w:rFonts w:cs="Times New Roman" w:hint="eastAsia"/>
        </w:rPr>
        <w:t>的影响，本文根据</w:t>
      </w:r>
      <w:r w:rsidR="001770C3" w:rsidRPr="00E647E7">
        <w:rPr>
          <w:rFonts w:cs="Times New Roman"/>
        </w:rPr>
        <w:t>《中国城市统计年鉴》</w:t>
      </w:r>
      <w:r w:rsidR="001770C3" w:rsidRPr="00E647E7">
        <w:rPr>
          <w:rFonts w:cs="Times New Roman" w:hint="eastAsia"/>
        </w:rPr>
        <w:t>更新时间将样本区间更新至</w:t>
      </w:r>
      <w:r w:rsidR="001770C3" w:rsidRPr="00E647E7">
        <w:rPr>
          <w:rFonts w:cs="Times New Roman" w:hint="eastAsia"/>
        </w:rPr>
        <w:t>2022</w:t>
      </w:r>
      <w:r w:rsidR="001770C3" w:rsidRPr="00E647E7">
        <w:rPr>
          <w:rFonts w:cs="Times New Roman" w:hint="eastAsia"/>
        </w:rPr>
        <w:t>年后重新进行回归。</w:t>
      </w:r>
      <w:r w:rsidR="001475FC" w:rsidRPr="00E647E7">
        <w:rPr>
          <w:rFonts w:cs="Times New Roman"/>
        </w:rPr>
        <w:t>回归结果如</w:t>
      </w:r>
      <w:r w:rsidR="00E04F8E">
        <w:rPr>
          <w:rFonts w:cs="Times New Roman" w:hint="eastAsia"/>
        </w:rPr>
        <w:t>附表</w:t>
      </w:r>
      <w:r w:rsidR="00E04F8E">
        <w:rPr>
          <w:rFonts w:cs="Times New Roman" w:hint="eastAsia"/>
        </w:rPr>
        <w:t>8</w:t>
      </w:r>
      <w:r w:rsidR="001475FC" w:rsidRPr="00E647E7">
        <w:rPr>
          <w:rFonts w:cs="Times New Roman"/>
        </w:rPr>
        <w:t>第（</w:t>
      </w:r>
      <w:r w:rsidR="001475FC" w:rsidRPr="00E647E7">
        <w:rPr>
          <w:rFonts w:cs="Times New Roman"/>
        </w:rPr>
        <w:t>2</w:t>
      </w:r>
      <w:r w:rsidR="001475FC" w:rsidRPr="00E647E7">
        <w:rPr>
          <w:rFonts w:cs="Times New Roman"/>
        </w:rPr>
        <w:t>）</w:t>
      </w:r>
      <w:r w:rsidR="001770C3" w:rsidRPr="00E647E7">
        <w:rPr>
          <w:rFonts w:cs="Times New Roman" w:hint="eastAsia"/>
        </w:rPr>
        <w:t>—</w:t>
      </w:r>
      <w:r w:rsidR="001475FC" w:rsidRPr="00E647E7">
        <w:rPr>
          <w:rFonts w:cs="Times New Roman"/>
        </w:rPr>
        <w:t>（</w:t>
      </w:r>
      <w:r w:rsidR="001770C3" w:rsidRPr="00E647E7">
        <w:rPr>
          <w:rFonts w:cs="Times New Roman" w:hint="eastAsia"/>
        </w:rPr>
        <w:t>4</w:t>
      </w:r>
      <w:r w:rsidR="001475FC" w:rsidRPr="00E647E7">
        <w:rPr>
          <w:rFonts w:cs="Times New Roman"/>
        </w:rPr>
        <w:t>）列所示，</w:t>
      </w:r>
      <m:oMath>
        <m:r>
          <w:rPr>
            <w:rFonts w:ascii="Cambria Math" w:hAnsi="Cambria Math" w:cs="Times New Roman"/>
            <w:szCs w:val="21"/>
          </w:rPr>
          <m:t>Data×T</m:t>
        </m:r>
      </m:oMath>
      <w:r w:rsidR="00453D3A" w:rsidRPr="00E647E7">
        <w:rPr>
          <w:rFonts w:cs="Times New Roman"/>
          <w:szCs w:val="21"/>
        </w:rPr>
        <w:t>前</w:t>
      </w:r>
      <w:r w:rsidR="00453D3A" w:rsidRPr="00FB6599">
        <w:rPr>
          <w:rFonts w:cs="Times New Roman"/>
          <w:szCs w:val="21"/>
        </w:rPr>
        <w:t>系数仍在</w:t>
      </w:r>
      <w:r w:rsidR="00453D3A" w:rsidRPr="00FB6599">
        <w:rPr>
          <w:rFonts w:cs="Times New Roman"/>
        </w:rPr>
        <w:t>1%</w:t>
      </w:r>
      <w:r w:rsidR="00453D3A" w:rsidRPr="00FB6599">
        <w:rPr>
          <w:rFonts w:cs="Times New Roman"/>
        </w:rPr>
        <w:t>的统计水平上显著为正，本文基本结论稳健。</w:t>
      </w:r>
    </w:p>
    <w:p w14:paraId="621349B2" w14:textId="77777777" w:rsidR="0090028B" w:rsidRDefault="0090028B" w:rsidP="00812EAA">
      <w:pPr>
        <w:ind w:firstLineChars="0" w:firstLine="0"/>
      </w:pPr>
    </w:p>
    <w:p w14:paraId="3C51D0B6" w14:textId="77777777" w:rsidR="00DB29C1" w:rsidRDefault="00DB29C1" w:rsidP="009E6D16">
      <w:pPr>
        <w:ind w:firstLineChars="0" w:firstLine="0"/>
      </w:pPr>
    </w:p>
    <w:tbl>
      <w:tblPr>
        <w:tblStyle w:val="a5"/>
        <w:tblW w:w="0" w:type="auto"/>
        <w:jc w:val="center"/>
        <w:tblLook w:val="04A0" w:firstRow="1" w:lastRow="0" w:firstColumn="1" w:lastColumn="0" w:noHBand="0" w:noVBand="1"/>
      </w:tblPr>
      <w:tblGrid>
        <w:gridCol w:w="1728"/>
        <w:gridCol w:w="927"/>
        <w:gridCol w:w="1728"/>
        <w:gridCol w:w="1560"/>
        <w:gridCol w:w="927"/>
      </w:tblGrid>
      <w:tr w:rsidR="001770C3" w:rsidRPr="009C5319" w14:paraId="73A89EBE" w14:textId="17E86671" w:rsidTr="00F70C15">
        <w:trPr>
          <w:jc w:val="center"/>
        </w:trPr>
        <w:tc>
          <w:tcPr>
            <w:tcW w:w="0" w:type="auto"/>
            <w:gridSpan w:val="5"/>
            <w:tcBorders>
              <w:top w:val="nil"/>
              <w:left w:val="nil"/>
              <w:bottom w:val="single" w:sz="6" w:space="0" w:color="auto"/>
              <w:right w:val="nil"/>
            </w:tcBorders>
            <w:vAlign w:val="center"/>
          </w:tcPr>
          <w:p w14:paraId="49AEC7C1" w14:textId="4DFA28D7" w:rsidR="001770C3" w:rsidRPr="00C70417" w:rsidRDefault="00E04F8E" w:rsidP="00302A11">
            <w:pPr>
              <w:keepNext/>
              <w:keepLines/>
              <w:ind w:firstLine="396"/>
              <w:rPr>
                <w:rFonts w:ascii="黑体" w:eastAsia="黑体" w:hAnsi="黑体" w:cs="Times New Roman" w:hint="eastAsia"/>
                <w:color w:val="000000" w:themeColor="text1"/>
                <w:szCs w:val="21"/>
              </w:rPr>
            </w:pPr>
            <w:bookmarkStart w:id="0" w:name="_Hlk177146803"/>
            <w:r>
              <w:rPr>
                <w:rFonts w:ascii="黑体" w:eastAsia="黑体" w:hAnsi="黑体" w:cs="Times New Roman" w:hint="eastAsia"/>
                <w:color w:val="000000" w:themeColor="text1"/>
                <w:szCs w:val="21"/>
              </w:rPr>
              <w:lastRenderedPageBreak/>
              <w:t>附表8</w:t>
            </w:r>
            <w:r w:rsidR="00302A11">
              <w:rPr>
                <w:rFonts w:ascii="黑体" w:eastAsia="黑体" w:hAnsi="黑体" w:cs="Times New Roman" w:hint="eastAsia"/>
                <w:color w:val="000000" w:themeColor="text1"/>
                <w:szCs w:val="21"/>
              </w:rPr>
              <w:t xml:space="preserve">                      </w:t>
            </w:r>
            <w:r w:rsidR="001770C3" w:rsidRPr="00C70417">
              <w:rPr>
                <w:rFonts w:ascii="黑体" w:eastAsia="黑体" w:hAnsi="黑体" w:cs="Times New Roman" w:hint="eastAsia"/>
                <w:color w:val="000000" w:themeColor="text1"/>
                <w:szCs w:val="21"/>
              </w:rPr>
              <w:t>其他稳健性检验</w:t>
            </w:r>
          </w:p>
        </w:tc>
      </w:tr>
      <w:tr w:rsidR="004200C5" w:rsidRPr="009C5319" w14:paraId="4059C34B" w14:textId="513214A0" w:rsidTr="004200C5">
        <w:trPr>
          <w:jc w:val="center"/>
        </w:trPr>
        <w:tc>
          <w:tcPr>
            <w:tcW w:w="0" w:type="auto"/>
            <w:vMerge w:val="restart"/>
            <w:tcBorders>
              <w:top w:val="single" w:sz="6" w:space="0" w:color="auto"/>
              <w:left w:val="nil"/>
              <w:right w:val="single" w:sz="4" w:space="0" w:color="auto"/>
            </w:tcBorders>
            <w:vAlign w:val="center"/>
          </w:tcPr>
          <w:p w14:paraId="26DEE359" w14:textId="04556C0D" w:rsidR="004200C5" w:rsidRPr="009C5319" w:rsidRDefault="004200C5" w:rsidP="004200C5">
            <w:pPr>
              <w:keepNext/>
              <w:keepLines/>
              <w:ind w:firstLineChars="0" w:firstLine="0"/>
              <w:jc w:val="center"/>
              <w:rPr>
                <w:rFonts w:cs="Times New Roman"/>
                <w:color w:val="000000" w:themeColor="text1"/>
                <w:sz w:val="18"/>
                <w:szCs w:val="18"/>
              </w:rPr>
            </w:pPr>
            <w:r w:rsidRPr="009C5319">
              <w:rPr>
                <w:rFonts w:cs="Times New Roman"/>
                <w:color w:val="000000" w:themeColor="text1"/>
                <w:sz w:val="18"/>
                <w:szCs w:val="18"/>
              </w:rPr>
              <w:t>变量</w:t>
            </w:r>
          </w:p>
        </w:tc>
        <w:tc>
          <w:tcPr>
            <w:tcW w:w="0" w:type="auto"/>
            <w:tcBorders>
              <w:top w:val="single" w:sz="6" w:space="0" w:color="auto"/>
              <w:left w:val="single" w:sz="4" w:space="0" w:color="auto"/>
              <w:bottom w:val="single" w:sz="4" w:space="0" w:color="auto"/>
              <w:right w:val="single" w:sz="4" w:space="0" w:color="auto"/>
            </w:tcBorders>
            <w:vAlign w:val="center"/>
          </w:tcPr>
          <w:p w14:paraId="4FC49EC7" w14:textId="17F59830" w:rsidR="004200C5" w:rsidRPr="009C5319" w:rsidRDefault="004200C5" w:rsidP="007541D9">
            <w:pPr>
              <w:keepNext/>
              <w:keepLines/>
              <w:ind w:firstLineChars="0" w:firstLine="0"/>
              <w:jc w:val="center"/>
              <w:rPr>
                <w:rFonts w:cs="Times New Roman"/>
                <w:color w:val="000000" w:themeColor="text1"/>
                <w:sz w:val="18"/>
                <w:szCs w:val="18"/>
              </w:rPr>
            </w:pPr>
            <w:r>
              <w:rPr>
                <w:rFonts w:cs="Times New Roman"/>
                <w:color w:val="000000" w:themeColor="text1"/>
                <w:sz w:val="18"/>
                <w:szCs w:val="18"/>
              </w:rPr>
              <w:t>（</w:t>
            </w:r>
            <w:r w:rsidRPr="009C5319">
              <w:rPr>
                <w:rFonts w:cs="Times New Roman"/>
                <w:color w:val="000000" w:themeColor="text1"/>
                <w:sz w:val="18"/>
                <w:szCs w:val="18"/>
              </w:rPr>
              <w:t>1</w:t>
            </w:r>
            <w:r>
              <w:rPr>
                <w:rFonts w:cs="Times New Roman"/>
                <w:color w:val="000000" w:themeColor="text1"/>
                <w:sz w:val="18"/>
                <w:szCs w:val="18"/>
              </w:rPr>
              <w:t>）</w:t>
            </w:r>
          </w:p>
        </w:tc>
        <w:tc>
          <w:tcPr>
            <w:tcW w:w="0" w:type="auto"/>
            <w:tcBorders>
              <w:top w:val="single" w:sz="6" w:space="0" w:color="auto"/>
              <w:left w:val="single" w:sz="4" w:space="0" w:color="auto"/>
              <w:bottom w:val="single" w:sz="4" w:space="0" w:color="auto"/>
              <w:right w:val="single" w:sz="4" w:space="0" w:color="auto"/>
            </w:tcBorders>
            <w:vAlign w:val="center"/>
          </w:tcPr>
          <w:p w14:paraId="450C2324" w14:textId="43DC1904" w:rsidR="004200C5" w:rsidRPr="009C5319" w:rsidRDefault="004200C5" w:rsidP="007541D9">
            <w:pPr>
              <w:keepNext/>
              <w:keepLines/>
              <w:ind w:firstLineChars="0" w:firstLine="0"/>
              <w:jc w:val="center"/>
              <w:rPr>
                <w:rFonts w:cs="Times New Roman"/>
                <w:color w:val="000000" w:themeColor="text1"/>
                <w:sz w:val="18"/>
                <w:szCs w:val="18"/>
              </w:rPr>
            </w:pPr>
            <w:r>
              <w:rPr>
                <w:rFonts w:cs="Times New Roman"/>
                <w:color w:val="000000" w:themeColor="text1"/>
                <w:sz w:val="18"/>
                <w:szCs w:val="18"/>
              </w:rPr>
              <w:t>（</w:t>
            </w:r>
            <w:r w:rsidRPr="009C5319">
              <w:rPr>
                <w:rFonts w:cs="Times New Roman"/>
                <w:color w:val="000000" w:themeColor="text1"/>
                <w:sz w:val="18"/>
                <w:szCs w:val="18"/>
              </w:rPr>
              <w:t>2</w:t>
            </w:r>
            <w:r>
              <w:rPr>
                <w:rFonts w:cs="Times New Roman"/>
                <w:color w:val="000000" w:themeColor="text1"/>
                <w:sz w:val="18"/>
                <w:szCs w:val="18"/>
              </w:rPr>
              <w:t>）</w:t>
            </w:r>
          </w:p>
        </w:tc>
        <w:tc>
          <w:tcPr>
            <w:tcW w:w="0" w:type="auto"/>
            <w:tcBorders>
              <w:top w:val="single" w:sz="6" w:space="0" w:color="auto"/>
              <w:left w:val="single" w:sz="4" w:space="0" w:color="auto"/>
              <w:bottom w:val="single" w:sz="4" w:space="0" w:color="auto"/>
              <w:right w:val="nil"/>
            </w:tcBorders>
            <w:vAlign w:val="center"/>
          </w:tcPr>
          <w:p w14:paraId="7DACF6AA" w14:textId="6DB89567" w:rsidR="004200C5" w:rsidRPr="009C5319" w:rsidRDefault="004200C5" w:rsidP="007541D9">
            <w:pPr>
              <w:keepNext/>
              <w:keepLines/>
              <w:ind w:firstLineChars="0" w:firstLine="0"/>
              <w:jc w:val="center"/>
              <w:rPr>
                <w:rFonts w:cs="Times New Roman"/>
                <w:color w:val="000000" w:themeColor="text1"/>
                <w:sz w:val="18"/>
                <w:szCs w:val="18"/>
              </w:rPr>
            </w:pPr>
            <w:r>
              <w:rPr>
                <w:rFonts w:cs="Times New Roman"/>
                <w:color w:val="000000" w:themeColor="text1"/>
                <w:sz w:val="18"/>
                <w:szCs w:val="18"/>
              </w:rPr>
              <w:t>（</w:t>
            </w:r>
            <w:r w:rsidRPr="009C5319">
              <w:rPr>
                <w:rFonts w:cs="Times New Roman"/>
                <w:color w:val="000000" w:themeColor="text1"/>
                <w:sz w:val="18"/>
                <w:szCs w:val="18"/>
              </w:rPr>
              <w:t>3</w:t>
            </w:r>
            <w:r>
              <w:rPr>
                <w:rFonts w:cs="Times New Roman"/>
                <w:color w:val="000000" w:themeColor="text1"/>
                <w:sz w:val="18"/>
                <w:szCs w:val="18"/>
              </w:rPr>
              <w:t>）</w:t>
            </w:r>
          </w:p>
        </w:tc>
        <w:tc>
          <w:tcPr>
            <w:tcW w:w="0" w:type="auto"/>
            <w:tcBorders>
              <w:top w:val="single" w:sz="6" w:space="0" w:color="auto"/>
              <w:left w:val="single" w:sz="4" w:space="0" w:color="auto"/>
              <w:bottom w:val="single" w:sz="4" w:space="0" w:color="auto"/>
              <w:right w:val="nil"/>
            </w:tcBorders>
          </w:tcPr>
          <w:p w14:paraId="094E0BFB" w14:textId="5D488049" w:rsidR="004200C5" w:rsidRPr="00E647E7" w:rsidRDefault="004200C5" w:rsidP="007541D9">
            <w:pPr>
              <w:keepNext/>
              <w:keepLines/>
              <w:ind w:firstLineChars="0" w:firstLine="0"/>
              <w:jc w:val="center"/>
              <w:rPr>
                <w:rFonts w:cs="Times New Roman"/>
                <w:sz w:val="18"/>
                <w:szCs w:val="18"/>
              </w:rPr>
            </w:pPr>
            <w:r w:rsidRPr="00E647E7">
              <w:rPr>
                <w:rFonts w:cs="Times New Roman"/>
                <w:sz w:val="18"/>
                <w:szCs w:val="18"/>
              </w:rPr>
              <w:t>（</w:t>
            </w:r>
            <w:r w:rsidRPr="00E647E7">
              <w:rPr>
                <w:rFonts w:cs="Times New Roman" w:hint="eastAsia"/>
                <w:sz w:val="18"/>
                <w:szCs w:val="18"/>
              </w:rPr>
              <w:t>4</w:t>
            </w:r>
            <w:r w:rsidRPr="00E647E7">
              <w:rPr>
                <w:rFonts w:cs="Times New Roman"/>
                <w:sz w:val="18"/>
                <w:szCs w:val="18"/>
              </w:rPr>
              <w:t>）</w:t>
            </w:r>
          </w:p>
        </w:tc>
      </w:tr>
      <w:tr w:rsidR="004200C5" w:rsidRPr="00453233" w14:paraId="4E2A217C" w14:textId="77777777" w:rsidTr="00476F98">
        <w:trPr>
          <w:jc w:val="center"/>
        </w:trPr>
        <w:tc>
          <w:tcPr>
            <w:tcW w:w="0" w:type="auto"/>
            <w:vMerge/>
            <w:tcBorders>
              <w:left w:val="nil"/>
              <w:right w:val="single" w:sz="4" w:space="0" w:color="auto"/>
            </w:tcBorders>
            <w:vAlign w:val="center"/>
          </w:tcPr>
          <w:p w14:paraId="158F0A06" w14:textId="48558B2B" w:rsidR="004200C5" w:rsidRPr="009C5319" w:rsidRDefault="004200C5" w:rsidP="007541D9">
            <w:pPr>
              <w:keepNext/>
              <w:keepLines/>
              <w:ind w:firstLine="336"/>
              <w:jc w:val="center"/>
              <w:rPr>
                <w:rFonts w:cs="Times New Roman"/>
                <w:color w:val="000000" w:themeColor="text1"/>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B803EA7" w14:textId="0522EA91" w:rsidR="004200C5" w:rsidRDefault="004200C5" w:rsidP="007541D9">
            <w:pPr>
              <w:keepNext/>
              <w:keepLines/>
              <w:ind w:firstLineChars="0" w:firstLine="0"/>
              <w:jc w:val="center"/>
              <w:rPr>
                <w:rFonts w:cs="Times New Roman"/>
                <w:color w:val="000000" w:themeColor="text1"/>
                <w:sz w:val="18"/>
                <w:szCs w:val="18"/>
              </w:rPr>
            </w:pPr>
            <w:r>
              <w:rPr>
                <w:rFonts w:cs="Times New Roman" w:hint="eastAsia"/>
                <w:color w:val="000000" w:themeColor="text1"/>
                <w:sz w:val="18"/>
                <w:szCs w:val="18"/>
              </w:rPr>
              <w:t>PSM-DID</w:t>
            </w:r>
          </w:p>
        </w:tc>
        <w:tc>
          <w:tcPr>
            <w:tcW w:w="0" w:type="auto"/>
            <w:tcBorders>
              <w:top w:val="single" w:sz="4" w:space="0" w:color="auto"/>
              <w:left w:val="single" w:sz="4" w:space="0" w:color="auto"/>
              <w:bottom w:val="single" w:sz="4" w:space="0" w:color="auto"/>
              <w:right w:val="single" w:sz="4" w:space="0" w:color="auto"/>
            </w:tcBorders>
            <w:vAlign w:val="center"/>
          </w:tcPr>
          <w:p w14:paraId="71F06887" w14:textId="278D7B8B" w:rsidR="004200C5" w:rsidRDefault="004200C5" w:rsidP="007541D9">
            <w:pPr>
              <w:keepNext/>
              <w:keepLines/>
              <w:ind w:firstLineChars="0" w:firstLine="0"/>
              <w:jc w:val="center"/>
              <w:rPr>
                <w:rFonts w:cs="Times New Roman"/>
                <w:color w:val="000000" w:themeColor="text1"/>
                <w:sz w:val="18"/>
                <w:szCs w:val="18"/>
              </w:rPr>
            </w:pPr>
            <w:r>
              <w:rPr>
                <w:rFonts w:cs="Times New Roman" w:hint="eastAsia"/>
                <w:color w:val="000000" w:themeColor="text1"/>
                <w:sz w:val="18"/>
                <w:szCs w:val="18"/>
              </w:rPr>
              <w:t>考虑政策生效滞后性</w:t>
            </w:r>
          </w:p>
        </w:tc>
        <w:tc>
          <w:tcPr>
            <w:tcW w:w="0" w:type="auto"/>
            <w:tcBorders>
              <w:top w:val="single" w:sz="4" w:space="0" w:color="auto"/>
              <w:left w:val="single" w:sz="4" w:space="0" w:color="auto"/>
              <w:bottom w:val="single" w:sz="4" w:space="0" w:color="auto"/>
              <w:right w:val="nil"/>
            </w:tcBorders>
            <w:vAlign w:val="center"/>
          </w:tcPr>
          <w:p w14:paraId="2EE6F768" w14:textId="79C9462E" w:rsidR="004200C5" w:rsidRDefault="004200C5" w:rsidP="007541D9">
            <w:pPr>
              <w:keepNext/>
              <w:keepLines/>
              <w:ind w:firstLineChars="0" w:firstLine="0"/>
              <w:jc w:val="center"/>
              <w:rPr>
                <w:rFonts w:cs="Times New Roman"/>
                <w:color w:val="000000" w:themeColor="text1"/>
                <w:sz w:val="18"/>
                <w:szCs w:val="18"/>
              </w:rPr>
            </w:pPr>
            <w:r>
              <w:rPr>
                <w:rFonts w:cs="Times New Roman" w:hint="eastAsia"/>
                <w:color w:val="000000" w:themeColor="text1"/>
                <w:sz w:val="18"/>
                <w:szCs w:val="18"/>
              </w:rPr>
              <w:t>增强固定效应控制</w:t>
            </w:r>
          </w:p>
        </w:tc>
        <w:tc>
          <w:tcPr>
            <w:tcW w:w="0" w:type="auto"/>
            <w:tcBorders>
              <w:top w:val="single" w:sz="4" w:space="0" w:color="auto"/>
              <w:left w:val="single" w:sz="4" w:space="0" w:color="auto"/>
              <w:bottom w:val="single" w:sz="4" w:space="0" w:color="auto"/>
              <w:right w:val="nil"/>
            </w:tcBorders>
          </w:tcPr>
          <w:p w14:paraId="6DAE2E11" w14:textId="399645E0" w:rsidR="004200C5" w:rsidRPr="00E647E7" w:rsidRDefault="004200C5" w:rsidP="007541D9">
            <w:pPr>
              <w:keepNext/>
              <w:keepLines/>
              <w:ind w:firstLineChars="0" w:firstLine="0"/>
              <w:jc w:val="center"/>
              <w:rPr>
                <w:rFonts w:cs="Times New Roman"/>
                <w:sz w:val="18"/>
                <w:szCs w:val="18"/>
              </w:rPr>
            </w:pPr>
            <w:r w:rsidRPr="00E647E7">
              <w:rPr>
                <w:rFonts w:cs="Times New Roman" w:hint="eastAsia"/>
                <w:sz w:val="18"/>
                <w:szCs w:val="18"/>
              </w:rPr>
              <w:t>更新样本</w:t>
            </w:r>
          </w:p>
        </w:tc>
      </w:tr>
      <w:tr w:rsidR="004200C5" w:rsidRPr="00453233" w14:paraId="1D7D4C6B" w14:textId="4C4F8AFB" w:rsidTr="00476F98">
        <w:trPr>
          <w:jc w:val="center"/>
        </w:trPr>
        <w:tc>
          <w:tcPr>
            <w:tcW w:w="0" w:type="auto"/>
            <w:vMerge/>
            <w:tcBorders>
              <w:left w:val="nil"/>
              <w:bottom w:val="single" w:sz="4" w:space="0" w:color="auto"/>
              <w:right w:val="single" w:sz="4" w:space="0" w:color="auto"/>
            </w:tcBorders>
            <w:vAlign w:val="center"/>
          </w:tcPr>
          <w:p w14:paraId="08C6B24A" w14:textId="533BE823" w:rsidR="004200C5" w:rsidRPr="009C5319" w:rsidRDefault="004200C5" w:rsidP="007541D9">
            <w:pPr>
              <w:keepNext/>
              <w:keepLines/>
              <w:ind w:firstLineChars="0" w:firstLine="0"/>
              <w:jc w:val="center"/>
              <w:rPr>
                <w:rFonts w:cs="Times New Roman"/>
                <w:color w:val="000000" w:themeColor="text1"/>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49B27CFA" w14:textId="77777777" w:rsidR="004200C5" w:rsidRPr="009C5319" w:rsidRDefault="004200C5" w:rsidP="007541D9">
            <w:pPr>
              <w:keepNext/>
              <w:keepLines/>
              <w:ind w:firstLineChars="0" w:firstLine="0"/>
              <w:jc w:val="center"/>
              <w:rPr>
                <w:rFonts w:cs="Times New Roman"/>
                <w:iCs/>
                <w:color w:val="000000" w:themeColor="text1"/>
                <w:sz w:val="18"/>
                <w:szCs w:val="18"/>
              </w:rPr>
            </w:pPr>
            <m:oMathPara>
              <m:oMath>
                <m:r>
                  <w:rPr>
                    <w:rFonts w:ascii="Cambria Math" w:hAnsi="Cambria Math" w:cs="Times New Roman"/>
                    <w:sz w:val="18"/>
                    <w:szCs w:val="18"/>
                  </w:rPr>
                  <m:t>MaDist</m:t>
                </m:r>
              </m:oMath>
            </m:oMathPara>
          </w:p>
        </w:tc>
        <w:tc>
          <w:tcPr>
            <w:tcW w:w="0" w:type="auto"/>
            <w:tcBorders>
              <w:top w:val="single" w:sz="4" w:space="0" w:color="auto"/>
              <w:left w:val="single" w:sz="4" w:space="0" w:color="auto"/>
              <w:bottom w:val="single" w:sz="4" w:space="0" w:color="auto"/>
              <w:right w:val="single" w:sz="4" w:space="0" w:color="auto"/>
            </w:tcBorders>
            <w:vAlign w:val="center"/>
          </w:tcPr>
          <w:p w14:paraId="5F715038" w14:textId="77777777" w:rsidR="004200C5" w:rsidRPr="009C5319" w:rsidRDefault="004200C5" w:rsidP="007929E4">
            <w:pPr>
              <w:keepNext/>
              <w:keepLines/>
              <w:ind w:firstLineChars="0" w:firstLine="0"/>
              <w:rPr>
                <w:rFonts w:cs="Times New Roman"/>
                <w:iCs/>
                <w:color w:val="000000" w:themeColor="text1"/>
                <w:sz w:val="18"/>
                <w:szCs w:val="18"/>
              </w:rPr>
            </w:pPr>
            <m:oMathPara>
              <m:oMath>
                <m:r>
                  <w:rPr>
                    <w:rFonts w:ascii="Cambria Math" w:hAnsi="Cambria Math" w:cs="Times New Roman"/>
                    <w:sz w:val="18"/>
                    <w:szCs w:val="18"/>
                  </w:rPr>
                  <m:t>MaDist</m:t>
                </m:r>
              </m:oMath>
            </m:oMathPara>
          </w:p>
        </w:tc>
        <w:tc>
          <w:tcPr>
            <w:tcW w:w="0" w:type="auto"/>
            <w:tcBorders>
              <w:top w:val="single" w:sz="4" w:space="0" w:color="auto"/>
              <w:left w:val="single" w:sz="4" w:space="0" w:color="auto"/>
              <w:bottom w:val="single" w:sz="4" w:space="0" w:color="auto"/>
              <w:right w:val="nil"/>
            </w:tcBorders>
          </w:tcPr>
          <w:p w14:paraId="191F668A" w14:textId="77777777" w:rsidR="004200C5" w:rsidRPr="009C5319" w:rsidRDefault="004200C5" w:rsidP="007929E4">
            <w:pPr>
              <w:keepNext/>
              <w:keepLines/>
              <w:ind w:firstLineChars="0" w:firstLine="0"/>
              <w:rPr>
                <w:rFonts w:cs="Times New Roman"/>
                <w:sz w:val="18"/>
                <w:szCs w:val="18"/>
              </w:rPr>
            </w:pPr>
            <m:oMathPara>
              <m:oMath>
                <m:r>
                  <w:rPr>
                    <w:rFonts w:ascii="Cambria Math" w:hAnsi="Cambria Math" w:cs="Times New Roman"/>
                    <w:sz w:val="18"/>
                    <w:szCs w:val="18"/>
                  </w:rPr>
                  <m:t>MaDist</m:t>
                </m:r>
              </m:oMath>
            </m:oMathPara>
          </w:p>
        </w:tc>
        <w:tc>
          <w:tcPr>
            <w:tcW w:w="0" w:type="auto"/>
            <w:tcBorders>
              <w:top w:val="single" w:sz="4" w:space="0" w:color="auto"/>
              <w:left w:val="single" w:sz="4" w:space="0" w:color="auto"/>
              <w:bottom w:val="single" w:sz="4" w:space="0" w:color="auto"/>
              <w:right w:val="nil"/>
            </w:tcBorders>
          </w:tcPr>
          <w:p w14:paraId="2293A550" w14:textId="693F9F3D" w:rsidR="004200C5" w:rsidRPr="00E647E7" w:rsidRDefault="004200C5" w:rsidP="007541D9">
            <w:pPr>
              <w:keepNext/>
              <w:keepLines/>
              <w:ind w:firstLineChars="0" w:firstLine="0"/>
              <w:jc w:val="center"/>
              <w:rPr>
                <w:rFonts w:cs="Times New Roman"/>
                <w:sz w:val="18"/>
                <w:szCs w:val="18"/>
              </w:rPr>
            </w:pPr>
            <m:oMathPara>
              <m:oMath>
                <m:r>
                  <w:rPr>
                    <w:rFonts w:ascii="Cambria Math" w:hAnsi="Cambria Math" w:cs="Times New Roman"/>
                    <w:sz w:val="18"/>
                    <w:szCs w:val="18"/>
                  </w:rPr>
                  <m:t>MaDist</m:t>
                </m:r>
              </m:oMath>
            </m:oMathPara>
          </w:p>
        </w:tc>
      </w:tr>
      <w:tr w:rsidR="007541D9" w:rsidRPr="00453233" w14:paraId="25E09836" w14:textId="1539B7A5" w:rsidTr="0065419B">
        <w:trPr>
          <w:trHeight w:val="355"/>
          <w:jc w:val="center"/>
        </w:trPr>
        <w:tc>
          <w:tcPr>
            <w:tcW w:w="0" w:type="auto"/>
            <w:vMerge w:val="restart"/>
            <w:tcBorders>
              <w:top w:val="single" w:sz="4" w:space="0" w:color="auto"/>
              <w:left w:val="nil"/>
              <w:bottom w:val="nil"/>
              <w:right w:val="single" w:sz="4" w:space="0" w:color="auto"/>
            </w:tcBorders>
            <w:vAlign w:val="center"/>
          </w:tcPr>
          <w:p w14:paraId="6AE97711" w14:textId="77777777" w:rsidR="007541D9" w:rsidRPr="004200C5" w:rsidRDefault="007541D9" w:rsidP="004200C5">
            <w:pPr>
              <w:keepNext/>
              <w:keepLines/>
              <w:ind w:firstLineChars="0" w:firstLine="0"/>
              <w:rPr>
                <w:rFonts w:cs="Times New Roman"/>
                <w:iCs/>
                <w:color w:val="000000" w:themeColor="text1"/>
                <w:sz w:val="18"/>
                <w:szCs w:val="18"/>
              </w:rPr>
            </w:pPr>
            <m:oMathPara>
              <m:oMathParaPr>
                <m:jc m:val="left"/>
              </m:oMathParaPr>
              <m:oMath>
                <m:r>
                  <w:rPr>
                    <w:rFonts w:ascii="Cambria Math" w:hAnsi="Cambria Math" w:cs="Times New Roman"/>
                    <w:sz w:val="18"/>
                    <w:szCs w:val="18"/>
                  </w:rPr>
                  <m:t>Data×T</m:t>
                </m:r>
              </m:oMath>
            </m:oMathPara>
          </w:p>
        </w:tc>
        <w:tc>
          <w:tcPr>
            <w:tcW w:w="0" w:type="auto"/>
            <w:tcBorders>
              <w:top w:val="single" w:sz="4" w:space="0" w:color="auto"/>
              <w:left w:val="single" w:sz="4" w:space="0" w:color="auto"/>
              <w:bottom w:val="nil"/>
              <w:right w:val="single" w:sz="4" w:space="0" w:color="auto"/>
            </w:tcBorders>
          </w:tcPr>
          <w:p w14:paraId="1989AAFC" w14:textId="080FDEA3" w:rsidR="007541D9" w:rsidRPr="009C5319" w:rsidRDefault="007541D9" w:rsidP="007541D9">
            <w:pPr>
              <w:keepNext/>
              <w:keepLines/>
              <w:ind w:firstLineChars="0" w:firstLine="0"/>
              <w:jc w:val="center"/>
              <w:rPr>
                <w:rFonts w:cs="Times New Roman"/>
                <w:color w:val="000000" w:themeColor="text1"/>
                <w:sz w:val="18"/>
                <w:szCs w:val="18"/>
              </w:rPr>
            </w:pPr>
            <w:r w:rsidRPr="00E401C5">
              <w:rPr>
                <w:rFonts w:cs="Times New Roman"/>
                <w:color w:val="000000" w:themeColor="text1"/>
                <w:sz w:val="18"/>
                <w:szCs w:val="18"/>
              </w:rPr>
              <w:t>0.2097***</w:t>
            </w:r>
          </w:p>
        </w:tc>
        <w:tc>
          <w:tcPr>
            <w:tcW w:w="0" w:type="auto"/>
            <w:tcBorders>
              <w:top w:val="single" w:sz="4" w:space="0" w:color="auto"/>
              <w:left w:val="single" w:sz="4" w:space="0" w:color="auto"/>
              <w:bottom w:val="nil"/>
              <w:right w:val="single" w:sz="4" w:space="0" w:color="auto"/>
            </w:tcBorders>
          </w:tcPr>
          <w:p w14:paraId="517136ED" w14:textId="6F34464A" w:rsidR="007541D9" w:rsidRPr="009C5319" w:rsidRDefault="007541D9" w:rsidP="007541D9">
            <w:pPr>
              <w:keepNext/>
              <w:keepLines/>
              <w:ind w:firstLineChars="0" w:firstLine="0"/>
              <w:jc w:val="center"/>
              <w:rPr>
                <w:rFonts w:cs="Times New Roman"/>
                <w:color w:val="000000" w:themeColor="text1"/>
                <w:sz w:val="18"/>
                <w:szCs w:val="18"/>
              </w:rPr>
            </w:pPr>
            <w:r w:rsidRPr="005311BD">
              <w:rPr>
                <w:rFonts w:cs="Times New Roman"/>
                <w:color w:val="000000" w:themeColor="text1"/>
                <w:sz w:val="18"/>
                <w:szCs w:val="18"/>
              </w:rPr>
              <w:t>0.1897***</w:t>
            </w:r>
          </w:p>
        </w:tc>
        <w:tc>
          <w:tcPr>
            <w:tcW w:w="0" w:type="auto"/>
            <w:tcBorders>
              <w:top w:val="single" w:sz="4" w:space="0" w:color="auto"/>
              <w:left w:val="single" w:sz="4" w:space="0" w:color="auto"/>
              <w:bottom w:val="nil"/>
              <w:right w:val="nil"/>
            </w:tcBorders>
          </w:tcPr>
          <w:p w14:paraId="7F54F078" w14:textId="7FEF8753" w:rsidR="007541D9" w:rsidRPr="005311BD" w:rsidRDefault="007541D9" w:rsidP="007541D9">
            <w:pPr>
              <w:keepNext/>
              <w:keepLines/>
              <w:ind w:firstLineChars="0" w:firstLine="0"/>
              <w:jc w:val="center"/>
              <w:rPr>
                <w:rFonts w:cs="Times New Roman"/>
                <w:color w:val="000000" w:themeColor="text1"/>
                <w:sz w:val="18"/>
                <w:szCs w:val="18"/>
              </w:rPr>
            </w:pPr>
            <w:r w:rsidRPr="005311BD">
              <w:rPr>
                <w:rFonts w:cs="Times New Roman"/>
                <w:color w:val="000000" w:themeColor="text1"/>
                <w:sz w:val="18"/>
                <w:szCs w:val="18"/>
              </w:rPr>
              <w:t>0.1795***</w:t>
            </w:r>
          </w:p>
        </w:tc>
        <w:tc>
          <w:tcPr>
            <w:tcW w:w="0" w:type="auto"/>
            <w:tcBorders>
              <w:top w:val="single" w:sz="4" w:space="0" w:color="auto"/>
              <w:left w:val="single" w:sz="4" w:space="0" w:color="auto"/>
              <w:bottom w:val="nil"/>
              <w:right w:val="nil"/>
            </w:tcBorders>
          </w:tcPr>
          <w:p w14:paraId="6246F6A7" w14:textId="0BCBF7A8" w:rsidR="007541D9" w:rsidRPr="00E647E7" w:rsidRDefault="007541D9" w:rsidP="007541D9">
            <w:pPr>
              <w:keepNext/>
              <w:keepLines/>
              <w:ind w:firstLineChars="0" w:firstLine="0"/>
              <w:jc w:val="center"/>
              <w:rPr>
                <w:rFonts w:cs="Times New Roman"/>
                <w:sz w:val="18"/>
                <w:szCs w:val="18"/>
              </w:rPr>
            </w:pPr>
            <w:r w:rsidRPr="00E647E7">
              <w:rPr>
                <w:rFonts w:cs="Times New Roman"/>
                <w:sz w:val="18"/>
                <w:szCs w:val="18"/>
              </w:rPr>
              <w:t>0.1802***</w:t>
            </w:r>
          </w:p>
        </w:tc>
      </w:tr>
      <w:tr w:rsidR="007541D9" w:rsidRPr="00453233" w14:paraId="45F51A54" w14:textId="577149F8" w:rsidTr="0065419B">
        <w:trPr>
          <w:trHeight w:val="60"/>
          <w:jc w:val="center"/>
        </w:trPr>
        <w:tc>
          <w:tcPr>
            <w:tcW w:w="0" w:type="auto"/>
            <w:vMerge/>
            <w:tcBorders>
              <w:top w:val="nil"/>
              <w:left w:val="nil"/>
              <w:bottom w:val="nil"/>
              <w:right w:val="single" w:sz="4" w:space="0" w:color="auto"/>
            </w:tcBorders>
            <w:vAlign w:val="center"/>
          </w:tcPr>
          <w:p w14:paraId="343C1FF1" w14:textId="77777777" w:rsidR="007541D9" w:rsidRPr="009C5319" w:rsidRDefault="007541D9" w:rsidP="004200C5">
            <w:pPr>
              <w:keepNext/>
              <w:keepLines/>
              <w:ind w:firstLine="336"/>
              <w:rPr>
                <w:rFonts w:cs="Times New Roman"/>
                <w:iCs/>
                <w:color w:val="000000" w:themeColor="text1"/>
                <w:sz w:val="18"/>
                <w:szCs w:val="18"/>
              </w:rPr>
            </w:pPr>
          </w:p>
        </w:tc>
        <w:tc>
          <w:tcPr>
            <w:tcW w:w="0" w:type="auto"/>
            <w:tcBorders>
              <w:top w:val="nil"/>
              <w:left w:val="single" w:sz="4" w:space="0" w:color="auto"/>
              <w:bottom w:val="nil"/>
              <w:right w:val="single" w:sz="4" w:space="0" w:color="auto"/>
            </w:tcBorders>
          </w:tcPr>
          <w:p w14:paraId="01A22F9B" w14:textId="2726ECD4" w:rsidR="007541D9" w:rsidRPr="009C5319" w:rsidRDefault="007541D9" w:rsidP="007541D9">
            <w:pPr>
              <w:keepNext/>
              <w:keepLines/>
              <w:ind w:firstLineChars="0" w:firstLine="0"/>
              <w:jc w:val="center"/>
              <w:rPr>
                <w:rFonts w:cs="Times New Roman"/>
                <w:color w:val="000000" w:themeColor="text1"/>
                <w:sz w:val="18"/>
                <w:szCs w:val="18"/>
              </w:rPr>
            </w:pPr>
            <w:r w:rsidRPr="00E401C5">
              <w:rPr>
                <w:rFonts w:cs="Times New Roman"/>
                <w:color w:val="000000" w:themeColor="text1"/>
                <w:sz w:val="18"/>
                <w:szCs w:val="18"/>
              </w:rPr>
              <w:t>(0.0464)</w:t>
            </w:r>
          </w:p>
        </w:tc>
        <w:tc>
          <w:tcPr>
            <w:tcW w:w="0" w:type="auto"/>
            <w:tcBorders>
              <w:top w:val="nil"/>
              <w:left w:val="single" w:sz="4" w:space="0" w:color="auto"/>
              <w:bottom w:val="nil"/>
              <w:right w:val="single" w:sz="4" w:space="0" w:color="auto"/>
            </w:tcBorders>
          </w:tcPr>
          <w:p w14:paraId="4608F29F" w14:textId="25194F97" w:rsidR="007541D9" w:rsidRPr="009C5319" w:rsidRDefault="007541D9" w:rsidP="007541D9">
            <w:pPr>
              <w:keepNext/>
              <w:keepLines/>
              <w:ind w:firstLineChars="0" w:firstLine="0"/>
              <w:jc w:val="center"/>
              <w:rPr>
                <w:rFonts w:cs="Times New Roman"/>
                <w:color w:val="000000" w:themeColor="text1"/>
                <w:sz w:val="18"/>
                <w:szCs w:val="18"/>
              </w:rPr>
            </w:pPr>
            <w:r w:rsidRPr="005311BD">
              <w:rPr>
                <w:rFonts w:cs="Times New Roman"/>
                <w:color w:val="000000" w:themeColor="text1"/>
                <w:sz w:val="18"/>
                <w:szCs w:val="18"/>
              </w:rPr>
              <w:t>(0.0439)</w:t>
            </w:r>
          </w:p>
        </w:tc>
        <w:tc>
          <w:tcPr>
            <w:tcW w:w="0" w:type="auto"/>
            <w:tcBorders>
              <w:top w:val="nil"/>
              <w:left w:val="single" w:sz="4" w:space="0" w:color="auto"/>
              <w:bottom w:val="nil"/>
              <w:right w:val="nil"/>
            </w:tcBorders>
          </w:tcPr>
          <w:p w14:paraId="6050A922" w14:textId="3C4128FB" w:rsidR="007541D9" w:rsidRPr="005311BD" w:rsidRDefault="007541D9" w:rsidP="007541D9">
            <w:pPr>
              <w:keepNext/>
              <w:keepLines/>
              <w:ind w:firstLineChars="0" w:firstLine="0"/>
              <w:jc w:val="center"/>
              <w:rPr>
                <w:rFonts w:cs="Times New Roman"/>
                <w:color w:val="000000" w:themeColor="text1"/>
                <w:sz w:val="18"/>
                <w:szCs w:val="18"/>
              </w:rPr>
            </w:pPr>
            <w:r w:rsidRPr="005311BD">
              <w:rPr>
                <w:rFonts w:cs="Times New Roman"/>
                <w:color w:val="000000" w:themeColor="text1"/>
                <w:sz w:val="18"/>
                <w:szCs w:val="18"/>
              </w:rPr>
              <w:t>(0.0452)</w:t>
            </w:r>
          </w:p>
        </w:tc>
        <w:tc>
          <w:tcPr>
            <w:tcW w:w="0" w:type="auto"/>
            <w:tcBorders>
              <w:top w:val="nil"/>
              <w:left w:val="single" w:sz="4" w:space="0" w:color="auto"/>
              <w:bottom w:val="nil"/>
              <w:right w:val="nil"/>
            </w:tcBorders>
          </w:tcPr>
          <w:p w14:paraId="302F9F1D" w14:textId="2AE899C9" w:rsidR="007541D9" w:rsidRPr="00E647E7" w:rsidRDefault="007541D9" w:rsidP="007541D9">
            <w:pPr>
              <w:keepNext/>
              <w:keepLines/>
              <w:ind w:firstLineChars="0" w:firstLine="0"/>
              <w:jc w:val="center"/>
              <w:rPr>
                <w:rFonts w:cs="Times New Roman"/>
                <w:sz w:val="18"/>
                <w:szCs w:val="18"/>
              </w:rPr>
            </w:pPr>
            <w:r w:rsidRPr="00E647E7">
              <w:rPr>
                <w:rFonts w:cs="Times New Roman"/>
                <w:sz w:val="18"/>
                <w:szCs w:val="18"/>
              </w:rPr>
              <w:t>(0.0414)</w:t>
            </w:r>
          </w:p>
        </w:tc>
      </w:tr>
      <w:tr w:rsidR="00CD6DD1" w:rsidRPr="00453233" w14:paraId="07065393" w14:textId="2DF7E438" w:rsidTr="0065419B">
        <w:trPr>
          <w:trHeight w:val="60"/>
          <w:jc w:val="center"/>
        </w:trPr>
        <w:tc>
          <w:tcPr>
            <w:tcW w:w="0" w:type="auto"/>
            <w:tcBorders>
              <w:top w:val="nil"/>
              <w:left w:val="nil"/>
              <w:bottom w:val="nil"/>
              <w:right w:val="single" w:sz="4" w:space="0" w:color="auto"/>
            </w:tcBorders>
            <w:vAlign w:val="center"/>
          </w:tcPr>
          <w:p w14:paraId="02B88BC0" w14:textId="77777777" w:rsidR="00CD6DD1" w:rsidRPr="009C5319" w:rsidRDefault="00CD6DD1" w:rsidP="00CD6DD1">
            <w:pPr>
              <w:keepNext/>
              <w:keepLines/>
              <w:ind w:firstLineChars="0" w:firstLine="0"/>
              <w:rPr>
                <w:rFonts w:cs="Times New Roman"/>
                <w:i/>
                <w:iCs/>
                <w:color w:val="000000" w:themeColor="text1"/>
                <w:sz w:val="18"/>
                <w:szCs w:val="18"/>
              </w:rPr>
            </w:pPr>
            <w:r w:rsidRPr="009C5319">
              <w:rPr>
                <w:rFonts w:cs="Times New Roman"/>
                <w:color w:val="000000" w:themeColor="text1"/>
                <w:sz w:val="18"/>
                <w:szCs w:val="18"/>
              </w:rPr>
              <w:t>控制变量</w:t>
            </w:r>
          </w:p>
        </w:tc>
        <w:tc>
          <w:tcPr>
            <w:tcW w:w="0" w:type="auto"/>
            <w:tcBorders>
              <w:top w:val="nil"/>
              <w:left w:val="single" w:sz="4" w:space="0" w:color="auto"/>
              <w:bottom w:val="nil"/>
              <w:right w:val="single" w:sz="4" w:space="0" w:color="auto"/>
            </w:tcBorders>
          </w:tcPr>
          <w:p w14:paraId="7CD5F17B" w14:textId="0C4A6575" w:rsidR="00CD6DD1" w:rsidRPr="009C5319" w:rsidRDefault="00CD6DD1" w:rsidP="00CD6DD1">
            <w:pPr>
              <w:keepNext/>
              <w:keepLines/>
              <w:ind w:firstLineChars="0" w:firstLine="0"/>
              <w:jc w:val="center"/>
              <w:rPr>
                <w:rFonts w:cs="Times New Roman"/>
                <w:color w:val="000000" w:themeColor="text1"/>
                <w:sz w:val="18"/>
                <w:szCs w:val="18"/>
              </w:rPr>
            </w:pPr>
            <w:r>
              <w:rPr>
                <w:rFonts w:cs="Times New Roman" w:hint="eastAsia"/>
                <w:sz w:val="18"/>
                <w:szCs w:val="18"/>
              </w:rPr>
              <w:t>是</w:t>
            </w:r>
          </w:p>
        </w:tc>
        <w:tc>
          <w:tcPr>
            <w:tcW w:w="0" w:type="auto"/>
            <w:tcBorders>
              <w:top w:val="nil"/>
              <w:left w:val="single" w:sz="4" w:space="0" w:color="auto"/>
              <w:bottom w:val="nil"/>
              <w:right w:val="single" w:sz="4" w:space="0" w:color="auto"/>
            </w:tcBorders>
          </w:tcPr>
          <w:p w14:paraId="369DE662" w14:textId="1BF244BF" w:rsidR="00CD6DD1" w:rsidRPr="009C5319" w:rsidRDefault="00CD6DD1" w:rsidP="00CD6DD1">
            <w:pPr>
              <w:keepNext/>
              <w:keepLines/>
              <w:ind w:firstLineChars="0" w:firstLine="0"/>
              <w:jc w:val="center"/>
              <w:rPr>
                <w:rFonts w:cs="Times New Roman"/>
                <w:color w:val="000000" w:themeColor="text1"/>
                <w:sz w:val="18"/>
                <w:szCs w:val="18"/>
              </w:rPr>
            </w:pPr>
            <w:r>
              <w:rPr>
                <w:rFonts w:cs="Times New Roman" w:hint="eastAsia"/>
                <w:sz w:val="18"/>
                <w:szCs w:val="18"/>
              </w:rPr>
              <w:t>是</w:t>
            </w:r>
          </w:p>
        </w:tc>
        <w:tc>
          <w:tcPr>
            <w:tcW w:w="0" w:type="auto"/>
            <w:tcBorders>
              <w:top w:val="nil"/>
              <w:left w:val="single" w:sz="4" w:space="0" w:color="auto"/>
              <w:bottom w:val="nil"/>
              <w:right w:val="nil"/>
            </w:tcBorders>
          </w:tcPr>
          <w:p w14:paraId="629C2154" w14:textId="57AB9535" w:rsidR="00CD6DD1" w:rsidRPr="009C5319" w:rsidRDefault="00CD6DD1" w:rsidP="00CD6DD1">
            <w:pPr>
              <w:keepNext/>
              <w:keepLines/>
              <w:ind w:firstLineChars="0" w:firstLine="0"/>
              <w:jc w:val="center"/>
              <w:rPr>
                <w:rFonts w:cs="Times New Roman"/>
                <w:color w:val="000000" w:themeColor="text1"/>
                <w:sz w:val="18"/>
                <w:szCs w:val="18"/>
              </w:rPr>
            </w:pPr>
            <w:r>
              <w:rPr>
                <w:rFonts w:cs="Times New Roman" w:hint="eastAsia"/>
                <w:sz w:val="18"/>
                <w:szCs w:val="18"/>
              </w:rPr>
              <w:t>是</w:t>
            </w:r>
          </w:p>
        </w:tc>
        <w:tc>
          <w:tcPr>
            <w:tcW w:w="0" w:type="auto"/>
            <w:tcBorders>
              <w:top w:val="nil"/>
              <w:left w:val="single" w:sz="4" w:space="0" w:color="auto"/>
              <w:bottom w:val="nil"/>
              <w:right w:val="nil"/>
            </w:tcBorders>
          </w:tcPr>
          <w:p w14:paraId="19FAF32A" w14:textId="5C54C7DC" w:rsidR="00CD6DD1" w:rsidRPr="00E647E7" w:rsidRDefault="00CD6DD1" w:rsidP="00CD6DD1">
            <w:pPr>
              <w:keepNext/>
              <w:keepLines/>
              <w:ind w:firstLineChars="0" w:firstLine="0"/>
              <w:jc w:val="center"/>
              <w:rPr>
                <w:rFonts w:cs="Times New Roman"/>
                <w:sz w:val="18"/>
                <w:szCs w:val="18"/>
              </w:rPr>
            </w:pPr>
            <w:r>
              <w:rPr>
                <w:rFonts w:cs="Times New Roman" w:hint="eastAsia"/>
                <w:sz w:val="18"/>
                <w:szCs w:val="18"/>
              </w:rPr>
              <w:t>是</w:t>
            </w:r>
          </w:p>
        </w:tc>
      </w:tr>
      <w:tr w:rsidR="00CD6DD1" w:rsidRPr="00453233" w14:paraId="3AF2FA4E" w14:textId="4B4F5C49" w:rsidTr="0065419B">
        <w:trPr>
          <w:jc w:val="center"/>
        </w:trPr>
        <w:tc>
          <w:tcPr>
            <w:tcW w:w="0" w:type="auto"/>
            <w:tcBorders>
              <w:top w:val="nil"/>
              <w:left w:val="nil"/>
              <w:bottom w:val="nil"/>
              <w:right w:val="single" w:sz="4" w:space="0" w:color="auto"/>
            </w:tcBorders>
            <w:vAlign w:val="center"/>
          </w:tcPr>
          <w:p w14:paraId="76009636" w14:textId="299A5018" w:rsidR="00CD6DD1" w:rsidRDefault="00CD6DD1" w:rsidP="00CD6DD1">
            <w:pPr>
              <w:keepNext/>
              <w:keepLines/>
              <w:ind w:firstLineChars="0" w:firstLine="0"/>
              <w:rPr>
                <w:rFonts w:cs="Times New Roman"/>
                <w:color w:val="000000" w:themeColor="text1"/>
                <w:sz w:val="18"/>
                <w:szCs w:val="18"/>
              </w:rPr>
            </w:pPr>
            <w:r>
              <w:rPr>
                <w:rFonts w:cs="Times New Roman" w:hint="eastAsia"/>
                <w:color w:val="000000" w:themeColor="text1"/>
                <w:sz w:val="18"/>
                <w:szCs w:val="18"/>
              </w:rPr>
              <w:t>时间</w:t>
            </w:r>
            <w:r w:rsidRPr="009C5319">
              <w:rPr>
                <w:rFonts w:cs="Times New Roman"/>
                <w:color w:val="000000" w:themeColor="text1"/>
                <w:sz w:val="18"/>
                <w:szCs w:val="18"/>
              </w:rPr>
              <w:t>固定效应</w:t>
            </w:r>
          </w:p>
        </w:tc>
        <w:tc>
          <w:tcPr>
            <w:tcW w:w="0" w:type="auto"/>
            <w:tcBorders>
              <w:top w:val="nil"/>
              <w:left w:val="single" w:sz="4" w:space="0" w:color="auto"/>
              <w:bottom w:val="nil"/>
              <w:right w:val="single" w:sz="4" w:space="0" w:color="auto"/>
            </w:tcBorders>
          </w:tcPr>
          <w:p w14:paraId="0F8F9081" w14:textId="5F82AF82" w:rsidR="00CD6DD1" w:rsidRPr="009C5319" w:rsidRDefault="00CD6DD1" w:rsidP="00CD6DD1">
            <w:pPr>
              <w:keepNext/>
              <w:keepLines/>
              <w:ind w:firstLineChars="0" w:firstLine="0"/>
              <w:jc w:val="center"/>
              <w:rPr>
                <w:rFonts w:cs="Times New Roman"/>
                <w:color w:val="000000" w:themeColor="text1"/>
                <w:sz w:val="18"/>
                <w:szCs w:val="18"/>
              </w:rPr>
            </w:pPr>
            <w:r w:rsidRPr="00F35BF1">
              <w:rPr>
                <w:rFonts w:cs="Times New Roman" w:hint="eastAsia"/>
                <w:sz w:val="18"/>
                <w:szCs w:val="18"/>
              </w:rPr>
              <w:t>是</w:t>
            </w:r>
          </w:p>
        </w:tc>
        <w:tc>
          <w:tcPr>
            <w:tcW w:w="0" w:type="auto"/>
            <w:tcBorders>
              <w:top w:val="nil"/>
              <w:left w:val="single" w:sz="4" w:space="0" w:color="auto"/>
              <w:bottom w:val="nil"/>
              <w:right w:val="single" w:sz="4" w:space="0" w:color="auto"/>
            </w:tcBorders>
          </w:tcPr>
          <w:p w14:paraId="11A75425" w14:textId="273AC1C4" w:rsidR="00CD6DD1" w:rsidRPr="009C5319" w:rsidRDefault="00CD6DD1" w:rsidP="00CD6DD1">
            <w:pPr>
              <w:keepNext/>
              <w:keepLines/>
              <w:ind w:firstLineChars="0" w:firstLine="0"/>
              <w:jc w:val="center"/>
              <w:rPr>
                <w:rFonts w:cs="Times New Roman"/>
                <w:color w:val="000000" w:themeColor="text1"/>
                <w:sz w:val="18"/>
                <w:szCs w:val="18"/>
              </w:rPr>
            </w:pPr>
            <w:r w:rsidRPr="00F35BF1">
              <w:rPr>
                <w:rFonts w:cs="Times New Roman" w:hint="eastAsia"/>
                <w:sz w:val="18"/>
                <w:szCs w:val="18"/>
              </w:rPr>
              <w:t>是</w:t>
            </w:r>
          </w:p>
        </w:tc>
        <w:tc>
          <w:tcPr>
            <w:tcW w:w="0" w:type="auto"/>
            <w:tcBorders>
              <w:top w:val="nil"/>
              <w:left w:val="single" w:sz="4" w:space="0" w:color="auto"/>
              <w:bottom w:val="nil"/>
              <w:right w:val="nil"/>
            </w:tcBorders>
          </w:tcPr>
          <w:p w14:paraId="5B53DA85" w14:textId="347C31C6" w:rsidR="00CD6DD1" w:rsidRPr="009C5319" w:rsidRDefault="00CD6DD1" w:rsidP="00CD6DD1">
            <w:pPr>
              <w:keepNext/>
              <w:keepLines/>
              <w:ind w:firstLineChars="0" w:firstLine="0"/>
              <w:jc w:val="center"/>
              <w:rPr>
                <w:rFonts w:cs="Times New Roman"/>
                <w:color w:val="000000" w:themeColor="text1"/>
                <w:sz w:val="18"/>
                <w:szCs w:val="18"/>
              </w:rPr>
            </w:pPr>
            <w:r w:rsidRPr="00F35BF1">
              <w:rPr>
                <w:rFonts w:cs="Times New Roman" w:hint="eastAsia"/>
                <w:sz w:val="18"/>
                <w:szCs w:val="18"/>
              </w:rPr>
              <w:t>是</w:t>
            </w:r>
          </w:p>
        </w:tc>
        <w:tc>
          <w:tcPr>
            <w:tcW w:w="0" w:type="auto"/>
            <w:tcBorders>
              <w:top w:val="nil"/>
              <w:left w:val="single" w:sz="4" w:space="0" w:color="auto"/>
              <w:bottom w:val="nil"/>
              <w:right w:val="nil"/>
            </w:tcBorders>
          </w:tcPr>
          <w:p w14:paraId="3E94480B" w14:textId="5A5B07F4" w:rsidR="00CD6DD1" w:rsidRPr="00E647E7" w:rsidRDefault="00CD6DD1" w:rsidP="00CD6DD1">
            <w:pPr>
              <w:keepNext/>
              <w:keepLines/>
              <w:ind w:firstLineChars="0" w:firstLine="0"/>
              <w:jc w:val="center"/>
              <w:rPr>
                <w:rFonts w:cs="Times New Roman"/>
                <w:sz w:val="18"/>
                <w:szCs w:val="18"/>
              </w:rPr>
            </w:pPr>
            <w:r w:rsidRPr="00F35BF1">
              <w:rPr>
                <w:rFonts w:cs="Times New Roman" w:hint="eastAsia"/>
                <w:sz w:val="18"/>
                <w:szCs w:val="18"/>
              </w:rPr>
              <w:t>是</w:t>
            </w:r>
          </w:p>
        </w:tc>
      </w:tr>
      <w:tr w:rsidR="00CD6DD1" w:rsidRPr="00453233" w14:paraId="617B0FFE" w14:textId="599C9A92" w:rsidTr="00F70C15">
        <w:trPr>
          <w:jc w:val="center"/>
        </w:trPr>
        <w:tc>
          <w:tcPr>
            <w:tcW w:w="0" w:type="auto"/>
            <w:tcBorders>
              <w:top w:val="nil"/>
              <w:left w:val="nil"/>
              <w:bottom w:val="nil"/>
              <w:right w:val="single" w:sz="4" w:space="0" w:color="auto"/>
            </w:tcBorders>
            <w:vAlign w:val="center"/>
          </w:tcPr>
          <w:p w14:paraId="18C0F5A9" w14:textId="6F7F4756" w:rsidR="00CD6DD1" w:rsidRPr="009C5319" w:rsidRDefault="00CD6DD1" w:rsidP="00CD6DD1">
            <w:pPr>
              <w:keepNext/>
              <w:keepLines/>
              <w:ind w:firstLineChars="0" w:firstLine="0"/>
              <w:rPr>
                <w:rFonts w:cs="Times New Roman"/>
                <w:color w:val="000000" w:themeColor="text1"/>
                <w:sz w:val="18"/>
                <w:szCs w:val="18"/>
              </w:rPr>
            </w:pPr>
            <w:r>
              <w:rPr>
                <w:rFonts w:cs="Times New Roman" w:hint="eastAsia"/>
                <w:color w:val="000000" w:themeColor="text1"/>
                <w:sz w:val="18"/>
                <w:szCs w:val="18"/>
              </w:rPr>
              <w:t>个体</w:t>
            </w:r>
            <w:r w:rsidRPr="009C5319">
              <w:rPr>
                <w:rFonts w:cs="Times New Roman"/>
                <w:color w:val="000000" w:themeColor="text1"/>
                <w:sz w:val="18"/>
                <w:szCs w:val="18"/>
              </w:rPr>
              <w:t>固定效应</w:t>
            </w:r>
          </w:p>
        </w:tc>
        <w:tc>
          <w:tcPr>
            <w:tcW w:w="0" w:type="auto"/>
            <w:tcBorders>
              <w:top w:val="nil"/>
              <w:left w:val="single" w:sz="4" w:space="0" w:color="auto"/>
              <w:bottom w:val="nil"/>
              <w:right w:val="single" w:sz="4" w:space="0" w:color="auto"/>
            </w:tcBorders>
          </w:tcPr>
          <w:p w14:paraId="3D9D2445" w14:textId="5125AD34" w:rsidR="00CD6DD1" w:rsidRPr="009C5319" w:rsidRDefault="00CD6DD1" w:rsidP="00CD6DD1">
            <w:pPr>
              <w:keepNext/>
              <w:keepLines/>
              <w:ind w:firstLineChars="0" w:firstLine="0"/>
              <w:jc w:val="center"/>
              <w:rPr>
                <w:rFonts w:cs="Times New Roman"/>
                <w:color w:val="000000" w:themeColor="text1"/>
                <w:sz w:val="18"/>
                <w:szCs w:val="18"/>
              </w:rPr>
            </w:pPr>
            <w:r>
              <w:rPr>
                <w:rFonts w:cs="Times New Roman" w:hint="eastAsia"/>
                <w:sz w:val="18"/>
                <w:szCs w:val="18"/>
              </w:rPr>
              <w:t>是</w:t>
            </w:r>
          </w:p>
        </w:tc>
        <w:tc>
          <w:tcPr>
            <w:tcW w:w="0" w:type="auto"/>
            <w:tcBorders>
              <w:top w:val="nil"/>
              <w:left w:val="single" w:sz="4" w:space="0" w:color="auto"/>
              <w:bottom w:val="nil"/>
              <w:right w:val="single" w:sz="4" w:space="0" w:color="auto"/>
            </w:tcBorders>
          </w:tcPr>
          <w:p w14:paraId="508536AB" w14:textId="6801521E" w:rsidR="00CD6DD1" w:rsidRPr="009C5319" w:rsidRDefault="00CD6DD1" w:rsidP="00CD6DD1">
            <w:pPr>
              <w:keepNext/>
              <w:keepLines/>
              <w:ind w:firstLineChars="0" w:firstLine="0"/>
              <w:jc w:val="center"/>
              <w:rPr>
                <w:rFonts w:cs="Times New Roman"/>
                <w:color w:val="000000" w:themeColor="text1"/>
                <w:sz w:val="18"/>
                <w:szCs w:val="18"/>
              </w:rPr>
            </w:pPr>
            <w:r>
              <w:rPr>
                <w:rFonts w:cs="Times New Roman" w:hint="eastAsia"/>
                <w:sz w:val="18"/>
                <w:szCs w:val="18"/>
              </w:rPr>
              <w:t>是</w:t>
            </w:r>
          </w:p>
        </w:tc>
        <w:tc>
          <w:tcPr>
            <w:tcW w:w="0" w:type="auto"/>
            <w:tcBorders>
              <w:top w:val="nil"/>
              <w:left w:val="single" w:sz="4" w:space="0" w:color="auto"/>
              <w:bottom w:val="nil"/>
              <w:right w:val="nil"/>
            </w:tcBorders>
          </w:tcPr>
          <w:p w14:paraId="218F2287" w14:textId="3AD9C5F8" w:rsidR="00CD6DD1" w:rsidRPr="009C5319" w:rsidRDefault="00CD6DD1" w:rsidP="00CD6DD1">
            <w:pPr>
              <w:keepNext/>
              <w:keepLines/>
              <w:ind w:firstLineChars="0" w:firstLine="0"/>
              <w:jc w:val="center"/>
              <w:rPr>
                <w:rFonts w:cs="Times New Roman"/>
                <w:color w:val="000000" w:themeColor="text1"/>
                <w:sz w:val="18"/>
                <w:szCs w:val="18"/>
              </w:rPr>
            </w:pPr>
            <w:r>
              <w:rPr>
                <w:rFonts w:cs="Times New Roman" w:hint="eastAsia"/>
                <w:sz w:val="18"/>
                <w:szCs w:val="18"/>
              </w:rPr>
              <w:t>是</w:t>
            </w:r>
          </w:p>
        </w:tc>
        <w:tc>
          <w:tcPr>
            <w:tcW w:w="0" w:type="auto"/>
            <w:tcBorders>
              <w:top w:val="nil"/>
              <w:left w:val="single" w:sz="4" w:space="0" w:color="auto"/>
              <w:bottom w:val="nil"/>
              <w:right w:val="nil"/>
            </w:tcBorders>
          </w:tcPr>
          <w:p w14:paraId="67E2C54D" w14:textId="3243EC68" w:rsidR="00CD6DD1" w:rsidRPr="00E647E7" w:rsidRDefault="00CD6DD1" w:rsidP="00CD6DD1">
            <w:pPr>
              <w:keepNext/>
              <w:keepLines/>
              <w:ind w:firstLineChars="0" w:firstLine="0"/>
              <w:jc w:val="center"/>
              <w:rPr>
                <w:rFonts w:cs="Times New Roman"/>
                <w:sz w:val="18"/>
                <w:szCs w:val="18"/>
              </w:rPr>
            </w:pPr>
            <w:r>
              <w:rPr>
                <w:rFonts w:cs="Times New Roman" w:hint="eastAsia"/>
                <w:sz w:val="18"/>
                <w:szCs w:val="18"/>
              </w:rPr>
              <w:t>是</w:t>
            </w:r>
          </w:p>
        </w:tc>
      </w:tr>
      <w:tr w:rsidR="00CD6DD1" w:rsidRPr="00453233" w14:paraId="1FAF5B85" w14:textId="01B81B41" w:rsidTr="00F70C15">
        <w:trPr>
          <w:jc w:val="center"/>
        </w:trPr>
        <w:tc>
          <w:tcPr>
            <w:tcW w:w="0" w:type="auto"/>
            <w:tcBorders>
              <w:top w:val="nil"/>
              <w:left w:val="nil"/>
              <w:bottom w:val="single" w:sz="4" w:space="0" w:color="auto"/>
              <w:right w:val="single" w:sz="4" w:space="0" w:color="auto"/>
            </w:tcBorders>
            <w:vAlign w:val="center"/>
          </w:tcPr>
          <w:p w14:paraId="48B9D328" w14:textId="287CE66B" w:rsidR="00CD6DD1" w:rsidRDefault="00CD6DD1" w:rsidP="00CD6DD1">
            <w:pPr>
              <w:keepNext/>
              <w:keepLines/>
              <w:ind w:firstLineChars="0" w:firstLine="0"/>
              <w:rPr>
                <w:rFonts w:cs="Times New Roman"/>
                <w:color w:val="000000" w:themeColor="text1"/>
                <w:sz w:val="18"/>
                <w:szCs w:val="18"/>
              </w:rPr>
            </w:pPr>
            <w:r>
              <w:rPr>
                <w:rFonts w:cs="Times New Roman" w:hint="eastAsia"/>
                <w:color w:val="000000" w:themeColor="text1"/>
                <w:sz w:val="18"/>
                <w:szCs w:val="18"/>
              </w:rPr>
              <w:t>时间与行业固定效应</w:t>
            </w:r>
          </w:p>
        </w:tc>
        <w:tc>
          <w:tcPr>
            <w:tcW w:w="0" w:type="auto"/>
            <w:tcBorders>
              <w:top w:val="nil"/>
              <w:left w:val="single" w:sz="4" w:space="0" w:color="auto"/>
              <w:bottom w:val="single" w:sz="4" w:space="0" w:color="auto"/>
              <w:right w:val="single" w:sz="4" w:space="0" w:color="auto"/>
            </w:tcBorders>
          </w:tcPr>
          <w:p w14:paraId="1BE68F42" w14:textId="66AB38FE" w:rsidR="00CD6DD1" w:rsidRPr="009C5319" w:rsidRDefault="00CD6DD1" w:rsidP="00CD6DD1">
            <w:pPr>
              <w:keepNext/>
              <w:keepLines/>
              <w:ind w:firstLineChars="0" w:firstLine="0"/>
              <w:jc w:val="center"/>
              <w:rPr>
                <w:rFonts w:cs="Times New Roman"/>
                <w:color w:val="000000" w:themeColor="text1"/>
                <w:sz w:val="18"/>
                <w:szCs w:val="18"/>
              </w:rPr>
            </w:pPr>
            <w:r>
              <w:rPr>
                <w:rFonts w:cs="Times New Roman" w:hint="eastAsia"/>
                <w:color w:val="000000" w:themeColor="text1"/>
                <w:sz w:val="18"/>
                <w:szCs w:val="18"/>
              </w:rPr>
              <w:t>否</w:t>
            </w:r>
          </w:p>
        </w:tc>
        <w:tc>
          <w:tcPr>
            <w:tcW w:w="0" w:type="auto"/>
            <w:tcBorders>
              <w:top w:val="nil"/>
              <w:left w:val="single" w:sz="4" w:space="0" w:color="auto"/>
              <w:bottom w:val="single" w:sz="4" w:space="0" w:color="auto"/>
              <w:right w:val="single" w:sz="4" w:space="0" w:color="auto"/>
            </w:tcBorders>
          </w:tcPr>
          <w:p w14:paraId="771295C3" w14:textId="535F08C4" w:rsidR="00CD6DD1" w:rsidRPr="009C5319" w:rsidRDefault="00CD6DD1" w:rsidP="00CD6DD1">
            <w:pPr>
              <w:keepNext/>
              <w:keepLines/>
              <w:ind w:firstLineChars="0" w:firstLine="0"/>
              <w:jc w:val="center"/>
              <w:rPr>
                <w:rFonts w:cs="Times New Roman"/>
                <w:color w:val="000000" w:themeColor="text1"/>
                <w:sz w:val="18"/>
                <w:szCs w:val="18"/>
              </w:rPr>
            </w:pPr>
            <w:r>
              <w:rPr>
                <w:rFonts w:cs="Times New Roman" w:hint="eastAsia"/>
                <w:sz w:val="18"/>
                <w:szCs w:val="18"/>
              </w:rPr>
              <w:t>是</w:t>
            </w:r>
          </w:p>
        </w:tc>
        <w:tc>
          <w:tcPr>
            <w:tcW w:w="0" w:type="auto"/>
            <w:tcBorders>
              <w:top w:val="nil"/>
              <w:left w:val="single" w:sz="4" w:space="0" w:color="auto"/>
              <w:bottom w:val="single" w:sz="4" w:space="0" w:color="auto"/>
              <w:right w:val="nil"/>
            </w:tcBorders>
          </w:tcPr>
          <w:p w14:paraId="1F086249" w14:textId="54E78E97" w:rsidR="00CD6DD1" w:rsidRPr="009C5319" w:rsidRDefault="00CD6DD1" w:rsidP="00CD6DD1">
            <w:pPr>
              <w:keepNext/>
              <w:keepLines/>
              <w:ind w:firstLineChars="0" w:firstLine="0"/>
              <w:jc w:val="center"/>
              <w:rPr>
                <w:rFonts w:cs="Times New Roman"/>
                <w:color w:val="000000" w:themeColor="text1"/>
                <w:sz w:val="18"/>
                <w:szCs w:val="18"/>
              </w:rPr>
            </w:pPr>
            <w:r>
              <w:rPr>
                <w:rFonts w:cs="Times New Roman" w:hint="eastAsia"/>
                <w:sz w:val="18"/>
                <w:szCs w:val="18"/>
              </w:rPr>
              <w:t>是</w:t>
            </w:r>
          </w:p>
        </w:tc>
        <w:tc>
          <w:tcPr>
            <w:tcW w:w="0" w:type="auto"/>
            <w:tcBorders>
              <w:top w:val="nil"/>
              <w:left w:val="single" w:sz="4" w:space="0" w:color="auto"/>
              <w:bottom w:val="single" w:sz="4" w:space="0" w:color="auto"/>
              <w:right w:val="nil"/>
            </w:tcBorders>
          </w:tcPr>
          <w:p w14:paraId="0EFA3EE5" w14:textId="4A751237" w:rsidR="00CD6DD1" w:rsidRPr="00E647E7" w:rsidRDefault="00CD6DD1" w:rsidP="00CD6DD1">
            <w:pPr>
              <w:keepNext/>
              <w:keepLines/>
              <w:ind w:firstLineChars="0" w:firstLine="0"/>
              <w:jc w:val="center"/>
              <w:rPr>
                <w:rFonts w:cs="Times New Roman"/>
                <w:sz w:val="18"/>
                <w:szCs w:val="18"/>
              </w:rPr>
            </w:pPr>
            <w:r>
              <w:rPr>
                <w:rFonts w:cs="Times New Roman" w:hint="eastAsia"/>
                <w:sz w:val="18"/>
                <w:szCs w:val="18"/>
              </w:rPr>
              <w:t>是</w:t>
            </w:r>
          </w:p>
        </w:tc>
      </w:tr>
      <w:tr w:rsidR="007541D9" w:rsidRPr="00453233" w14:paraId="0DB3F05E" w14:textId="314B861A" w:rsidTr="004200C5">
        <w:trPr>
          <w:jc w:val="center"/>
        </w:trPr>
        <w:tc>
          <w:tcPr>
            <w:tcW w:w="0" w:type="auto"/>
            <w:tcBorders>
              <w:top w:val="single" w:sz="4" w:space="0" w:color="auto"/>
              <w:left w:val="nil"/>
              <w:bottom w:val="nil"/>
              <w:right w:val="single" w:sz="4" w:space="0" w:color="auto"/>
            </w:tcBorders>
            <w:vAlign w:val="center"/>
          </w:tcPr>
          <w:p w14:paraId="49217790" w14:textId="6F1EB63A" w:rsidR="007541D9" w:rsidRPr="004200C5" w:rsidRDefault="004200C5" w:rsidP="004200C5">
            <w:pPr>
              <w:keepNext/>
              <w:keepLines/>
              <w:ind w:firstLineChars="0" w:firstLine="0"/>
              <w:rPr>
                <w:rFonts w:cs="Times New Roman"/>
                <w:i/>
                <w:iCs/>
                <w:color w:val="000000" w:themeColor="text1"/>
                <w:sz w:val="18"/>
                <w:szCs w:val="18"/>
              </w:rPr>
            </w:pPr>
            <w:r w:rsidRPr="004200C5">
              <w:rPr>
                <w:rFonts w:cs="Times New Roman" w:hint="eastAsia"/>
                <w:color w:val="000000" w:themeColor="text1"/>
                <w:sz w:val="18"/>
                <w:szCs w:val="18"/>
              </w:rPr>
              <w:t>观测值</w:t>
            </w:r>
          </w:p>
        </w:tc>
        <w:tc>
          <w:tcPr>
            <w:tcW w:w="0" w:type="auto"/>
            <w:tcBorders>
              <w:top w:val="single" w:sz="4" w:space="0" w:color="auto"/>
              <w:left w:val="single" w:sz="4" w:space="0" w:color="auto"/>
              <w:bottom w:val="nil"/>
              <w:right w:val="single" w:sz="4" w:space="0" w:color="auto"/>
            </w:tcBorders>
          </w:tcPr>
          <w:p w14:paraId="23F4A58F" w14:textId="2E8B2C06" w:rsidR="007541D9" w:rsidRPr="009C5319" w:rsidRDefault="007541D9" w:rsidP="007541D9">
            <w:pPr>
              <w:keepNext/>
              <w:keepLines/>
              <w:ind w:firstLineChars="0" w:firstLine="0"/>
              <w:jc w:val="center"/>
              <w:rPr>
                <w:rFonts w:cs="Times New Roman"/>
                <w:color w:val="000000" w:themeColor="text1"/>
                <w:sz w:val="18"/>
                <w:szCs w:val="18"/>
              </w:rPr>
            </w:pPr>
            <w:r>
              <w:rPr>
                <w:rFonts w:cs="Times New Roman" w:hint="eastAsia"/>
                <w:color w:val="000000" w:themeColor="text1"/>
                <w:sz w:val="18"/>
                <w:szCs w:val="18"/>
              </w:rPr>
              <w:t>61</w:t>
            </w:r>
            <w:r w:rsidR="00E16400">
              <w:rPr>
                <w:rFonts w:cs="Times New Roman" w:hint="eastAsia"/>
                <w:color w:val="000000" w:themeColor="text1"/>
                <w:sz w:val="18"/>
                <w:szCs w:val="18"/>
              </w:rPr>
              <w:t>1</w:t>
            </w:r>
            <w:r>
              <w:rPr>
                <w:rFonts w:cs="Times New Roman" w:hint="eastAsia"/>
                <w:color w:val="000000" w:themeColor="text1"/>
                <w:sz w:val="18"/>
                <w:szCs w:val="18"/>
              </w:rPr>
              <w:t>7</w:t>
            </w:r>
          </w:p>
        </w:tc>
        <w:tc>
          <w:tcPr>
            <w:tcW w:w="0" w:type="auto"/>
            <w:tcBorders>
              <w:top w:val="single" w:sz="4" w:space="0" w:color="auto"/>
              <w:left w:val="single" w:sz="4" w:space="0" w:color="auto"/>
              <w:bottom w:val="nil"/>
              <w:right w:val="single" w:sz="4" w:space="0" w:color="auto"/>
            </w:tcBorders>
          </w:tcPr>
          <w:p w14:paraId="7B80150B" w14:textId="73FCB5DC" w:rsidR="007541D9" w:rsidRPr="009C5319" w:rsidRDefault="007541D9" w:rsidP="007541D9">
            <w:pPr>
              <w:keepNext/>
              <w:keepLines/>
              <w:ind w:firstLineChars="0" w:firstLine="0"/>
              <w:jc w:val="center"/>
              <w:rPr>
                <w:rFonts w:cs="Times New Roman"/>
                <w:color w:val="000000" w:themeColor="text1"/>
                <w:sz w:val="18"/>
                <w:szCs w:val="18"/>
              </w:rPr>
            </w:pPr>
            <w:r>
              <w:rPr>
                <w:rFonts w:cs="Times New Roman" w:hint="eastAsia"/>
                <w:color w:val="000000" w:themeColor="text1"/>
                <w:sz w:val="18"/>
                <w:szCs w:val="18"/>
              </w:rPr>
              <w:t>7435</w:t>
            </w:r>
          </w:p>
        </w:tc>
        <w:tc>
          <w:tcPr>
            <w:tcW w:w="0" w:type="auto"/>
            <w:tcBorders>
              <w:top w:val="single" w:sz="4" w:space="0" w:color="auto"/>
              <w:left w:val="single" w:sz="4" w:space="0" w:color="auto"/>
              <w:bottom w:val="nil"/>
              <w:right w:val="nil"/>
            </w:tcBorders>
          </w:tcPr>
          <w:p w14:paraId="7BB44CBD" w14:textId="1D9DD5C9" w:rsidR="007541D9" w:rsidRPr="009C5319" w:rsidRDefault="007541D9" w:rsidP="007541D9">
            <w:pPr>
              <w:keepNext/>
              <w:keepLines/>
              <w:ind w:firstLineChars="0" w:firstLine="0"/>
              <w:jc w:val="center"/>
              <w:rPr>
                <w:rFonts w:cs="Times New Roman"/>
                <w:sz w:val="18"/>
                <w:szCs w:val="18"/>
              </w:rPr>
            </w:pPr>
            <w:r>
              <w:rPr>
                <w:rFonts w:cs="Times New Roman" w:hint="eastAsia"/>
                <w:sz w:val="18"/>
                <w:szCs w:val="18"/>
              </w:rPr>
              <w:t>7412</w:t>
            </w:r>
          </w:p>
        </w:tc>
        <w:tc>
          <w:tcPr>
            <w:tcW w:w="0" w:type="auto"/>
            <w:tcBorders>
              <w:top w:val="single" w:sz="4" w:space="0" w:color="auto"/>
              <w:left w:val="single" w:sz="4" w:space="0" w:color="auto"/>
              <w:bottom w:val="nil"/>
              <w:right w:val="nil"/>
            </w:tcBorders>
          </w:tcPr>
          <w:p w14:paraId="396452AF" w14:textId="73D53009" w:rsidR="007541D9" w:rsidRPr="00E647E7" w:rsidRDefault="007541D9" w:rsidP="007541D9">
            <w:pPr>
              <w:keepNext/>
              <w:keepLines/>
              <w:ind w:firstLineChars="0" w:firstLine="0"/>
              <w:jc w:val="center"/>
              <w:rPr>
                <w:rFonts w:cs="Times New Roman"/>
                <w:sz w:val="18"/>
                <w:szCs w:val="18"/>
              </w:rPr>
            </w:pPr>
            <w:r w:rsidRPr="00E647E7">
              <w:rPr>
                <w:rFonts w:cs="Times New Roman" w:hint="eastAsia"/>
                <w:sz w:val="18"/>
                <w:szCs w:val="18"/>
              </w:rPr>
              <w:t>7827</w:t>
            </w:r>
          </w:p>
        </w:tc>
      </w:tr>
      <w:tr w:rsidR="007541D9" w:rsidRPr="00453233" w14:paraId="0582547C" w14:textId="58C4E91A" w:rsidTr="00F70C15">
        <w:trPr>
          <w:jc w:val="center"/>
        </w:trPr>
        <w:tc>
          <w:tcPr>
            <w:tcW w:w="0" w:type="auto"/>
            <w:tcBorders>
              <w:top w:val="nil"/>
              <w:left w:val="nil"/>
              <w:bottom w:val="single" w:sz="6" w:space="0" w:color="auto"/>
              <w:right w:val="single" w:sz="4" w:space="0" w:color="auto"/>
            </w:tcBorders>
            <w:vAlign w:val="center"/>
          </w:tcPr>
          <w:p w14:paraId="4B18EFBC" w14:textId="46EC2B5F" w:rsidR="007541D9" w:rsidRPr="004200C5" w:rsidRDefault="00DD3F0B" w:rsidP="004200C5">
            <w:pPr>
              <w:keepNext/>
              <w:keepLines/>
              <w:ind w:firstLineChars="119"/>
              <w:rPr>
                <w:rFonts w:cs="Times New Roman"/>
                <w:iCs/>
                <w:color w:val="000000" w:themeColor="text1"/>
                <w:sz w:val="18"/>
                <w:szCs w:val="18"/>
              </w:rPr>
            </w:pPr>
            <m:oMathPara>
              <m:oMathParaPr>
                <m:jc m:val="left"/>
              </m:oMathParaPr>
              <m:oMath>
                <m:r>
                  <m:rPr>
                    <m:sty m:val="p"/>
                  </m:rPr>
                  <w:rPr>
                    <w:rFonts w:ascii="Cambria Math" w:hAnsi="Cambria Math" w:cs="Times New Roman"/>
                    <w:color w:val="000000" w:themeColor="text1"/>
                    <w:sz w:val="18"/>
                    <w:szCs w:val="18"/>
                  </w:rPr>
                  <m:t>Adj.</m:t>
                </m:r>
                <m:sSup>
                  <m:sSupPr>
                    <m:ctrlPr>
                      <w:rPr>
                        <w:rFonts w:ascii="Cambria Math" w:hAnsi="Cambria Math" w:cs="Times New Roman"/>
                        <w:color w:val="000000" w:themeColor="text1"/>
                        <w:sz w:val="18"/>
                        <w:szCs w:val="18"/>
                      </w:rPr>
                    </m:ctrlPr>
                  </m:sSupPr>
                  <m:e>
                    <m:r>
                      <w:rPr>
                        <w:rFonts w:ascii="Cambria Math" w:hAnsi="Cambria Math" w:cs="Times New Roman"/>
                        <w:color w:val="000000" w:themeColor="text1"/>
                        <w:sz w:val="18"/>
                        <w:szCs w:val="18"/>
                      </w:rPr>
                      <m:t>R</m:t>
                    </m:r>
                  </m:e>
                  <m:sup>
                    <m:r>
                      <w:rPr>
                        <w:rFonts w:ascii="Cambria Math" w:hAnsi="Cambria Math" w:cs="Times New Roman"/>
                        <w:color w:val="000000" w:themeColor="text1"/>
                        <w:sz w:val="18"/>
                        <w:szCs w:val="18"/>
                      </w:rPr>
                      <m:t>2</m:t>
                    </m:r>
                  </m:sup>
                </m:sSup>
              </m:oMath>
            </m:oMathPara>
          </w:p>
        </w:tc>
        <w:tc>
          <w:tcPr>
            <w:tcW w:w="0" w:type="auto"/>
            <w:tcBorders>
              <w:top w:val="nil"/>
              <w:left w:val="single" w:sz="4" w:space="0" w:color="auto"/>
              <w:bottom w:val="single" w:sz="6" w:space="0" w:color="auto"/>
              <w:right w:val="single" w:sz="4" w:space="0" w:color="auto"/>
            </w:tcBorders>
          </w:tcPr>
          <w:p w14:paraId="16B1D1DF" w14:textId="62D725A5" w:rsidR="007541D9" w:rsidRPr="009C5319" w:rsidRDefault="007541D9" w:rsidP="007541D9">
            <w:pPr>
              <w:keepNext/>
              <w:keepLines/>
              <w:ind w:firstLineChars="0" w:firstLine="0"/>
              <w:jc w:val="center"/>
              <w:rPr>
                <w:rFonts w:cs="Times New Roman"/>
                <w:color w:val="000000" w:themeColor="text1"/>
                <w:sz w:val="18"/>
                <w:szCs w:val="18"/>
              </w:rPr>
            </w:pPr>
            <w:r w:rsidRPr="00E401C5">
              <w:rPr>
                <w:rFonts w:cs="Times New Roman"/>
                <w:color w:val="000000" w:themeColor="text1"/>
                <w:sz w:val="18"/>
                <w:szCs w:val="18"/>
              </w:rPr>
              <w:t>0.3547</w:t>
            </w:r>
          </w:p>
        </w:tc>
        <w:tc>
          <w:tcPr>
            <w:tcW w:w="0" w:type="auto"/>
            <w:tcBorders>
              <w:top w:val="nil"/>
              <w:left w:val="single" w:sz="4" w:space="0" w:color="auto"/>
              <w:bottom w:val="single" w:sz="6" w:space="0" w:color="auto"/>
              <w:right w:val="single" w:sz="4" w:space="0" w:color="auto"/>
            </w:tcBorders>
          </w:tcPr>
          <w:p w14:paraId="3ECD11EF" w14:textId="5C01AB9F" w:rsidR="007541D9" w:rsidRPr="009C5319" w:rsidRDefault="007541D9" w:rsidP="007541D9">
            <w:pPr>
              <w:keepNext/>
              <w:keepLines/>
              <w:ind w:firstLineChars="0" w:firstLine="0"/>
              <w:jc w:val="center"/>
              <w:rPr>
                <w:rFonts w:cs="Times New Roman"/>
                <w:color w:val="000000" w:themeColor="text1"/>
                <w:sz w:val="18"/>
                <w:szCs w:val="18"/>
              </w:rPr>
            </w:pPr>
            <w:r w:rsidRPr="005311BD">
              <w:rPr>
                <w:rFonts w:cs="Times New Roman"/>
                <w:color w:val="000000" w:themeColor="text1"/>
                <w:sz w:val="18"/>
                <w:szCs w:val="18"/>
              </w:rPr>
              <w:t>0.3562</w:t>
            </w:r>
          </w:p>
        </w:tc>
        <w:tc>
          <w:tcPr>
            <w:tcW w:w="0" w:type="auto"/>
            <w:tcBorders>
              <w:top w:val="nil"/>
              <w:left w:val="single" w:sz="4" w:space="0" w:color="auto"/>
              <w:bottom w:val="single" w:sz="6" w:space="0" w:color="auto"/>
              <w:right w:val="nil"/>
            </w:tcBorders>
          </w:tcPr>
          <w:p w14:paraId="5C35C0F5" w14:textId="764006CA" w:rsidR="007541D9" w:rsidRPr="005311BD" w:rsidRDefault="007541D9" w:rsidP="007541D9">
            <w:pPr>
              <w:keepNext/>
              <w:keepLines/>
              <w:ind w:firstLineChars="0" w:firstLine="0"/>
              <w:jc w:val="center"/>
              <w:rPr>
                <w:rFonts w:cs="Times New Roman"/>
                <w:color w:val="000000" w:themeColor="text1"/>
                <w:sz w:val="18"/>
                <w:szCs w:val="18"/>
              </w:rPr>
            </w:pPr>
            <w:r w:rsidRPr="005311BD">
              <w:rPr>
                <w:rFonts w:cs="Times New Roman"/>
                <w:color w:val="000000" w:themeColor="text1"/>
                <w:sz w:val="18"/>
                <w:szCs w:val="18"/>
              </w:rPr>
              <w:t>0.3626</w:t>
            </w:r>
          </w:p>
        </w:tc>
        <w:tc>
          <w:tcPr>
            <w:tcW w:w="0" w:type="auto"/>
            <w:tcBorders>
              <w:top w:val="nil"/>
              <w:left w:val="single" w:sz="4" w:space="0" w:color="auto"/>
              <w:bottom w:val="single" w:sz="6" w:space="0" w:color="auto"/>
              <w:right w:val="nil"/>
            </w:tcBorders>
          </w:tcPr>
          <w:p w14:paraId="152F6902" w14:textId="338404FD" w:rsidR="007541D9" w:rsidRPr="00E647E7" w:rsidRDefault="007541D9" w:rsidP="007541D9">
            <w:pPr>
              <w:keepNext/>
              <w:keepLines/>
              <w:ind w:firstLineChars="0" w:firstLine="0"/>
              <w:jc w:val="center"/>
              <w:rPr>
                <w:rFonts w:cs="Times New Roman"/>
                <w:sz w:val="18"/>
                <w:szCs w:val="18"/>
              </w:rPr>
            </w:pPr>
            <w:r w:rsidRPr="00E647E7">
              <w:rPr>
                <w:rFonts w:cs="Times New Roman"/>
                <w:sz w:val="18"/>
                <w:szCs w:val="18"/>
              </w:rPr>
              <w:t>0.3548</w:t>
            </w:r>
          </w:p>
        </w:tc>
      </w:tr>
      <w:bookmarkEnd w:id="0"/>
    </w:tbl>
    <w:p w14:paraId="376486EF" w14:textId="619B4E40" w:rsidR="00BE2899" w:rsidRDefault="00BE2899" w:rsidP="00A06A6B">
      <w:pPr>
        <w:ind w:firstLine="396"/>
        <w:jc w:val="center"/>
      </w:pPr>
    </w:p>
    <w:p w14:paraId="331256DE" w14:textId="4618DCCB" w:rsidR="007B45B6" w:rsidRDefault="00BE2899" w:rsidP="00BE2899">
      <w:pPr>
        <w:widowControl/>
        <w:ind w:firstLineChars="0" w:firstLine="0"/>
        <w:jc w:val="left"/>
      </w:pPr>
      <w:r>
        <w:br w:type="page"/>
      </w:r>
    </w:p>
    <w:p w14:paraId="65432117" w14:textId="4F958D8F" w:rsidR="00A06A6B" w:rsidRPr="00A06A6B" w:rsidRDefault="00F51BE8" w:rsidP="00A06A6B">
      <w:pPr>
        <w:ind w:firstLine="396"/>
        <w:jc w:val="center"/>
        <w:rPr>
          <w:szCs w:val="21"/>
        </w:rPr>
      </w:pPr>
      <w:r>
        <w:rPr>
          <w:szCs w:val="21"/>
        </w:rPr>
        <w:lastRenderedPageBreak/>
        <w:t>〔</w:t>
      </w:r>
      <w:r>
        <w:rPr>
          <w:rFonts w:hint="eastAsia"/>
          <w:b/>
          <w:szCs w:val="21"/>
        </w:rPr>
        <w:t>参考文献</w:t>
      </w:r>
      <w:r>
        <w:rPr>
          <w:szCs w:val="21"/>
        </w:rPr>
        <w:t>〕</w:t>
      </w:r>
    </w:p>
    <w:p w14:paraId="66308040" w14:textId="6824EC87" w:rsidR="00A06A6B" w:rsidRPr="004A6D61" w:rsidRDefault="00A06A6B" w:rsidP="00A06A6B">
      <w:pPr>
        <w:autoSpaceDE w:val="0"/>
        <w:autoSpaceDN w:val="0"/>
        <w:adjustRightInd w:val="0"/>
        <w:ind w:left="262" w:hangingChars="156" w:hanging="262"/>
        <w:rPr>
          <w:rFonts w:cs="Times New Roman"/>
          <w:kern w:val="0"/>
          <w:sz w:val="18"/>
          <w:szCs w:val="18"/>
        </w:rPr>
      </w:pPr>
      <w:r w:rsidRPr="004A6D61">
        <w:rPr>
          <w:rFonts w:cs="Times New Roman"/>
          <w:kern w:val="0"/>
          <w:sz w:val="18"/>
          <w:szCs w:val="18"/>
        </w:rPr>
        <w:t>[</w:t>
      </w:r>
      <w:r w:rsidR="004A6D61" w:rsidRPr="004A6D61">
        <w:rPr>
          <w:rFonts w:cs="Times New Roman" w:hint="eastAsia"/>
          <w:kern w:val="0"/>
          <w:sz w:val="18"/>
          <w:szCs w:val="18"/>
        </w:rPr>
        <w:t>1</w:t>
      </w:r>
      <w:r w:rsidRPr="004A6D61">
        <w:rPr>
          <w:rFonts w:cs="Times New Roman"/>
          <w:kern w:val="0"/>
          <w:sz w:val="18"/>
          <w:szCs w:val="18"/>
        </w:rPr>
        <w:t>]</w:t>
      </w:r>
      <w:r w:rsidRPr="004A6D61">
        <w:rPr>
          <w:rFonts w:cs="Times New Roman"/>
          <w:kern w:val="0"/>
          <w:sz w:val="18"/>
          <w:szCs w:val="18"/>
        </w:rPr>
        <w:t>范剑勇</w:t>
      </w:r>
      <w:r w:rsidRPr="004A6D61">
        <w:rPr>
          <w:rFonts w:cs="Times New Roman"/>
          <w:kern w:val="0"/>
          <w:sz w:val="18"/>
          <w:szCs w:val="18"/>
        </w:rPr>
        <w:t>.</w:t>
      </w:r>
      <w:r w:rsidR="001E3457" w:rsidRPr="004A6D61">
        <w:rPr>
          <w:rFonts w:cs="Times New Roman" w:hint="eastAsia"/>
          <w:kern w:val="0"/>
          <w:sz w:val="18"/>
          <w:szCs w:val="18"/>
        </w:rPr>
        <w:t xml:space="preserve"> </w:t>
      </w:r>
      <w:r w:rsidRPr="004A6D61">
        <w:rPr>
          <w:rFonts w:cs="Times New Roman"/>
          <w:kern w:val="0"/>
          <w:sz w:val="18"/>
          <w:szCs w:val="18"/>
        </w:rPr>
        <w:t>市场一体化、地区专业化与产业集聚趋势</w:t>
      </w:r>
      <w:r w:rsidRPr="004A6D61">
        <w:rPr>
          <w:rFonts w:cs="Times New Roman"/>
          <w:kern w:val="0"/>
          <w:sz w:val="18"/>
          <w:szCs w:val="18"/>
        </w:rPr>
        <w:t>——</w:t>
      </w:r>
      <w:r w:rsidRPr="004A6D61">
        <w:rPr>
          <w:rFonts w:cs="Times New Roman"/>
          <w:kern w:val="0"/>
          <w:sz w:val="18"/>
          <w:szCs w:val="18"/>
        </w:rPr>
        <w:t>兼谈对地区差距的影响</w:t>
      </w:r>
      <w:r w:rsidRPr="004A6D61">
        <w:rPr>
          <w:rFonts w:cs="Times New Roman"/>
          <w:kern w:val="0"/>
          <w:sz w:val="18"/>
          <w:szCs w:val="18"/>
        </w:rPr>
        <w:t xml:space="preserve">[J]. </w:t>
      </w:r>
      <w:r w:rsidRPr="004A6D61">
        <w:rPr>
          <w:rFonts w:cs="Times New Roman"/>
          <w:kern w:val="0"/>
          <w:sz w:val="18"/>
          <w:szCs w:val="18"/>
        </w:rPr>
        <w:t>中国社会科学，</w:t>
      </w:r>
      <w:r w:rsidRPr="004A6D61">
        <w:rPr>
          <w:rFonts w:cs="Times New Roman"/>
          <w:kern w:val="0"/>
          <w:sz w:val="18"/>
          <w:szCs w:val="18"/>
        </w:rPr>
        <w:t>2004</w:t>
      </w:r>
      <w:r w:rsidRPr="004A6D61">
        <w:rPr>
          <w:rFonts w:cs="Times New Roman"/>
          <w:kern w:val="0"/>
          <w:sz w:val="18"/>
          <w:szCs w:val="18"/>
        </w:rPr>
        <w:t>，（</w:t>
      </w:r>
      <w:r w:rsidRPr="004A6D61">
        <w:rPr>
          <w:rFonts w:cs="Times New Roman"/>
          <w:kern w:val="0"/>
          <w:sz w:val="18"/>
          <w:szCs w:val="18"/>
        </w:rPr>
        <w:t>6</w:t>
      </w:r>
      <w:r w:rsidRPr="004A6D61">
        <w:rPr>
          <w:rFonts w:cs="Times New Roman"/>
          <w:kern w:val="0"/>
          <w:sz w:val="18"/>
          <w:szCs w:val="18"/>
        </w:rPr>
        <w:t>）：</w:t>
      </w:r>
      <w:r w:rsidRPr="004A6D61">
        <w:rPr>
          <w:rFonts w:cs="Times New Roman"/>
          <w:kern w:val="0"/>
          <w:sz w:val="18"/>
          <w:szCs w:val="18"/>
        </w:rPr>
        <w:t>39-51.</w:t>
      </w:r>
    </w:p>
    <w:p w14:paraId="00B1E54E" w14:textId="72115031" w:rsidR="00A06A6B" w:rsidRPr="004A6D61" w:rsidRDefault="00A06A6B" w:rsidP="00A06A6B">
      <w:pPr>
        <w:autoSpaceDE w:val="0"/>
        <w:autoSpaceDN w:val="0"/>
        <w:adjustRightInd w:val="0"/>
        <w:ind w:left="262" w:hangingChars="156" w:hanging="262"/>
        <w:rPr>
          <w:rFonts w:cs="Times New Roman"/>
          <w:kern w:val="0"/>
          <w:sz w:val="18"/>
          <w:szCs w:val="18"/>
        </w:rPr>
      </w:pPr>
      <w:bookmarkStart w:id="1" w:name="_Hlk177149116"/>
      <w:r w:rsidRPr="004A6D61">
        <w:rPr>
          <w:rFonts w:cs="Times New Roman"/>
          <w:kern w:val="0"/>
          <w:sz w:val="18"/>
          <w:szCs w:val="18"/>
        </w:rPr>
        <w:t>[</w:t>
      </w:r>
      <w:bookmarkStart w:id="2" w:name="_neb5D6C5673_DCD6_4269_AB1F_4FDCE1B8E3A7"/>
      <w:r w:rsidR="004A6D61">
        <w:rPr>
          <w:rFonts w:cs="Times New Roman" w:hint="eastAsia"/>
          <w:kern w:val="0"/>
          <w:sz w:val="18"/>
          <w:szCs w:val="18"/>
        </w:rPr>
        <w:t>2</w:t>
      </w:r>
      <w:r w:rsidRPr="004A6D61">
        <w:rPr>
          <w:rFonts w:cs="Times New Roman"/>
          <w:kern w:val="0"/>
          <w:sz w:val="18"/>
          <w:szCs w:val="18"/>
        </w:rPr>
        <w:t>]</w:t>
      </w:r>
      <w:r w:rsidRPr="004A6D61">
        <w:rPr>
          <w:rFonts w:cs="Times New Roman"/>
          <w:kern w:val="0"/>
          <w:sz w:val="18"/>
          <w:szCs w:val="18"/>
        </w:rPr>
        <w:t>方锦程，刘颖，高昊宇，董纪昌，吕本富</w:t>
      </w:r>
      <w:r w:rsidRPr="004A6D61">
        <w:rPr>
          <w:rFonts w:cs="Times New Roman"/>
          <w:kern w:val="0"/>
          <w:sz w:val="18"/>
          <w:szCs w:val="18"/>
        </w:rPr>
        <w:t xml:space="preserve">. </w:t>
      </w:r>
      <w:r w:rsidRPr="004A6D61">
        <w:rPr>
          <w:rFonts w:cs="Times New Roman"/>
          <w:kern w:val="0"/>
          <w:sz w:val="18"/>
          <w:szCs w:val="18"/>
        </w:rPr>
        <w:t>公共数据开放能否促进区域协调发展？</w:t>
      </w:r>
      <w:r w:rsidRPr="004A6D61">
        <w:rPr>
          <w:rFonts w:cs="Times New Roman"/>
          <w:kern w:val="0"/>
          <w:sz w:val="18"/>
          <w:szCs w:val="18"/>
        </w:rPr>
        <w:t>——</w:t>
      </w:r>
      <w:r w:rsidRPr="004A6D61">
        <w:rPr>
          <w:rFonts w:cs="Times New Roman"/>
          <w:kern w:val="0"/>
          <w:sz w:val="18"/>
          <w:szCs w:val="18"/>
        </w:rPr>
        <w:t>来自政府数据平台上线的准自然实验</w:t>
      </w:r>
      <w:r w:rsidRPr="004A6D61">
        <w:rPr>
          <w:rFonts w:cs="Times New Roman"/>
          <w:kern w:val="0"/>
          <w:sz w:val="18"/>
          <w:szCs w:val="18"/>
        </w:rPr>
        <w:t xml:space="preserve">[J]. </w:t>
      </w:r>
      <w:r w:rsidRPr="004A6D61">
        <w:rPr>
          <w:rFonts w:cs="Times New Roman"/>
          <w:kern w:val="0"/>
          <w:sz w:val="18"/>
          <w:szCs w:val="18"/>
        </w:rPr>
        <w:t>管理世界，</w:t>
      </w:r>
      <w:r w:rsidRPr="004A6D61">
        <w:rPr>
          <w:rFonts w:cs="Times New Roman"/>
          <w:kern w:val="0"/>
          <w:sz w:val="18"/>
          <w:szCs w:val="18"/>
        </w:rPr>
        <w:t>2023</w:t>
      </w:r>
      <w:r w:rsidRPr="004A6D61">
        <w:rPr>
          <w:rFonts w:cs="Times New Roman"/>
          <w:kern w:val="0"/>
          <w:sz w:val="18"/>
          <w:szCs w:val="18"/>
        </w:rPr>
        <w:t>，（</w:t>
      </w:r>
      <w:r w:rsidRPr="004A6D61">
        <w:rPr>
          <w:rFonts w:cs="Times New Roman"/>
          <w:kern w:val="0"/>
          <w:sz w:val="18"/>
          <w:szCs w:val="18"/>
        </w:rPr>
        <w:t>9</w:t>
      </w:r>
      <w:r w:rsidRPr="004A6D61">
        <w:rPr>
          <w:rFonts w:cs="Times New Roman"/>
          <w:kern w:val="0"/>
          <w:sz w:val="18"/>
          <w:szCs w:val="18"/>
        </w:rPr>
        <w:t>）：</w:t>
      </w:r>
      <w:r w:rsidRPr="004A6D61">
        <w:rPr>
          <w:rFonts w:cs="Times New Roman"/>
          <w:kern w:val="0"/>
          <w:sz w:val="18"/>
          <w:szCs w:val="18"/>
        </w:rPr>
        <w:t>124-142.</w:t>
      </w:r>
      <w:bookmarkEnd w:id="1"/>
      <w:bookmarkEnd w:id="2"/>
    </w:p>
    <w:p w14:paraId="4B6D4E0E" w14:textId="7B2C2282" w:rsidR="00A06A6B" w:rsidRPr="004A6D61" w:rsidRDefault="00A06A6B" w:rsidP="00A06A6B">
      <w:pPr>
        <w:autoSpaceDE w:val="0"/>
        <w:autoSpaceDN w:val="0"/>
        <w:adjustRightInd w:val="0"/>
        <w:ind w:left="262" w:hangingChars="156" w:hanging="262"/>
        <w:rPr>
          <w:rFonts w:cs="Times New Roman"/>
          <w:kern w:val="0"/>
          <w:sz w:val="18"/>
          <w:szCs w:val="18"/>
        </w:rPr>
      </w:pPr>
      <w:r w:rsidRPr="004A6D61">
        <w:rPr>
          <w:rFonts w:cs="Times New Roman"/>
          <w:kern w:val="0"/>
          <w:sz w:val="18"/>
          <w:szCs w:val="18"/>
        </w:rPr>
        <w:t>[</w:t>
      </w:r>
      <w:bookmarkStart w:id="3" w:name="_nebE987411E_2715_4891_85CC_7E2EC5F770A3"/>
      <w:r w:rsidR="004A6D61">
        <w:rPr>
          <w:rFonts w:cs="Times New Roman" w:hint="eastAsia"/>
          <w:kern w:val="0"/>
          <w:sz w:val="18"/>
          <w:szCs w:val="18"/>
        </w:rPr>
        <w:t>3</w:t>
      </w:r>
      <w:r w:rsidRPr="004A6D61">
        <w:rPr>
          <w:rFonts w:cs="Times New Roman"/>
          <w:kern w:val="0"/>
          <w:sz w:val="18"/>
          <w:szCs w:val="18"/>
        </w:rPr>
        <w:t>]</w:t>
      </w:r>
      <w:r w:rsidRPr="004A6D61">
        <w:rPr>
          <w:rFonts w:cs="Times New Roman"/>
          <w:kern w:val="0"/>
          <w:sz w:val="18"/>
          <w:szCs w:val="18"/>
        </w:rPr>
        <w:t>房超，沈雨婷</w:t>
      </w:r>
      <w:r w:rsidRPr="004A6D61">
        <w:rPr>
          <w:rFonts w:cs="Times New Roman"/>
          <w:kern w:val="0"/>
          <w:sz w:val="18"/>
          <w:szCs w:val="18"/>
        </w:rPr>
        <w:t xml:space="preserve">. </w:t>
      </w:r>
      <w:r w:rsidRPr="004A6D61">
        <w:rPr>
          <w:rFonts w:cs="Times New Roman"/>
          <w:kern w:val="0"/>
          <w:sz w:val="18"/>
          <w:szCs w:val="18"/>
        </w:rPr>
        <w:t>数据跨境流动能否抑制国际贸易逃税</w:t>
      </w:r>
      <w:r w:rsidRPr="004A6D61">
        <w:rPr>
          <w:rFonts w:cs="Times New Roman"/>
          <w:kern w:val="0"/>
          <w:sz w:val="18"/>
          <w:szCs w:val="18"/>
        </w:rPr>
        <w:t>——</w:t>
      </w:r>
      <w:r w:rsidRPr="004A6D61">
        <w:rPr>
          <w:rFonts w:cs="Times New Roman"/>
          <w:kern w:val="0"/>
          <w:sz w:val="18"/>
          <w:szCs w:val="18"/>
        </w:rPr>
        <w:t>来自海关信息交换的证据</w:t>
      </w:r>
      <w:r w:rsidRPr="004A6D61">
        <w:rPr>
          <w:rFonts w:cs="Times New Roman"/>
          <w:kern w:val="0"/>
          <w:sz w:val="18"/>
          <w:szCs w:val="18"/>
        </w:rPr>
        <w:t xml:space="preserve">[J]. </w:t>
      </w:r>
      <w:r w:rsidRPr="004A6D61">
        <w:rPr>
          <w:rFonts w:cs="Times New Roman"/>
          <w:kern w:val="0"/>
          <w:sz w:val="18"/>
          <w:szCs w:val="18"/>
        </w:rPr>
        <w:t>数量经济技术经济研究，</w:t>
      </w:r>
      <w:r w:rsidRPr="004A6D61">
        <w:rPr>
          <w:rFonts w:cs="Times New Roman"/>
          <w:kern w:val="0"/>
          <w:sz w:val="18"/>
          <w:szCs w:val="18"/>
        </w:rPr>
        <w:t>2024</w:t>
      </w:r>
      <w:r w:rsidRPr="004A6D61">
        <w:rPr>
          <w:rFonts w:cs="Times New Roman"/>
          <w:kern w:val="0"/>
          <w:sz w:val="18"/>
          <w:szCs w:val="18"/>
        </w:rPr>
        <w:t>，（</w:t>
      </w:r>
      <w:r w:rsidRPr="004A6D61">
        <w:rPr>
          <w:rFonts w:cs="Times New Roman"/>
          <w:kern w:val="0"/>
          <w:sz w:val="18"/>
          <w:szCs w:val="18"/>
        </w:rPr>
        <w:t>3</w:t>
      </w:r>
      <w:r w:rsidRPr="004A6D61">
        <w:rPr>
          <w:rFonts w:cs="Times New Roman"/>
          <w:kern w:val="0"/>
          <w:sz w:val="18"/>
          <w:szCs w:val="18"/>
        </w:rPr>
        <w:t>）：</w:t>
      </w:r>
      <w:r w:rsidRPr="004A6D61">
        <w:rPr>
          <w:rFonts w:cs="Times New Roman"/>
          <w:kern w:val="0"/>
          <w:sz w:val="18"/>
          <w:szCs w:val="18"/>
        </w:rPr>
        <w:t>89-111.</w:t>
      </w:r>
      <w:bookmarkEnd w:id="3"/>
    </w:p>
    <w:p w14:paraId="468E3F27" w14:textId="6F741F92" w:rsidR="00A06A6B" w:rsidRPr="004A6D61" w:rsidRDefault="00A06A6B" w:rsidP="00A06A6B">
      <w:pPr>
        <w:autoSpaceDE w:val="0"/>
        <w:autoSpaceDN w:val="0"/>
        <w:adjustRightInd w:val="0"/>
        <w:ind w:left="262" w:hangingChars="156" w:hanging="262"/>
        <w:rPr>
          <w:rFonts w:cs="Times New Roman"/>
          <w:kern w:val="0"/>
          <w:sz w:val="18"/>
          <w:szCs w:val="18"/>
        </w:rPr>
      </w:pPr>
      <w:r w:rsidRPr="004A6D61">
        <w:rPr>
          <w:rFonts w:cs="Times New Roman"/>
          <w:kern w:val="0"/>
          <w:sz w:val="18"/>
          <w:szCs w:val="18"/>
        </w:rPr>
        <w:t>[</w:t>
      </w:r>
      <w:bookmarkStart w:id="4" w:name="_neb2427F51C_379F_4DE8_B1B5_74457015AB9D"/>
      <w:r w:rsidR="004A6D61">
        <w:rPr>
          <w:rFonts w:cs="Times New Roman" w:hint="eastAsia"/>
          <w:kern w:val="0"/>
          <w:sz w:val="18"/>
          <w:szCs w:val="18"/>
        </w:rPr>
        <w:t>4</w:t>
      </w:r>
      <w:r w:rsidRPr="004A6D61">
        <w:rPr>
          <w:rFonts w:cs="Times New Roman"/>
          <w:kern w:val="0"/>
          <w:sz w:val="18"/>
          <w:szCs w:val="18"/>
        </w:rPr>
        <w:t>]</w:t>
      </w:r>
      <w:r w:rsidRPr="004A6D61">
        <w:rPr>
          <w:rFonts w:cs="Times New Roman"/>
          <w:kern w:val="0"/>
          <w:sz w:val="18"/>
          <w:szCs w:val="18"/>
        </w:rPr>
        <w:t>焦豪，崔瑜，张亚敏</w:t>
      </w:r>
      <w:r w:rsidRPr="004A6D61">
        <w:rPr>
          <w:rFonts w:cs="Times New Roman"/>
          <w:kern w:val="0"/>
          <w:sz w:val="18"/>
          <w:szCs w:val="18"/>
        </w:rPr>
        <w:t xml:space="preserve">. </w:t>
      </w:r>
      <w:r w:rsidRPr="004A6D61">
        <w:rPr>
          <w:rFonts w:cs="Times New Roman"/>
          <w:kern w:val="0"/>
          <w:sz w:val="18"/>
          <w:szCs w:val="18"/>
        </w:rPr>
        <w:t>数字基础设施建设与城市高技能创业人才吸引</w:t>
      </w:r>
      <w:r w:rsidRPr="004A6D61">
        <w:rPr>
          <w:rFonts w:cs="Times New Roman"/>
          <w:kern w:val="0"/>
          <w:sz w:val="18"/>
          <w:szCs w:val="18"/>
        </w:rPr>
        <w:t xml:space="preserve">[J]. </w:t>
      </w:r>
      <w:r w:rsidRPr="004A6D61">
        <w:rPr>
          <w:rFonts w:cs="Times New Roman"/>
          <w:kern w:val="0"/>
          <w:sz w:val="18"/>
          <w:szCs w:val="18"/>
        </w:rPr>
        <w:t>经济研究，</w:t>
      </w:r>
      <w:r w:rsidRPr="004A6D61">
        <w:rPr>
          <w:rFonts w:cs="Times New Roman"/>
          <w:kern w:val="0"/>
          <w:sz w:val="18"/>
          <w:szCs w:val="18"/>
        </w:rPr>
        <w:t>2023</w:t>
      </w:r>
      <w:r w:rsidRPr="004A6D61">
        <w:rPr>
          <w:rFonts w:cs="Times New Roman"/>
          <w:kern w:val="0"/>
          <w:sz w:val="18"/>
          <w:szCs w:val="18"/>
        </w:rPr>
        <w:t>，（</w:t>
      </w:r>
      <w:r w:rsidRPr="004A6D61">
        <w:rPr>
          <w:rFonts w:cs="Times New Roman"/>
          <w:kern w:val="0"/>
          <w:sz w:val="18"/>
          <w:szCs w:val="18"/>
        </w:rPr>
        <w:t>12</w:t>
      </w:r>
      <w:r w:rsidRPr="004A6D61">
        <w:rPr>
          <w:rFonts w:cs="Times New Roman"/>
          <w:kern w:val="0"/>
          <w:sz w:val="18"/>
          <w:szCs w:val="18"/>
        </w:rPr>
        <w:t>）：</w:t>
      </w:r>
      <w:r w:rsidRPr="004A6D61">
        <w:rPr>
          <w:rFonts w:cs="Times New Roman"/>
          <w:kern w:val="0"/>
          <w:sz w:val="18"/>
          <w:szCs w:val="18"/>
        </w:rPr>
        <w:t>150-166.</w:t>
      </w:r>
      <w:bookmarkEnd w:id="4"/>
    </w:p>
    <w:p w14:paraId="71A981F7" w14:textId="02904C57" w:rsidR="00A06A6B" w:rsidRPr="004A6D61" w:rsidRDefault="00A06A6B" w:rsidP="00A06A6B">
      <w:pPr>
        <w:autoSpaceDE w:val="0"/>
        <w:autoSpaceDN w:val="0"/>
        <w:adjustRightInd w:val="0"/>
        <w:ind w:left="262" w:hangingChars="156" w:hanging="262"/>
        <w:rPr>
          <w:rFonts w:cs="Times New Roman"/>
          <w:kern w:val="0"/>
          <w:sz w:val="18"/>
          <w:szCs w:val="18"/>
        </w:rPr>
      </w:pPr>
      <w:r w:rsidRPr="004A6D61">
        <w:rPr>
          <w:rFonts w:cs="Times New Roman"/>
          <w:kern w:val="0"/>
          <w:sz w:val="18"/>
          <w:szCs w:val="18"/>
        </w:rPr>
        <w:t>[</w:t>
      </w:r>
      <w:bookmarkStart w:id="5" w:name="_neb6B3B6EF3_0C32_4108_8E64_6CB914923EFD"/>
      <w:r w:rsidR="004A6D61">
        <w:rPr>
          <w:rFonts w:cs="Times New Roman" w:hint="eastAsia"/>
          <w:kern w:val="0"/>
          <w:sz w:val="18"/>
          <w:szCs w:val="18"/>
        </w:rPr>
        <w:t>5</w:t>
      </w:r>
      <w:r w:rsidRPr="004A6D61">
        <w:rPr>
          <w:rFonts w:cs="Times New Roman"/>
          <w:kern w:val="0"/>
          <w:sz w:val="18"/>
          <w:szCs w:val="18"/>
        </w:rPr>
        <w:t>]</w:t>
      </w:r>
      <w:r w:rsidRPr="004A6D61">
        <w:rPr>
          <w:rFonts w:cs="Times New Roman"/>
          <w:kern w:val="0"/>
          <w:sz w:val="18"/>
          <w:szCs w:val="18"/>
        </w:rPr>
        <w:t>宋小宁，曹慧娟，</w:t>
      </w:r>
      <w:proofErr w:type="gramStart"/>
      <w:r w:rsidRPr="004A6D61">
        <w:rPr>
          <w:rFonts w:cs="Times New Roman"/>
          <w:kern w:val="0"/>
          <w:sz w:val="18"/>
          <w:szCs w:val="18"/>
        </w:rPr>
        <w:t>刘梦宁</w:t>
      </w:r>
      <w:proofErr w:type="gramEnd"/>
      <w:r w:rsidRPr="004A6D61">
        <w:rPr>
          <w:rFonts w:cs="Times New Roman"/>
          <w:kern w:val="0"/>
          <w:sz w:val="18"/>
          <w:szCs w:val="18"/>
        </w:rPr>
        <w:t xml:space="preserve">. </w:t>
      </w:r>
      <w:r w:rsidRPr="004A6D61">
        <w:rPr>
          <w:rFonts w:cs="Times New Roman"/>
          <w:kern w:val="0"/>
          <w:sz w:val="18"/>
          <w:szCs w:val="18"/>
        </w:rPr>
        <w:t>都市圈协同发展与企业异地投资：比较优势视角</w:t>
      </w:r>
      <w:r w:rsidRPr="004A6D61">
        <w:rPr>
          <w:rFonts w:cs="Times New Roman"/>
          <w:kern w:val="0"/>
          <w:sz w:val="18"/>
          <w:szCs w:val="18"/>
        </w:rPr>
        <w:t xml:space="preserve">[J]. </w:t>
      </w:r>
      <w:r w:rsidRPr="004A6D61">
        <w:rPr>
          <w:rFonts w:cs="Times New Roman"/>
          <w:kern w:val="0"/>
          <w:sz w:val="18"/>
          <w:szCs w:val="18"/>
        </w:rPr>
        <w:t>统计研究，</w:t>
      </w:r>
      <w:r w:rsidRPr="004A6D61">
        <w:rPr>
          <w:rFonts w:cs="Times New Roman"/>
          <w:kern w:val="0"/>
          <w:sz w:val="18"/>
          <w:szCs w:val="18"/>
        </w:rPr>
        <w:t>2023</w:t>
      </w:r>
      <w:r w:rsidRPr="004A6D61">
        <w:rPr>
          <w:rFonts w:cs="Times New Roman"/>
          <w:kern w:val="0"/>
          <w:sz w:val="18"/>
          <w:szCs w:val="18"/>
        </w:rPr>
        <w:t>，（</w:t>
      </w:r>
      <w:r w:rsidRPr="004A6D61">
        <w:rPr>
          <w:rFonts w:cs="Times New Roman"/>
          <w:kern w:val="0"/>
          <w:sz w:val="18"/>
          <w:szCs w:val="18"/>
        </w:rPr>
        <w:t>8</w:t>
      </w:r>
      <w:r w:rsidRPr="004A6D61">
        <w:rPr>
          <w:rFonts w:cs="Times New Roman"/>
          <w:kern w:val="0"/>
          <w:sz w:val="18"/>
          <w:szCs w:val="18"/>
        </w:rPr>
        <w:t>）：</w:t>
      </w:r>
      <w:r w:rsidRPr="004A6D61">
        <w:rPr>
          <w:rFonts w:cs="Times New Roman"/>
          <w:kern w:val="0"/>
          <w:sz w:val="18"/>
          <w:szCs w:val="18"/>
        </w:rPr>
        <w:t>86-95.</w:t>
      </w:r>
      <w:bookmarkEnd w:id="5"/>
    </w:p>
    <w:p w14:paraId="52BE82B7" w14:textId="04FEEAE2" w:rsidR="00A06A6B" w:rsidRPr="004A6D61" w:rsidRDefault="00A06A6B" w:rsidP="00A06A6B">
      <w:pPr>
        <w:autoSpaceDE w:val="0"/>
        <w:autoSpaceDN w:val="0"/>
        <w:adjustRightInd w:val="0"/>
        <w:ind w:left="262" w:hangingChars="156" w:hanging="262"/>
        <w:rPr>
          <w:rFonts w:cs="Times New Roman"/>
          <w:kern w:val="0"/>
          <w:sz w:val="18"/>
          <w:szCs w:val="18"/>
        </w:rPr>
      </w:pPr>
      <w:r w:rsidRPr="004A6D61">
        <w:rPr>
          <w:rFonts w:cs="Times New Roman"/>
          <w:kern w:val="0"/>
          <w:sz w:val="18"/>
          <w:szCs w:val="18"/>
        </w:rPr>
        <w:t>[</w:t>
      </w:r>
      <w:r w:rsidR="004A6D61">
        <w:rPr>
          <w:rFonts w:cs="Times New Roman" w:hint="eastAsia"/>
          <w:kern w:val="0"/>
          <w:sz w:val="18"/>
          <w:szCs w:val="18"/>
        </w:rPr>
        <w:t>6</w:t>
      </w:r>
      <w:r w:rsidRPr="004A6D61">
        <w:rPr>
          <w:rFonts w:cs="Times New Roman"/>
          <w:kern w:val="0"/>
          <w:sz w:val="18"/>
          <w:szCs w:val="18"/>
        </w:rPr>
        <w:t>]</w:t>
      </w:r>
      <w:r w:rsidRPr="004A6D61">
        <w:rPr>
          <w:rFonts w:cs="Times New Roman"/>
          <w:kern w:val="0"/>
          <w:sz w:val="18"/>
          <w:szCs w:val="18"/>
        </w:rPr>
        <w:t>宋小宁，曹慧娟，马光荣</w:t>
      </w:r>
      <w:r w:rsidRPr="004A6D61">
        <w:rPr>
          <w:rFonts w:cs="Times New Roman"/>
          <w:kern w:val="0"/>
          <w:sz w:val="18"/>
          <w:szCs w:val="18"/>
        </w:rPr>
        <w:t xml:space="preserve">. </w:t>
      </w:r>
      <w:r w:rsidRPr="004A6D61">
        <w:rPr>
          <w:rFonts w:cs="Times New Roman"/>
          <w:kern w:val="0"/>
          <w:sz w:val="18"/>
          <w:szCs w:val="18"/>
        </w:rPr>
        <w:t>国家巡回法庭与资本跨区流动：</w:t>
      </w:r>
      <w:proofErr w:type="gramStart"/>
      <w:r w:rsidRPr="004A6D61">
        <w:rPr>
          <w:rFonts w:cs="Times New Roman"/>
          <w:kern w:val="0"/>
          <w:sz w:val="18"/>
          <w:szCs w:val="18"/>
        </w:rPr>
        <w:t>央地司法</w:t>
      </w:r>
      <w:proofErr w:type="gramEnd"/>
      <w:r w:rsidRPr="004A6D61">
        <w:rPr>
          <w:rFonts w:cs="Times New Roman"/>
          <w:kern w:val="0"/>
          <w:sz w:val="18"/>
          <w:szCs w:val="18"/>
        </w:rPr>
        <w:t>关系视角</w:t>
      </w:r>
      <w:r w:rsidRPr="004A6D61">
        <w:rPr>
          <w:rFonts w:cs="Times New Roman"/>
          <w:kern w:val="0"/>
          <w:sz w:val="18"/>
          <w:szCs w:val="18"/>
        </w:rPr>
        <w:t xml:space="preserve">[J]. </w:t>
      </w:r>
      <w:r w:rsidRPr="004A6D61">
        <w:rPr>
          <w:rFonts w:cs="Times New Roman"/>
          <w:kern w:val="0"/>
          <w:sz w:val="18"/>
          <w:szCs w:val="18"/>
        </w:rPr>
        <w:t>经济学（季刊），</w:t>
      </w:r>
      <w:r w:rsidRPr="004A6D61">
        <w:rPr>
          <w:rFonts w:cs="Times New Roman"/>
          <w:kern w:val="0"/>
          <w:sz w:val="18"/>
          <w:szCs w:val="18"/>
        </w:rPr>
        <w:t>2023</w:t>
      </w:r>
      <w:r w:rsidRPr="004A6D61">
        <w:rPr>
          <w:rFonts w:cs="Times New Roman"/>
          <w:kern w:val="0"/>
          <w:sz w:val="18"/>
          <w:szCs w:val="18"/>
        </w:rPr>
        <w:t>，（</w:t>
      </w:r>
      <w:r w:rsidRPr="004A6D61">
        <w:rPr>
          <w:rFonts w:cs="Times New Roman"/>
          <w:kern w:val="0"/>
          <w:sz w:val="18"/>
          <w:szCs w:val="18"/>
        </w:rPr>
        <w:t>5</w:t>
      </w:r>
      <w:r w:rsidRPr="004A6D61">
        <w:rPr>
          <w:rFonts w:cs="Times New Roman"/>
          <w:kern w:val="0"/>
          <w:sz w:val="18"/>
          <w:szCs w:val="18"/>
        </w:rPr>
        <w:t>）：</w:t>
      </w:r>
      <w:r w:rsidRPr="004A6D61">
        <w:rPr>
          <w:rFonts w:cs="Times New Roman"/>
          <w:kern w:val="0"/>
          <w:sz w:val="18"/>
          <w:szCs w:val="18"/>
        </w:rPr>
        <w:t>1793-1809.</w:t>
      </w:r>
    </w:p>
    <w:p w14:paraId="71C1E2BD" w14:textId="1BD14B8A" w:rsidR="00A06A6B" w:rsidRPr="004A6D61" w:rsidRDefault="00A06A6B" w:rsidP="00A06A6B">
      <w:pPr>
        <w:autoSpaceDE w:val="0"/>
        <w:autoSpaceDN w:val="0"/>
        <w:adjustRightInd w:val="0"/>
        <w:ind w:left="262" w:hangingChars="156" w:hanging="262"/>
        <w:rPr>
          <w:rFonts w:cs="Times New Roman"/>
          <w:kern w:val="0"/>
          <w:sz w:val="18"/>
          <w:szCs w:val="18"/>
        </w:rPr>
      </w:pPr>
      <w:r w:rsidRPr="004A6D61">
        <w:rPr>
          <w:rFonts w:cs="Times New Roman"/>
          <w:kern w:val="0"/>
          <w:sz w:val="18"/>
          <w:szCs w:val="18"/>
        </w:rPr>
        <w:t>[</w:t>
      </w:r>
      <w:bookmarkStart w:id="6" w:name="_nebEA6CEC9B_69A7_4A2E_95C3_5D1003164049"/>
      <w:r w:rsidR="004A6D61">
        <w:rPr>
          <w:rFonts w:cs="Times New Roman" w:hint="eastAsia"/>
          <w:kern w:val="0"/>
          <w:sz w:val="18"/>
          <w:szCs w:val="18"/>
        </w:rPr>
        <w:t>7</w:t>
      </w:r>
      <w:r w:rsidRPr="004A6D61">
        <w:rPr>
          <w:rFonts w:cs="Times New Roman"/>
          <w:kern w:val="0"/>
          <w:sz w:val="18"/>
          <w:szCs w:val="18"/>
        </w:rPr>
        <w:t>]</w:t>
      </w:r>
      <w:r w:rsidRPr="004A6D61">
        <w:rPr>
          <w:rFonts w:cs="Times New Roman"/>
          <w:kern w:val="0"/>
          <w:sz w:val="18"/>
          <w:szCs w:val="18"/>
        </w:rPr>
        <w:t>孙伟增，毛宁，兰峰，王立</w:t>
      </w:r>
      <w:r w:rsidRPr="004A6D61">
        <w:rPr>
          <w:rFonts w:cs="Times New Roman"/>
          <w:kern w:val="0"/>
          <w:sz w:val="18"/>
          <w:szCs w:val="18"/>
        </w:rPr>
        <w:t xml:space="preserve">. </w:t>
      </w:r>
      <w:r w:rsidRPr="004A6D61">
        <w:rPr>
          <w:rFonts w:cs="Times New Roman"/>
          <w:kern w:val="0"/>
          <w:sz w:val="18"/>
          <w:szCs w:val="18"/>
        </w:rPr>
        <w:t>政策赋能、数字生态与企业数字化转型</w:t>
      </w:r>
      <w:r w:rsidRPr="004A6D61">
        <w:rPr>
          <w:rFonts w:cs="Times New Roman"/>
          <w:kern w:val="0"/>
          <w:sz w:val="18"/>
          <w:szCs w:val="18"/>
        </w:rPr>
        <w:t>——</w:t>
      </w:r>
      <w:r w:rsidRPr="004A6D61">
        <w:rPr>
          <w:rFonts w:cs="Times New Roman"/>
          <w:kern w:val="0"/>
          <w:sz w:val="18"/>
          <w:szCs w:val="18"/>
        </w:rPr>
        <w:t>基于国家大数据综合试验区的准自然实验</w:t>
      </w:r>
      <w:r w:rsidRPr="004A6D61">
        <w:rPr>
          <w:rFonts w:cs="Times New Roman"/>
          <w:kern w:val="0"/>
          <w:sz w:val="18"/>
          <w:szCs w:val="18"/>
        </w:rPr>
        <w:t xml:space="preserve">[J]. </w:t>
      </w:r>
      <w:r w:rsidRPr="004A6D61">
        <w:rPr>
          <w:rFonts w:cs="Times New Roman"/>
          <w:kern w:val="0"/>
          <w:sz w:val="18"/>
          <w:szCs w:val="18"/>
        </w:rPr>
        <w:t>中国工业经济，</w:t>
      </w:r>
      <w:r w:rsidRPr="004A6D61">
        <w:rPr>
          <w:rFonts w:cs="Times New Roman"/>
          <w:kern w:val="0"/>
          <w:sz w:val="18"/>
          <w:szCs w:val="18"/>
        </w:rPr>
        <w:t>2023</w:t>
      </w:r>
      <w:r w:rsidRPr="004A6D61">
        <w:rPr>
          <w:rFonts w:cs="Times New Roman"/>
          <w:kern w:val="0"/>
          <w:sz w:val="18"/>
          <w:szCs w:val="18"/>
        </w:rPr>
        <w:t>，（</w:t>
      </w:r>
      <w:r w:rsidRPr="004A6D61">
        <w:rPr>
          <w:rFonts w:cs="Times New Roman"/>
          <w:kern w:val="0"/>
          <w:sz w:val="18"/>
          <w:szCs w:val="18"/>
        </w:rPr>
        <w:t>9</w:t>
      </w:r>
      <w:r w:rsidRPr="004A6D61">
        <w:rPr>
          <w:rFonts w:cs="Times New Roman"/>
          <w:kern w:val="0"/>
          <w:sz w:val="18"/>
          <w:szCs w:val="18"/>
        </w:rPr>
        <w:t>）：</w:t>
      </w:r>
      <w:r w:rsidRPr="004A6D61">
        <w:rPr>
          <w:rFonts w:cs="Times New Roman"/>
          <w:kern w:val="0"/>
          <w:sz w:val="18"/>
          <w:szCs w:val="18"/>
        </w:rPr>
        <w:t>117-135.</w:t>
      </w:r>
      <w:bookmarkEnd w:id="6"/>
    </w:p>
    <w:p w14:paraId="0D614FF0" w14:textId="3F11E7AB" w:rsidR="00A06A6B" w:rsidRPr="004A6D61" w:rsidRDefault="00A06A6B" w:rsidP="00A06A6B">
      <w:pPr>
        <w:autoSpaceDE w:val="0"/>
        <w:autoSpaceDN w:val="0"/>
        <w:adjustRightInd w:val="0"/>
        <w:ind w:left="262" w:hangingChars="156" w:hanging="262"/>
        <w:rPr>
          <w:rFonts w:cs="Times New Roman"/>
          <w:kern w:val="0"/>
          <w:sz w:val="18"/>
          <w:szCs w:val="18"/>
        </w:rPr>
      </w:pPr>
      <w:r w:rsidRPr="004A6D61">
        <w:rPr>
          <w:rFonts w:cs="Times New Roman"/>
          <w:kern w:val="0"/>
          <w:sz w:val="18"/>
          <w:szCs w:val="18"/>
        </w:rPr>
        <w:t>[</w:t>
      </w:r>
      <w:bookmarkStart w:id="7" w:name="_neb8E3F6ABD_7DEB_4446_B0B1_4557AFA37307"/>
      <w:r w:rsidR="004A6D61">
        <w:rPr>
          <w:rFonts w:cs="Times New Roman" w:hint="eastAsia"/>
          <w:kern w:val="0"/>
          <w:sz w:val="18"/>
          <w:szCs w:val="18"/>
        </w:rPr>
        <w:t>8</w:t>
      </w:r>
      <w:r w:rsidRPr="004A6D61">
        <w:rPr>
          <w:rFonts w:cs="Times New Roman"/>
          <w:kern w:val="0"/>
          <w:sz w:val="18"/>
          <w:szCs w:val="18"/>
        </w:rPr>
        <w:t>]</w:t>
      </w:r>
      <w:r w:rsidRPr="004A6D61">
        <w:rPr>
          <w:rFonts w:cs="Times New Roman"/>
          <w:kern w:val="0"/>
          <w:sz w:val="18"/>
          <w:szCs w:val="18"/>
        </w:rPr>
        <w:t>吴育辉，刘晓玲，吴</w:t>
      </w:r>
      <w:proofErr w:type="gramStart"/>
      <w:r w:rsidRPr="004A6D61">
        <w:rPr>
          <w:rFonts w:cs="Times New Roman"/>
          <w:kern w:val="0"/>
          <w:sz w:val="18"/>
          <w:szCs w:val="18"/>
        </w:rPr>
        <w:t>世</w:t>
      </w:r>
      <w:proofErr w:type="gramEnd"/>
      <w:r w:rsidRPr="004A6D61">
        <w:rPr>
          <w:rFonts w:cs="Times New Roman"/>
          <w:kern w:val="0"/>
          <w:sz w:val="18"/>
          <w:szCs w:val="18"/>
        </w:rPr>
        <w:t>农</w:t>
      </w:r>
      <w:r w:rsidRPr="004A6D61">
        <w:rPr>
          <w:rFonts w:cs="Times New Roman"/>
          <w:kern w:val="0"/>
          <w:sz w:val="18"/>
          <w:szCs w:val="18"/>
        </w:rPr>
        <w:t xml:space="preserve">. </w:t>
      </w:r>
      <w:r w:rsidRPr="004A6D61">
        <w:rPr>
          <w:rFonts w:cs="Times New Roman" w:hint="eastAsia"/>
          <w:bCs/>
          <w:sz w:val="18"/>
          <w:szCs w:val="18"/>
        </w:rPr>
        <w:t>“</w:t>
      </w:r>
      <w:r w:rsidRPr="004A6D61">
        <w:rPr>
          <w:rFonts w:cs="Times New Roman"/>
          <w:kern w:val="0"/>
          <w:sz w:val="18"/>
          <w:szCs w:val="18"/>
        </w:rPr>
        <w:t>一带一路</w:t>
      </w:r>
      <w:r w:rsidRPr="004A6D61">
        <w:rPr>
          <w:rFonts w:cs="Times New Roman" w:hint="eastAsia"/>
          <w:bCs/>
          <w:sz w:val="18"/>
          <w:szCs w:val="18"/>
        </w:rPr>
        <w:t>”</w:t>
      </w:r>
      <w:r w:rsidRPr="004A6D61">
        <w:rPr>
          <w:rFonts w:cs="Times New Roman"/>
          <w:kern w:val="0"/>
          <w:sz w:val="18"/>
          <w:szCs w:val="18"/>
        </w:rPr>
        <w:t>倡议与企业跨区域并购</w:t>
      </w:r>
      <w:r w:rsidRPr="004A6D61">
        <w:rPr>
          <w:rFonts w:cs="Times New Roman"/>
          <w:kern w:val="0"/>
          <w:sz w:val="18"/>
          <w:szCs w:val="18"/>
        </w:rPr>
        <w:t xml:space="preserve">[J]. </w:t>
      </w:r>
      <w:r w:rsidRPr="004A6D61">
        <w:rPr>
          <w:rFonts w:cs="Times New Roman"/>
          <w:kern w:val="0"/>
          <w:sz w:val="18"/>
          <w:szCs w:val="18"/>
        </w:rPr>
        <w:t>管理科学学报，</w:t>
      </w:r>
      <w:r w:rsidRPr="004A6D61">
        <w:rPr>
          <w:rFonts w:cs="Times New Roman"/>
          <w:kern w:val="0"/>
          <w:sz w:val="18"/>
          <w:szCs w:val="18"/>
        </w:rPr>
        <w:t>2023</w:t>
      </w:r>
      <w:r w:rsidRPr="004A6D61">
        <w:rPr>
          <w:rFonts w:cs="Times New Roman"/>
          <w:kern w:val="0"/>
          <w:sz w:val="18"/>
          <w:szCs w:val="18"/>
        </w:rPr>
        <w:t>，（</w:t>
      </w:r>
      <w:r w:rsidRPr="004A6D61">
        <w:rPr>
          <w:rFonts w:cs="Times New Roman"/>
          <w:kern w:val="0"/>
          <w:sz w:val="18"/>
          <w:szCs w:val="18"/>
        </w:rPr>
        <w:t>1</w:t>
      </w:r>
      <w:r w:rsidRPr="004A6D61">
        <w:rPr>
          <w:rFonts w:cs="Times New Roman"/>
          <w:kern w:val="0"/>
          <w:sz w:val="18"/>
          <w:szCs w:val="18"/>
        </w:rPr>
        <w:t>）：</w:t>
      </w:r>
      <w:r w:rsidRPr="004A6D61">
        <w:rPr>
          <w:rFonts w:cs="Times New Roman"/>
          <w:kern w:val="0"/>
          <w:sz w:val="18"/>
          <w:szCs w:val="18"/>
        </w:rPr>
        <w:t>55-82.</w:t>
      </w:r>
      <w:bookmarkEnd w:id="7"/>
    </w:p>
    <w:p w14:paraId="5E500599" w14:textId="4114A18F" w:rsidR="00A06A6B" w:rsidRPr="004A6D61" w:rsidRDefault="00A06A6B" w:rsidP="00A06A6B">
      <w:pPr>
        <w:autoSpaceDE w:val="0"/>
        <w:autoSpaceDN w:val="0"/>
        <w:adjustRightInd w:val="0"/>
        <w:ind w:left="262" w:hangingChars="156" w:hanging="262"/>
        <w:rPr>
          <w:rFonts w:cs="Times New Roman"/>
          <w:kern w:val="0"/>
          <w:sz w:val="18"/>
          <w:szCs w:val="18"/>
        </w:rPr>
      </w:pPr>
      <w:r w:rsidRPr="004A6D61">
        <w:rPr>
          <w:rFonts w:cs="Times New Roman"/>
          <w:kern w:val="0"/>
          <w:sz w:val="18"/>
          <w:szCs w:val="18"/>
        </w:rPr>
        <w:t>[</w:t>
      </w:r>
      <w:bookmarkStart w:id="8" w:name="_neb3B8E59FF_6DD0_46CD_AEAB_3C4FA5A16DA5"/>
      <w:r w:rsidR="004A6D61">
        <w:rPr>
          <w:rFonts w:cs="Times New Roman" w:hint="eastAsia"/>
          <w:kern w:val="0"/>
          <w:sz w:val="18"/>
          <w:szCs w:val="18"/>
        </w:rPr>
        <w:t>9</w:t>
      </w:r>
      <w:r w:rsidRPr="004A6D61">
        <w:rPr>
          <w:rFonts w:cs="Times New Roman"/>
          <w:kern w:val="0"/>
          <w:sz w:val="18"/>
          <w:szCs w:val="18"/>
        </w:rPr>
        <w:t>]</w:t>
      </w:r>
      <w:r w:rsidRPr="004A6D61">
        <w:rPr>
          <w:rFonts w:cs="Times New Roman"/>
          <w:kern w:val="0"/>
          <w:sz w:val="18"/>
          <w:szCs w:val="18"/>
        </w:rPr>
        <w:t>赵婷，陈钊</w:t>
      </w:r>
      <w:r w:rsidRPr="004A6D61">
        <w:rPr>
          <w:rFonts w:cs="Times New Roman"/>
          <w:kern w:val="0"/>
          <w:sz w:val="18"/>
          <w:szCs w:val="18"/>
        </w:rPr>
        <w:t xml:space="preserve">. </w:t>
      </w:r>
      <w:r w:rsidRPr="004A6D61">
        <w:rPr>
          <w:rFonts w:cs="Times New Roman"/>
          <w:kern w:val="0"/>
          <w:sz w:val="18"/>
          <w:szCs w:val="18"/>
        </w:rPr>
        <w:t>比较优势与中央、地方的产业政策</w:t>
      </w:r>
      <w:r w:rsidRPr="004A6D61">
        <w:rPr>
          <w:rFonts w:cs="Times New Roman"/>
          <w:kern w:val="0"/>
          <w:sz w:val="18"/>
          <w:szCs w:val="18"/>
        </w:rPr>
        <w:t xml:space="preserve">[J]. </w:t>
      </w:r>
      <w:r w:rsidRPr="004A6D61">
        <w:rPr>
          <w:rFonts w:cs="Times New Roman"/>
          <w:kern w:val="0"/>
          <w:sz w:val="18"/>
          <w:szCs w:val="18"/>
        </w:rPr>
        <w:t>世界经济，</w:t>
      </w:r>
      <w:r w:rsidRPr="004A6D61">
        <w:rPr>
          <w:rFonts w:cs="Times New Roman"/>
          <w:kern w:val="0"/>
          <w:sz w:val="18"/>
          <w:szCs w:val="18"/>
        </w:rPr>
        <w:t>2019</w:t>
      </w:r>
      <w:r w:rsidRPr="004A6D61">
        <w:rPr>
          <w:rFonts w:cs="Times New Roman"/>
          <w:kern w:val="0"/>
          <w:sz w:val="18"/>
          <w:szCs w:val="18"/>
        </w:rPr>
        <w:t>，（</w:t>
      </w:r>
      <w:r w:rsidR="001B6F84" w:rsidRPr="004A6D61">
        <w:rPr>
          <w:rFonts w:cs="Times New Roman" w:hint="eastAsia"/>
          <w:kern w:val="0"/>
          <w:sz w:val="18"/>
          <w:szCs w:val="18"/>
        </w:rPr>
        <w:t>10</w:t>
      </w:r>
      <w:r w:rsidRPr="004A6D61">
        <w:rPr>
          <w:rFonts w:cs="Times New Roman"/>
          <w:kern w:val="0"/>
          <w:sz w:val="18"/>
          <w:szCs w:val="18"/>
        </w:rPr>
        <w:t>）：</w:t>
      </w:r>
      <w:r w:rsidRPr="004A6D61">
        <w:rPr>
          <w:rFonts w:cs="Times New Roman"/>
          <w:kern w:val="0"/>
          <w:sz w:val="18"/>
          <w:szCs w:val="18"/>
        </w:rPr>
        <w:t>98-119.</w:t>
      </w:r>
      <w:bookmarkEnd w:id="8"/>
    </w:p>
    <w:p w14:paraId="72A16FB9" w14:textId="7E802A73" w:rsidR="00A06A6B" w:rsidRPr="004A6D61" w:rsidRDefault="00A06A6B" w:rsidP="00A06A6B">
      <w:pPr>
        <w:autoSpaceDE w:val="0"/>
        <w:autoSpaceDN w:val="0"/>
        <w:adjustRightInd w:val="0"/>
        <w:ind w:left="262" w:hangingChars="156" w:hanging="262"/>
        <w:rPr>
          <w:rFonts w:cs="Times New Roman"/>
          <w:kern w:val="0"/>
          <w:sz w:val="18"/>
          <w:szCs w:val="18"/>
        </w:rPr>
      </w:pPr>
      <w:r w:rsidRPr="004A6D61">
        <w:rPr>
          <w:rFonts w:cs="Times New Roman"/>
          <w:kern w:val="0"/>
          <w:sz w:val="18"/>
          <w:szCs w:val="18"/>
        </w:rPr>
        <w:t>[</w:t>
      </w:r>
      <w:bookmarkStart w:id="9" w:name="_neb31B14700_CDC7_4725_8682_99424EBEF638"/>
      <w:proofErr w:type="gramStart"/>
      <w:r w:rsidR="004A6D61">
        <w:rPr>
          <w:rFonts w:cs="Times New Roman" w:hint="eastAsia"/>
          <w:kern w:val="0"/>
          <w:sz w:val="18"/>
          <w:szCs w:val="18"/>
        </w:rPr>
        <w:t>10</w:t>
      </w:r>
      <w:r w:rsidRPr="004A6D61">
        <w:rPr>
          <w:rFonts w:cs="Times New Roman"/>
          <w:kern w:val="0"/>
          <w:sz w:val="18"/>
          <w:szCs w:val="18"/>
        </w:rPr>
        <w:t>]Beck</w:t>
      </w:r>
      <w:proofErr w:type="gramEnd"/>
      <w:r w:rsidRPr="004A6D61">
        <w:rPr>
          <w:rFonts w:cs="Times New Roman"/>
          <w:kern w:val="0"/>
          <w:sz w:val="18"/>
          <w:szCs w:val="18"/>
        </w:rPr>
        <w:t>, T., R. Levine, and A. Levkov. Big Bad Banks? The Winners and Losers from Bank Deregulation in the United States[J]. The Journal of Finance, 2010, 65(5):1637-1667.</w:t>
      </w:r>
      <w:bookmarkEnd w:id="9"/>
    </w:p>
    <w:p w14:paraId="0E812673" w14:textId="45BC389F" w:rsidR="00037BCF" w:rsidRPr="007B45B6" w:rsidRDefault="00037BCF" w:rsidP="007B45B6">
      <w:pPr>
        <w:autoSpaceDE w:val="0"/>
        <w:autoSpaceDN w:val="0"/>
        <w:adjustRightInd w:val="0"/>
        <w:ind w:left="262" w:hangingChars="156" w:hanging="262"/>
        <w:rPr>
          <w:rFonts w:cs="Times New Roman"/>
          <w:kern w:val="0"/>
          <w:sz w:val="18"/>
          <w:szCs w:val="18"/>
        </w:rPr>
      </w:pPr>
    </w:p>
    <w:sectPr w:rsidR="00037BCF" w:rsidRPr="007B45B6" w:rsidSect="001A14E8">
      <w:headerReference w:type="even" r:id="rId10"/>
      <w:headerReference w:type="default" r:id="rId11"/>
      <w:footerReference w:type="even" r:id="rId12"/>
      <w:footerReference w:type="default" r:id="rId13"/>
      <w:headerReference w:type="first" r:id="rId14"/>
      <w:footerReference w:type="first" r:id="rId15"/>
      <w:footnotePr>
        <w:numFmt w:val="decimalEnclosedCircleChinese"/>
        <w:numRestart w:val="eachPage"/>
      </w:footnotePr>
      <w:pgSz w:w="11906" w:h="16838" w:code="9"/>
      <w:pgMar w:top="1440" w:right="1797" w:bottom="1440" w:left="1797" w:header="851" w:footer="992" w:gutter="0"/>
      <w:cols w:space="425"/>
      <w:docGrid w:type="linesAndChars" w:linePitch="357" w:charSpace="-24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E2707" w14:textId="77777777" w:rsidR="0054098D" w:rsidRDefault="0054098D" w:rsidP="0013432E">
      <w:pPr>
        <w:ind w:firstLine="420"/>
      </w:pPr>
      <w:r>
        <w:separator/>
      </w:r>
    </w:p>
  </w:endnote>
  <w:endnote w:type="continuationSeparator" w:id="0">
    <w:p w14:paraId="65BF9994" w14:textId="77777777" w:rsidR="0054098D" w:rsidRDefault="0054098D" w:rsidP="0013432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F485F" w14:textId="77777777" w:rsidR="000506FE" w:rsidRDefault="000506FE">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AF7BB" w14:textId="77777777" w:rsidR="000506FE" w:rsidRDefault="000506FE">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2A2EE" w14:textId="77777777" w:rsidR="000506FE" w:rsidRDefault="000506FE">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9049F" w14:textId="77777777" w:rsidR="0054098D" w:rsidRDefault="0054098D" w:rsidP="0013432E">
      <w:pPr>
        <w:ind w:firstLine="420"/>
      </w:pPr>
      <w:r>
        <w:separator/>
      </w:r>
    </w:p>
  </w:footnote>
  <w:footnote w:type="continuationSeparator" w:id="0">
    <w:p w14:paraId="59BA9B45" w14:textId="77777777" w:rsidR="0054098D" w:rsidRDefault="0054098D" w:rsidP="0013432E">
      <w:pPr>
        <w:ind w:firstLine="420"/>
      </w:pPr>
      <w:r>
        <w:continuationSeparator/>
      </w:r>
    </w:p>
  </w:footnote>
  <w:footnote w:id="1">
    <w:p w14:paraId="4F60AA53" w14:textId="77777777" w:rsidR="00B53930" w:rsidRPr="000F311C" w:rsidRDefault="00B53930" w:rsidP="00B53930">
      <w:pPr>
        <w:pStyle w:val="a6"/>
        <w:ind w:left="276" w:hangingChars="200" w:hanging="276"/>
        <w:rPr>
          <w:rFonts w:cs="Times New Roman"/>
          <w:sz w:val="15"/>
          <w:szCs w:val="15"/>
        </w:rPr>
      </w:pPr>
      <w:r w:rsidRPr="000F311C">
        <w:rPr>
          <w:rStyle w:val="a8"/>
          <w:rFonts w:cs="Times New Roman"/>
          <w:sz w:val="15"/>
          <w:szCs w:val="15"/>
          <w:vertAlign w:val="baseline"/>
        </w:rPr>
        <w:footnoteRef/>
      </w:r>
      <w:r>
        <w:rPr>
          <w:rFonts w:cs="Times New Roman" w:hint="eastAsia"/>
          <w:sz w:val="15"/>
          <w:szCs w:val="15"/>
        </w:rPr>
        <w:t xml:space="preserve"> </w:t>
      </w:r>
      <w:r w:rsidRPr="000F311C">
        <w:rPr>
          <w:rFonts w:cs="Times New Roman"/>
          <w:sz w:val="15"/>
          <w:szCs w:val="15"/>
        </w:rPr>
        <w:t>参照宋小宁等</w:t>
      </w:r>
      <w:r>
        <w:rPr>
          <w:rFonts w:eastAsiaTheme="minorEastAsia" w:cs="Times New Roman"/>
          <w:color w:val="080000"/>
          <w:kern w:val="0"/>
          <w:sz w:val="15"/>
          <w:szCs w:val="15"/>
        </w:rPr>
        <w:t>（</w:t>
      </w:r>
      <w:r>
        <w:rPr>
          <w:rFonts w:eastAsiaTheme="minorEastAsia" w:cs="Times New Roman"/>
          <w:color w:val="080000"/>
          <w:kern w:val="0"/>
          <w:sz w:val="15"/>
          <w:szCs w:val="15"/>
        </w:rPr>
        <w:t>2023</w:t>
      </w:r>
      <w:r>
        <w:rPr>
          <w:rFonts w:eastAsiaTheme="minorEastAsia" w:cs="Times New Roman"/>
          <w:color w:val="080000"/>
          <w:kern w:val="0"/>
          <w:sz w:val="15"/>
          <w:szCs w:val="15"/>
        </w:rPr>
        <w:t>）</w:t>
      </w:r>
      <w:r w:rsidRPr="000F311C">
        <w:rPr>
          <w:rFonts w:cs="Times New Roman"/>
          <w:sz w:val="15"/>
          <w:szCs w:val="15"/>
        </w:rPr>
        <w:t>的做法，本文保留</w:t>
      </w:r>
      <w:r w:rsidRPr="000F311C">
        <w:rPr>
          <w:rFonts w:cs="Times New Roman"/>
          <w:sz w:val="15"/>
          <w:szCs w:val="15"/>
        </w:rPr>
        <w:t>2016</w:t>
      </w:r>
      <w:r w:rsidRPr="000F311C">
        <w:rPr>
          <w:rFonts w:cs="Times New Roman"/>
          <w:sz w:val="15"/>
          <w:szCs w:val="15"/>
        </w:rPr>
        <w:t>年及以前的样本。</w:t>
      </w:r>
    </w:p>
  </w:footnote>
  <w:footnote w:id="2">
    <w:p w14:paraId="6A031D82" w14:textId="77777777" w:rsidR="00B53930" w:rsidRPr="00184A5C" w:rsidRDefault="00B53930" w:rsidP="00B53930">
      <w:pPr>
        <w:pStyle w:val="a6"/>
        <w:ind w:left="276" w:hangingChars="200" w:hanging="276"/>
        <w:rPr>
          <w:rFonts w:cs="Times New Roman"/>
          <w:sz w:val="15"/>
          <w:szCs w:val="15"/>
        </w:rPr>
      </w:pPr>
      <w:r w:rsidRPr="000F311C">
        <w:rPr>
          <w:rStyle w:val="a8"/>
          <w:rFonts w:cs="Times New Roman"/>
          <w:sz w:val="15"/>
          <w:szCs w:val="15"/>
          <w:vertAlign w:val="baseline"/>
        </w:rPr>
        <w:footnoteRef/>
      </w:r>
      <w:r>
        <w:rPr>
          <w:rFonts w:cs="Times New Roman" w:hint="eastAsia"/>
          <w:sz w:val="15"/>
          <w:szCs w:val="15"/>
        </w:rPr>
        <w:t xml:space="preserve"> </w:t>
      </w:r>
      <w:r w:rsidRPr="000F311C">
        <w:rPr>
          <w:rFonts w:cs="Times New Roman"/>
          <w:sz w:val="15"/>
          <w:szCs w:val="15"/>
        </w:rPr>
        <w:t>参照吴育辉等</w:t>
      </w:r>
      <w:r>
        <w:rPr>
          <w:rFonts w:eastAsiaTheme="minorEastAsia" w:cs="Times New Roman"/>
          <w:color w:val="080000"/>
          <w:kern w:val="0"/>
          <w:sz w:val="15"/>
          <w:szCs w:val="15"/>
        </w:rPr>
        <w:t>（</w:t>
      </w:r>
      <w:r>
        <w:rPr>
          <w:rFonts w:eastAsiaTheme="minorEastAsia" w:cs="Times New Roman"/>
          <w:color w:val="080000"/>
          <w:kern w:val="0"/>
          <w:sz w:val="15"/>
          <w:szCs w:val="15"/>
        </w:rPr>
        <w:t>2023</w:t>
      </w:r>
      <w:r>
        <w:rPr>
          <w:rFonts w:eastAsiaTheme="minorEastAsia" w:cs="Times New Roman"/>
          <w:color w:val="080000"/>
          <w:kern w:val="0"/>
          <w:sz w:val="15"/>
          <w:szCs w:val="15"/>
        </w:rPr>
        <w:t>）</w:t>
      </w:r>
      <w:r w:rsidRPr="000F311C">
        <w:rPr>
          <w:rFonts w:cs="Times New Roman"/>
          <w:sz w:val="15"/>
          <w:szCs w:val="15"/>
        </w:rPr>
        <w:t>的做法，本文保留</w:t>
      </w:r>
      <w:r w:rsidRPr="000F311C">
        <w:rPr>
          <w:rFonts w:cs="Times New Roman"/>
          <w:sz w:val="15"/>
          <w:szCs w:val="15"/>
        </w:rPr>
        <w:t>2018</w:t>
      </w:r>
      <w:r w:rsidRPr="000F311C">
        <w:rPr>
          <w:rFonts w:cs="Times New Roman"/>
          <w:sz w:val="15"/>
          <w:szCs w:val="15"/>
        </w:rPr>
        <w:t>年及以前的样本。</w:t>
      </w:r>
    </w:p>
  </w:footnote>
  <w:footnote w:id="3">
    <w:p w14:paraId="04A995A0" w14:textId="77777777" w:rsidR="009816C3" w:rsidRPr="00E132E8" w:rsidRDefault="009816C3" w:rsidP="009816C3">
      <w:pPr>
        <w:pStyle w:val="a6"/>
        <w:ind w:left="276" w:hangingChars="200" w:hanging="276"/>
      </w:pPr>
      <w:r w:rsidRPr="00E132E8">
        <w:rPr>
          <w:rStyle w:val="a8"/>
          <w:rFonts w:cs="Times New Roman"/>
          <w:sz w:val="15"/>
          <w:szCs w:val="15"/>
          <w:vertAlign w:val="baseline"/>
        </w:rPr>
        <w:footnoteRef/>
      </w:r>
      <w:r>
        <w:t xml:space="preserve"> </w:t>
      </w:r>
      <w:r w:rsidRPr="00E132E8">
        <w:rPr>
          <w:rFonts w:ascii="宋体" w:hAnsi="宋体" w:hint="eastAsia"/>
          <w:sz w:val="15"/>
          <w:szCs w:val="15"/>
        </w:rPr>
        <w:t>区位商计算公式为：</w:t>
      </w:r>
      <m:oMath>
        <m:sSub>
          <m:sSubPr>
            <m:ctrlPr>
              <w:rPr>
                <w:rFonts w:ascii="Cambria Math" w:hAnsi="Cambria Math" w:cs="Times New Roman"/>
                <w:i/>
                <w:sz w:val="15"/>
                <w:szCs w:val="15"/>
              </w:rPr>
            </m:ctrlPr>
          </m:sSubPr>
          <m:e>
            <m:r>
              <w:rPr>
                <w:rFonts w:ascii="Cambria Math" w:hAnsi="Cambria Math" w:cs="Times New Roman"/>
                <w:sz w:val="15"/>
                <w:szCs w:val="15"/>
              </w:rPr>
              <m:t>LQ</m:t>
            </m:r>
          </m:e>
          <m:sub>
            <m:r>
              <w:rPr>
                <w:rFonts w:ascii="Cambria Math" w:hAnsi="Cambria Math" w:cs="Times New Roman"/>
                <w:sz w:val="15"/>
                <w:szCs w:val="15"/>
              </w:rPr>
              <m:t>ict</m:t>
            </m:r>
          </m:sub>
        </m:sSub>
        <m:r>
          <w:rPr>
            <w:rFonts w:ascii="Cambria Math" w:hAnsi="Cambria Math" w:cs="Times New Roman"/>
            <w:sz w:val="15"/>
            <w:szCs w:val="15"/>
          </w:rPr>
          <m:t>=</m:t>
        </m:r>
        <m:f>
          <m:fPr>
            <m:ctrlPr>
              <w:rPr>
                <w:rFonts w:ascii="Cambria Math" w:hAnsi="Cambria Math" w:cs="Times New Roman"/>
                <w:i/>
                <w:sz w:val="15"/>
                <w:szCs w:val="15"/>
              </w:rPr>
            </m:ctrlPr>
          </m:fPr>
          <m:num>
            <m:f>
              <m:fPr>
                <m:type m:val="lin"/>
                <m:ctrlPr>
                  <w:rPr>
                    <w:rFonts w:ascii="Cambria Math" w:hAnsi="Cambria Math" w:cs="Times New Roman"/>
                    <w:i/>
                    <w:sz w:val="15"/>
                    <w:szCs w:val="15"/>
                  </w:rPr>
                </m:ctrlPr>
              </m:fPr>
              <m:num>
                <m:sSub>
                  <m:sSubPr>
                    <m:ctrlPr>
                      <w:rPr>
                        <w:rFonts w:ascii="Cambria Math" w:hAnsi="Cambria Math" w:cs="Times New Roman"/>
                        <w:i/>
                        <w:sz w:val="15"/>
                        <w:szCs w:val="15"/>
                      </w:rPr>
                    </m:ctrlPr>
                  </m:sSubPr>
                  <m:e>
                    <m:r>
                      <w:rPr>
                        <w:rFonts w:ascii="Cambria Math" w:hAnsi="Cambria Math" w:cs="Times New Roman" w:hint="eastAsia"/>
                        <w:sz w:val="15"/>
                        <w:szCs w:val="15"/>
                      </w:rPr>
                      <m:t>revenu</m:t>
                    </m:r>
                    <m:r>
                      <w:rPr>
                        <w:rFonts w:ascii="Cambria Math" w:hAnsi="Cambria Math" w:cs="Times New Roman"/>
                        <w:sz w:val="15"/>
                        <w:szCs w:val="15"/>
                      </w:rPr>
                      <m:t>e</m:t>
                    </m:r>
                  </m:e>
                  <m:sub>
                    <m:r>
                      <w:rPr>
                        <w:rFonts w:ascii="Cambria Math" w:hAnsi="Cambria Math" w:cs="Times New Roman"/>
                        <w:sz w:val="15"/>
                        <w:szCs w:val="15"/>
                      </w:rPr>
                      <m:t>ict</m:t>
                    </m:r>
                  </m:sub>
                </m:sSub>
              </m:num>
              <m:den>
                <m:sSub>
                  <m:sSubPr>
                    <m:ctrlPr>
                      <w:rPr>
                        <w:rFonts w:ascii="Cambria Math" w:hAnsi="Cambria Math" w:cs="Times New Roman"/>
                        <w:i/>
                        <w:sz w:val="15"/>
                        <w:szCs w:val="15"/>
                      </w:rPr>
                    </m:ctrlPr>
                  </m:sSubPr>
                  <m:e>
                    <m:r>
                      <w:rPr>
                        <w:rFonts w:ascii="Cambria Math" w:hAnsi="Cambria Math" w:cs="Times New Roman" w:hint="eastAsia"/>
                        <w:sz w:val="15"/>
                        <w:szCs w:val="15"/>
                      </w:rPr>
                      <m:t>revenu</m:t>
                    </m:r>
                    <m:r>
                      <w:rPr>
                        <w:rFonts w:ascii="Cambria Math" w:hAnsi="Cambria Math" w:cs="Times New Roman"/>
                        <w:sz w:val="15"/>
                        <w:szCs w:val="15"/>
                      </w:rPr>
                      <m:t>e</m:t>
                    </m:r>
                  </m:e>
                  <m:sub>
                    <m:r>
                      <w:rPr>
                        <w:rFonts w:ascii="Cambria Math" w:hAnsi="Cambria Math" w:cs="Times New Roman"/>
                        <w:sz w:val="15"/>
                        <w:szCs w:val="15"/>
                      </w:rPr>
                      <m:t>ct</m:t>
                    </m:r>
                  </m:sub>
                </m:sSub>
              </m:den>
            </m:f>
          </m:num>
          <m:den>
            <m:f>
              <m:fPr>
                <m:type m:val="lin"/>
                <m:ctrlPr>
                  <w:rPr>
                    <w:rFonts w:ascii="Cambria Math" w:hAnsi="Cambria Math" w:cs="Times New Roman"/>
                    <w:i/>
                    <w:sz w:val="15"/>
                    <w:szCs w:val="15"/>
                  </w:rPr>
                </m:ctrlPr>
              </m:fPr>
              <m:num>
                <m:sSub>
                  <m:sSubPr>
                    <m:ctrlPr>
                      <w:rPr>
                        <w:rFonts w:ascii="Cambria Math" w:hAnsi="Cambria Math" w:cs="Times New Roman"/>
                        <w:i/>
                        <w:sz w:val="15"/>
                        <w:szCs w:val="15"/>
                      </w:rPr>
                    </m:ctrlPr>
                  </m:sSubPr>
                  <m:e>
                    <m:r>
                      <w:rPr>
                        <w:rFonts w:ascii="Cambria Math" w:hAnsi="Cambria Math" w:cs="Times New Roman" w:hint="eastAsia"/>
                        <w:sz w:val="15"/>
                        <w:szCs w:val="15"/>
                      </w:rPr>
                      <m:t>revenu</m:t>
                    </m:r>
                    <m:r>
                      <w:rPr>
                        <w:rFonts w:ascii="Cambria Math" w:hAnsi="Cambria Math" w:cs="Times New Roman"/>
                        <w:sz w:val="15"/>
                        <w:szCs w:val="15"/>
                      </w:rPr>
                      <m:t>e</m:t>
                    </m:r>
                  </m:e>
                  <m:sub>
                    <m:r>
                      <w:rPr>
                        <w:rFonts w:ascii="Cambria Math" w:hAnsi="Cambria Math" w:cs="Times New Roman"/>
                        <w:sz w:val="15"/>
                        <w:szCs w:val="15"/>
                      </w:rPr>
                      <m:t>ct</m:t>
                    </m:r>
                  </m:sub>
                </m:sSub>
              </m:num>
              <m:den>
                <m:sSub>
                  <m:sSubPr>
                    <m:ctrlPr>
                      <w:rPr>
                        <w:rFonts w:ascii="Cambria Math" w:hAnsi="Cambria Math" w:cs="Times New Roman"/>
                        <w:i/>
                        <w:sz w:val="15"/>
                        <w:szCs w:val="15"/>
                      </w:rPr>
                    </m:ctrlPr>
                  </m:sSubPr>
                  <m:e>
                    <m:r>
                      <w:rPr>
                        <w:rFonts w:ascii="Cambria Math" w:hAnsi="Cambria Math" w:cs="Times New Roman" w:hint="eastAsia"/>
                        <w:sz w:val="15"/>
                        <w:szCs w:val="15"/>
                      </w:rPr>
                      <m:t>revenu</m:t>
                    </m:r>
                    <m:r>
                      <w:rPr>
                        <w:rFonts w:ascii="Cambria Math" w:hAnsi="Cambria Math" w:cs="Times New Roman"/>
                        <w:sz w:val="15"/>
                        <w:szCs w:val="15"/>
                      </w:rPr>
                      <m:t>e</m:t>
                    </m:r>
                  </m:e>
                  <m:sub>
                    <m:r>
                      <w:rPr>
                        <w:rFonts w:ascii="Cambria Math" w:hAnsi="Cambria Math" w:cs="Times New Roman"/>
                        <w:sz w:val="15"/>
                        <w:szCs w:val="15"/>
                      </w:rPr>
                      <m:t>t</m:t>
                    </m:r>
                  </m:sub>
                </m:sSub>
              </m:den>
            </m:f>
          </m:den>
        </m:f>
      </m:oMath>
      <w:r w:rsidRPr="00505891">
        <w:rPr>
          <w:rFonts w:ascii="宋体" w:hAnsi="宋体" w:hint="eastAsia"/>
          <w:sz w:val="15"/>
          <w:szCs w:val="15"/>
        </w:rPr>
        <w:t>,其中</w:t>
      </w:r>
      <m:oMath>
        <m:r>
          <w:rPr>
            <w:rFonts w:ascii="Cambria Math" w:hAnsi="Cambria Math"/>
            <w:sz w:val="15"/>
            <w:szCs w:val="15"/>
          </w:rPr>
          <m:t>i,c,</m:t>
        </m:r>
        <m:r>
          <w:rPr>
            <w:rFonts w:ascii="Cambria Math" w:hAnsi="Cambria Math" w:hint="eastAsia"/>
            <w:sz w:val="15"/>
            <w:szCs w:val="15"/>
          </w:rPr>
          <m:t>t</m:t>
        </m:r>
      </m:oMath>
      <w:r w:rsidRPr="00505891">
        <w:rPr>
          <w:rFonts w:ascii="宋体" w:hAnsi="宋体" w:hint="eastAsia"/>
          <w:sz w:val="15"/>
          <w:szCs w:val="15"/>
        </w:rPr>
        <w:t>分别表示行业、城市与年份</w:t>
      </w:r>
      <w:r>
        <w:rPr>
          <w:rFonts w:ascii="宋体" w:hAnsi="宋体" w:hint="eastAsia"/>
          <w:sz w:val="15"/>
          <w:szCs w:val="15"/>
        </w:rPr>
        <w:t>，</w:t>
      </w:r>
      <m:oMath>
        <m:r>
          <w:rPr>
            <w:rFonts w:ascii="Cambria Math" w:hAnsi="Cambria Math" w:cs="Times New Roman" w:hint="eastAsia"/>
            <w:sz w:val="15"/>
            <w:szCs w:val="15"/>
          </w:rPr>
          <m:t>revenu</m:t>
        </m:r>
        <m:r>
          <w:rPr>
            <w:rFonts w:ascii="Cambria Math" w:hAnsi="Cambria Math" w:cs="Times New Roman"/>
            <w:sz w:val="15"/>
            <w:szCs w:val="15"/>
          </w:rPr>
          <m:t>e</m:t>
        </m:r>
      </m:oMath>
      <w:r>
        <w:rPr>
          <w:rFonts w:ascii="宋体" w:hAnsi="宋体" w:hint="eastAsia"/>
          <w:sz w:val="15"/>
          <w:szCs w:val="15"/>
        </w:rPr>
        <w:t>代表当地上市公司营业收入之和；若</w:t>
      </w:r>
      <m:oMath>
        <m:sSub>
          <m:sSubPr>
            <m:ctrlPr>
              <w:rPr>
                <w:rFonts w:ascii="Cambria Math" w:hAnsi="Cambria Math" w:cs="Times New Roman"/>
                <w:i/>
                <w:sz w:val="15"/>
                <w:szCs w:val="15"/>
              </w:rPr>
            </m:ctrlPr>
          </m:sSubPr>
          <m:e>
            <m:r>
              <w:rPr>
                <w:rFonts w:ascii="Cambria Math" w:hAnsi="Cambria Math" w:cs="Times New Roman"/>
                <w:sz w:val="15"/>
                <w:szCs w:val="15"/>
              </w:rPr>
              <m:t>LQ</m:t>
            </m:r>
          </m:e>
          <m:sub>
            <m:r>
              <w:rPr>
                <w:rFonts w:ascii="Cambria Math" w:hAnsi="Cambria Math" w:cs="Times New Roman"/>
                <w:sz w:val="15"/>
                <w:szCs w:val="15"/>
              </w:rPr>
              <m:t>ict</m:t>
            </m:r>
          </m:sub>
        </m:sSub>
      </m:oMath>
      <w:r>
        <w:rPr>
          <w:rFonts w:ascii="宋体" w:hAnsi="宋体" w:hint="eastAsia"/>
          <w:sz w:val="15"/>
          <w:szCs w:val="15"/>
        </w:rPr>
        <w:t>&gt;=1，则认为</w:t>
      </w:r>
      <m:oMath>
        <m:r>
          <w:rPr>
            <w:rFonts w:ascii="Cambria Math" w:hAnsi="Cambria Math"/>
            <w:sz w:val="15"/>
            <w:szCs w:val="15"/>
          </w:rPr>
          <m:t>i</m:t>
        </m:r>
      </m:oMath>
      <w:r>
        <w:rPr>
          <w:rFonts w:ascii="宋体" w:hAnsi="宋体" w:hint="eastAsia"/>
          <w:sz w:val="15"/>
          <w:szCs w:val="15"/>
        </w:rPr>
        <w:t>行业在</w:t>
      </w:r>
      <m:oMath>
        <m:r>
          <w:rPr>
            <w:rFonts w:ascii="Cambria Math" w:hAnsi="Cambria Math" w:hint="eastAsia"/>
            <w:sz w:val="15"/>
            <w:szCs w:val="15"/>
          </w:rPr>
          <m:t>t</m:t>
        </m:r>
      </m:oMath>
      <w:r>
        <w:rPr>
          <w:rFonts w:ascii="宋体" w:hAnsi="宋体" w:hint="eastAsia"/>
          <w:sz w:val="15"/>
          <w:szCs w:val="15"/>
        </w:rPr>
        <w:t>年</w:t>
      </w:r>
      <m:oMath>
        <m:r>
          <w:rPr>
            <w:rFonts w:ascii="Cambria Math" w:hAnsi="Cambria Math"/>
            <w:sz w:val="15"/>
            <w:szCs w:val="15"/>
          </w:rPr>
          <m:t>c</m:t>
        </m:r>
      </m:oMath>
      <w:r>
        <w:rPr>
          <w:rFonts w:ascii="宋体" w:hAnsi="宋体" w:hint="eastAsia"/>
          <w:sz w:val="15"/>
          <w:szCs w:val="15"/>
        </w:rPr>
        <w:t>城市具备比较优势，即</w:t>
      </w:r>
      <m:oMath>
        <m:sSub>
          <m:sSubPr>
            <m:ctrlPr>
              <w:rPr>
                <w:rFonts w:ascii="Cambria Math" w:hAnsi="Cambria Math" w:cs="Times New Roman"/>
                <w:i/>
                <w:sz w:val="15"/>
                <w:szCs w:val="15"/>
              </w:rPr>
            </m:ctrlPr>
          </m:sSubPr>
          <m:e>
            <m:r>
              <w:rPr>
                <w:rFonts w:ascii="Cambria Math" w:hAnsi="Cambria Math" w:cs="Times New Roman"/>
                <w:sz w:val="15"/>
                <w:szCs w:val="15"/>
              </w:rPr>
              <m:t>RCA</m:t>
            </m:r>
          </m:e>
          <m:sub>
            <m:r>
              <w:rPr>
                <w:rFonts w:ascii="Cambria Math" w:hAnsi="Cambria Math" w:cs="Times New Roman"/>
                <w:sz w:val="15"/>
                <w:szCs w:val="15"/>
              </w:rPr>
              <m:t>ict</m:t>
            </m:r>
          </m:sub>
        </m:sSub>
        <m:r>
          <w:rPr>
            <w:rFonts w:ascii="Cambria Math" w:hAnsi="Cambria Math"/>
            <w:sz w:val="15"/>
            <w:szCs w:val="15"/>
          </w:rPr>
          <m:t>=1</m:t>
        </m:r>
      </m:oMath>
      <w:r>
        <w:rPr>
          <w:rFonts w:ascii="宋体" w:hAnsi="宋体" w:hint="eastAsia"/>
          <w:sz w:val="15"/>
          <w:szCs w:val="15"/>
        </w:rPr>
        <w:t>。</w:t>
      </w:r>
    </w:p>
  </w:footnote>
  <w:footnote w:id="4">
    <w:p w14:paraId="0203FED3" w14:textId="77777777" w:rsidR="009816C3" w:rsidRPr="00EC69E5" w:rsidRDefault="009816C3" w:rsidP="009816C3">
      <w:pPr>
        <w:pStyle w:val="a6"/>
        <w:ind w:left="276" w:hangingChars="200" w:hanging="276"/>
      </w:pPr>
      <w:r w:rsidRPr="00214D75">
        <w:rPr>
          <w:rStyle w:val="a8"/>
          <w:rFonts w:cs="Times New Roman"/>
          <w:sz w:val="15"/>
          <w:szCs w:val="15"/>
          <w:vertAlign w:val="baseline"/>
        </w:rPr>
        <w:footnoteRef/>
      </w:r>
      <w:r w:rsidRPr="00214D75">
        <w:rPr>
          <w:rStyle w:val="a8"/>
          <w:rFonts w:cs="Times New Roman"/>
          <w:sz w:val="15"/>
          <w:szCs w:val="15"/>
          <w:vertAlign w:val="baseline"/>
        </w:rPr>
        <w:t xml:space="preserve"> </w:t>
      </w:r>
      <w:r w:rsidRPr="000F74EF">
        <w:rPr>
          <w:rFonts w:ascii="宋体" w:hAnsi="宋体" w:hint="eastAsia"/>
          <w:sz w:val="15"/>
          <w:szCs w:val="15"/>
        </w:rPr>
        <w:t>行业</w:t>
      </w:r>
      <w:r>
        <w:rPr>
          <w:rFonts w:ascii="宋体" w:hAnsi="宋体" w:hint="eastAsia"/>
          <w:sz w:val="15"/>
          <w:szCs w:val="15"/>
        </w:rPr>
        <w:t>地区专业化系数计算公式为：</w:t>
      </w:r>
      <m:oMath>
        <m:sSubSup>
          <m:sSubSupPr>
            <m:ctrlPr>
              <w:rPr>
                <w:rFonts w:ascii="Cambria Math" w:hAnsi="Cambria Math" w:cs="Times New Roman"/>
                <w:i/>
                <w:sz w:val="15"/>
                <w:szCs w:val="15"/>
              </w:rPr>
            </m:ctrlPr>
          </m:sSubSupPr>
          <m:e>
            <m:r>
              <w:rPr>
                <w:rFonts w:ascii="Cambria Math" w:hAnsi="Cambria Math" w:cs="Times New Roman"/>
                <w:sz w:val="15"/>
                <w:szCs w:val="15"/>
              </w:rPr>
              <m:t>SI</m:t>
            </m:r>
          </m:e>
          <m:sub>
            <m:r>
              <w:rPr>
                <w:rFonts w:ascii="Cambria Math" w:hAnsi="Cambria Math" w:cs="Times New Roman" w:hint="eastAsia"/>
                <w:sz w:val="15"/>
                <w:szCs w:val="15"/>
              </w:rPr>
              <m:t>pt</m:t>
            </m:r>
          </m:sub>
          <m:sup>
            <m:r>
              <w:rPr>
                <w:rFonts w:ascii="Cambria Math" w:hAnsi="Cambria Math" w:cs="Times New Roman" w:hint="eastAsia"/>
                <w:sz w:val="15"/>
                <w:szCs w:val="15"/>
              </w:rPr>
              <m:t>i</m:t>
            </m:r>
          </m:sup>
        </m:sSubSup>
        <m:r>
          <w:rPr>
            <w:rFonts w:ascii="Cambria Math" w:hAnsi="Cambria Math" w:cs="Times New Roman"/>
            <w:sz w:val="15"/>
            <w:szCs w:val="15"/>
          </w:rPr>
          <m:t>=</m:t>
        </m:r>
        <m:f>
          <m:fPr>
            <m:ctrlPr>
              <w:rPr>
                <w:rFonts w:ascii="Cambria Math" w:hAnsi="Cambria Math" w:cs="Times New Roman"/>
                <w:i/>
                <w:sz w:val="15"/>
                <w:szCs w:val="15"/>
              </w:rPr>
            </m:ctrlPr>
          </m:fPr>
          <m:num>
            <m:sSubSup>
              <m:sSubSupPr>
                <m:ctrlPr>
                  <w:rPr>
                    <w:rFonts w:ascii="Cambria Math" w:hAnsi="Cambria Math" w:cs="Times New Roman"/>
                    <w:i/>
                    <w:sz w:val="15"/>
                    <w:szCs w:val="15"/>
                  </w:rPr>
                </m:ctrlPr>
              </m:sSubSupPr>
              <m:e>
                <m:r>
                  <w:rPr>
                    <w:rFonts w:ascii="Cambria Math" w:hAnsi="Cambria Math" w:cs="Times New Roman" w:hint="eastAsia"/>
                    <w:sz w:val="15"/>
                    <w:szCs w:val="15"/>
                  </w:rPr>
                  <m:t>employment</m:t>
                </m:r>
              </m:e>
              <m:sub>
                <m:r>
                  <w:rPr>
                    <w:rFonts w:ascii="Cambria Math" w:hAnsi="Cambria Math" w:cs="Times New Roman"/>
                    <w:sz w:val="15"/>
                    <w:szCs w:val="15"/>
                  </w:rPr>
                  <m:t>p</m:t>
                </m:r>
                <m:r>
                  <w:rPr>
                    <w:rFonts w:ascii="Cambria Math" w:hAnsi="Cambria Math" w:cs="Times New Roman" w:hint="eastAsia"/>
                    <w:sz w:val="15"/>
                    <w:szCs w:val="15"/>
                  </w:rPr>
                  <m:t>t</m:t>
                </m:r>
              </m:sub>
              <m:sup>
                <m:r>
                  <w:rPr>
                    <w:rFonts w:ascii="Cambria Math" w:hAnsi="Cambria Math" w:cs="Times New Roman"/>
                    <w:sz w:val="15"/>
                    <w:szCs w:val="15"/>
                  </w:rPr>
                  <m:t>i</m:t>
                </m:r>
              </m:sup>
            </m:sSubSup>
          </m:num>
          <m:den>
            <m:nary>
              <m:naryPr>
                <m:chr m:val="∑"/>
                <m:limLoc m:val="undOvr"/>
                <m:supHide m:val="1"/>
                <m:ctrlPr>
                  <w:rPr>
                    <w:rFonts w:ascii="Cambria Math" w:hAnsi="Cambria Math" w:cs="Times New Roman"/>
                    <w:i/>
                    <w:sz w:val="15"/>
                    <w:szCs w:val="15"/>
                  </w:rPr>
                </m:ctrlPr>
              </m:naryPr>
              <m:sub>
                <m:r>
                  <w:rPr>
                    <w:rFonts w:ascii="Cambria Math" w:hAnsi="Cambria Math" w:cs="Times New Roman"/>
                    <w:sz w:val="15"/>
                    <w:szCs w:val="15"/>
                  </w:rPr>
                  <m:t>I</m:t>
                </m:r>
              </m:sub>
              <m:sup/>
              <m:e>
                <m:sSubSup>
                  <m:sSubSupPr>
                    <m:ctrlPr>
                      <w:rPr>
                        <w:rFonts w:ascii="Cambria Math" w:hAnsi="Cambria Math" w:cs="Times New Roman"/>
                        <w:i/>
                        <w:sz w:val="15"/>
                        <w:szCs w:val="15"/>
                      </w:rPr>
                    </m:ctrlPr>
                  </m:sSubSupPr>
                  <m:e>
                    <m:r>
                      <w:rPr>
                        <w:rFonts w:ascii="Cambria Math" w:hAnsi="Cambria Math" w:cs="Times New Roman" w:hint="eastAsia"/>
                        <w:sz w:val="15"/>
                        <w:szCs w:val="15"/>
                      </w:rPr>
                      <m:t>employment</m:t>
                    </m:r>
                  </m:e>
                  <m:sub>
                    <m:r>
                      <w:rPr>
                        <w:rFonts w:ascii="Cambria Math" w:hAnsi="Cambria Math" w:cs="Times New Roman"/>
                        <w:sz w:val="15"/>
                        <w:szCs w:val="15"/>
                      </w:rPr>
                      <m:t>p</m:t>
                    </m:r>
                    <m:r>
                      <w:rPr>
                        <w:rFonts w:ascii="Cambria Math" w:hAnsi="Cambria Math" w:cs="Times New Roman" w:hint="eastAsia"/>
                        <w:sz w:val="15"/>
                        <w:szCs w:val="15"/>
                      </w:rPr>
                      <m:t>t</m:t>
                    </m:r>
                  </m:sub>
                  <m:sup>
                    <m:r>
                      <w:rPr>
                        <w:rFonts w:ascii="Cambria Math" w:hAnsi="Cambria Math" w:cs="Times New Roman"/>
                        <w:sz w:val="15"/>
                        <w:szCs w:val="15"/>
                      </w:rPr>
                      <m:t>i</m:t>
                    </m:r>
                  </m:sup>
                </m:sSubSup>
              </m:e>
            </m:nary>
          </m:den>
        </m:f>
      </m:oMath>
      <w:r>
        <w:rPr>
          <w:rFonts w:ascii="宋体" w:hAnsi="宋体" w:hint="eastAsia"/>
          <w:sz w:val="15"/>
          <w:szCs w:val="15"/>
        </w:rPr>
        <w:t>，</w:t>
      </w:r>
      <w:r w:rsidRPr="00505891">
        <w:rPr>
          <w:rFonts w:ascii="宋体" w:hAnsi="宋体" w:hint="eastAsia"/>
          <w:sz w:val="15"/>
          <w:szCs w:val="15"/>
        </w:rPr>
        <w:t>,其中</w:t>
      </w:r>
      <m:oMath>
        <m:r>
          <w:rPr>
            <w:rFonts w:ascii="Cambria Math" w:hAnsi="Cambria Math"/>
            <w:sz w:val="15"/>
            <w:szCs w:val="15"/>
          </w:rPr>
          <m:t>i,p,</m:t>
        </m:r>
        <m:r>
          <w:rPr>
            <w:rFonts w:ascii="Cambria Math" w:hAnsi="Cambria Math" w:hint="eastAsia"/>
            <w:sz w:val="15"/>
            <w:szCs w:val="15"/>
          </w:rPr>
          <m:t>t</m:t>
        </m:r>
      </m:oMath>
      <w:r w:rsidRPr="00505891">
        <w:rPr>
          <w:rFonts w:ascii="宋体" w:hAnsi="宋体" w:hint="eastAsia"/>
          <w:sz w:val="15"/>
          <w:szCs w:val="15"/>
        </w:rPr>
        <w:t>分别表示行业、</w:t>
      </w:r>
      <w:r>
        <w:rPr>
          <w:rFonts w:ascii="宋体" w:hAnsi="宋体" w:hint="eastAsia"/>
          <w:sz w:val="15"/>
          <w:szCs w:val="15"/>
        </w:rPr>
        <w:t>省份</w:t>
      </w:r>
      <w:r w:rsidRPr="00505891">
        <w:rPr>
          <w:rFonts w:ascii="宋体" w:hAnsi="宋体" w:hint="eastAsia"/>
          <w:sz w:val="15"/>
          <w:szCs w:val="15"/>
        </w:rPr>
        <w:t>与年份</w:t>
      </w:r>
      <w:r>
        <w:rPr>
          <w:rFonts w:ascii="宋体" w:hAnsi="宋体" w:hint="eastAsia"/>
          <w:sz w:val="15"/>
          <w:szCs w:val="15"/>
        </w:rPr>
        <w:t>,</w:t>
      </w:r>
      <m:oMath>
        <m:r>
          <w:rPr>
            <w:rFonts w:ascii="Cambria Math" w:hAnsi="Cambria Math"/>
            <w:sz w:val="15"/>
            <w:szCs w:val="15"/>
          </w:rPr>
          <m:t>I</m:t>
        </m:r>
      </m:oMath>
      <w:r>
        <w:rPr>
          <w:rFonts w:ascii="宋体" w:hAnsi="宋体" w:hint="eastAsia"/>
          <w:sz w:val="15"/>
          <w:szCs w:val="15"/>
        </w:rPr>
        <w:t>表示全部行业，</w:t>
      </w:r>
      <m:oMath>
        <m:r>
          <w:rPr>
            <w:rFonts w:ascii="Cambria Math" w:hAnsi="Cambria Math" w:cs="Times New Roman" w:hint="eastAsia"/>
            <w:sz w:val="15"/>
            <w:szCs w:val="15"/>
          </w:rPr>
          <m:t>employment</m:t>
        </m:r>
      </m:oMath>
      <w:r>
        <w:rPr>
          <w:rFonts w:ascii="宋体" w:hAnsi="宋体" w:hint="eastAsia"/>
          <w:sz w:val="15"/>
          <w:szCs w:val="15"/>
        </w:rPr>
        <w:t>代表当地从业人员数量；地区相对专业化指数计算公式为：</w:t>
      </w:r>
      <m:oMath>
        <m:sSub>
          <m:sSubPr>
            <m:ctrlPr>
              <w:rPr>
                <w:rFonts w:ascii="Cambria Math" w:hAnsi="Cambria Math" w:cs="Times New Roman"/>
                <w:i/>
                <w:sz w:val="15"/>
                <w:szCs w:val="15"/>
              </w:rPr>
            </m:ctrlPr>
          </m:sSubPr>
          <m:e>
            <m:r>
              <w:rPr>
                <w:rFonts w:ascii="Cambria Math" w:hAnsi="Cambria Math" w:cs="Times New Roman"/>
                <w:sz w:val="15"/>
                <w:szCs w:val="15"/>
              </w:rPr>
              <m:t>SD</m:t>
            </m:r>
          </m:e>
          <m:sub>
            <m:r>
              <w:rPr>
                <w:rFonts w:ascii="Cambria Math" w:hAnsi="Cambria Math" w:cs="Times New Roman"/>
                <w:sz w:val="15"/>
                <w:szCs w:val="15"/>
              </w:rPr>
              <m:t>pt</m:t>
            </m:r>
          </m:sub>
        </m:sSub>
        <m:r>
          <w:rPr>
            <w:rFonts w:ascii="Cambria Math" w:hAnsi="Cambria Math" w:cs="Times New Roman"/>
            <w:sz w:val="15"/>
            <w:szCs w:val="15"/>
          </w:rPr>
          <m:t>=</m:t>
        </m:r>
        <m:nary>
          <m:naryPr>
            <m:chr m:val="∑"/>
            <m:limLoc m:val="undOvr"/>
            <m:supHide m:val="1"/>
            <m:ctrlPr>
              <w:rPr>
                <w:rFonts w:ascii="Cambria Math" w:hAnsi="Cambria Math" w:cs="Times New Roman"/>
                <w:i/>
                <w:sz w:val="15"/>
                <w:szCs w:val="15"/>
              </w:rPr>
            </m:ctrlPr>
          </m:naryPr>
          <m:sub>
            <m:r>
              <w:rPr>
                <w:rFonts w:ascii="Cambria Math" w:hAnsi="Cambria Math" w:cs="Times New Roman"/>
                <w:sz w:val="15"/>
                <w:szCs w:val="15"/>
              </w:rPr>
              <m:t>I</m:t>
            </m:r>
          </m:sub>
          <m:sup/>
          <m:e>
            <m:r>
              <w:rPr>
                <w:rFonts w:ascii="Cambria Math" w:hAnsi="Cambria Math" w:cs="Times New Roman"/>
                <w:sz w:val="15"/>
                <w:szCs w:val="15"/>
              </w:rPr>
              <m:t>|</m:t>
            </m:r>
            <m:sSubSup>
              <m:sSubSupPr>
                <m:ctrlPr>
                  <w:rPr>
                    <w:rFonts w:ascii="Cambria Math" w:hAnsi="Cambria Math" w:cs="Times New Roman"/>
                    <w:i/>
                    <w:sz w:val="15"/>
                    <w:szCs w:val="15"/>
                  </w:rPr>
                </m:ctrlPr>
              </m:sSubSupPr>
              <m:e>
                <m:r>
                  <w:rPr>
                    <w:rFonts w:ascii="Cambria Math" w:hAnsi="Cambria Math" w:cs="Times New Roman"/>
                    <w:sz w:val="15"/>
                    <w:szCs w:val="15"/>
                  </w:rPr>
                  <m:t>SI</m:t>
                </m:r>
              </m:e>
              <m:sub>
                <m:r>
                  <w:rPr>
                    <w:rFonts w:ascii="Cambria Math" w:hAnsi="Cambria Math" w:cs="Times New Roman"/>
                    <w:sz w:val="15"/>
                    <w:szCs w:val="15"/>
                  </w:rPr>
                  <m:t>pt</m:t>
                </m:r>
              </m:sub>
              <m:sup>
                <m:r>
                  <w:rPr>
                    <w:rFonts w:ascii="Cambria Math" w:hAnsi="Cambria Math" w:cs="Times New Roman"/>
                    <w:sz w:val="15"/>
                    <w:szCs w:val="15"/>
                  </w:rPr>
                  <m:t>i</m:t>
                </m:r>
              </m:sup>
            </m:sSubSup>
            <m:r>
              <w:rPr>
                <w:rFonts w:ascii="Cambria Math" w:hAnsi="Cambria Math" w:cs="Times New Roman"/>
                <w:sz w:val="15"/>
                <w:szCs w:val="15"/>
              </w:rPr>
              <m:t>-</m:t>
            </m:r>
            <m:sSubSup>
              <m:sSubSupPr>
                <m:ctrlPr>
                  <w:rPr>
                    <w:rFonts w:ascii="Cambria Math" w:hAnsi="Cambria Math" w:cs="Times New Roman"/>
                    <w:i/>
                    <w:sz w:val="15"/>
                    <w:szCs w:val="15"/>
                  </w:rPr>
                </m:ctrlPr>
              </m:sSubSupPr>
              <m:e>
                <m:r>
                  <w:rPr>
                    <w:rFonts w:ascii="Cambria Math" w:hAnsi="Cambria Math" w:cs="Times New Roman"/>
                    <w:sz w:val="15"/>
                    <w:szCs w:val="15"/>
                  </w:rPr>
                  <m:t>SI</m:t>
                </m:r>
              </m:e>
              <m:sub>
                <m:r>
                  <w:rPr>
                    <w:rFonts w:ascii="Cambria Math" w:hAnsi="Cambria Math" w:cs="Times New Roman"/>
                    <w:sz w:val="15"/>
                    <w:szCs w:val="15"/>
                  </w:rPr>
                  <m:t>pt</m:t>
                </m:r>
              </m:sub>
              <m:sup>
                <m:r>
                  <w:rPr>
                    <w:rFonts w:ascii="Cambria Math" w:hAnsi="Cambria Math" w:cs="Times New Roman"/>
                    <w:sz w:val="15"/>
                    <w:szCs w:val="15"/>
                  </w:rPr>
                  <m:t>-i</m:t>
                </m:r>
              </m:sup>
            </m:sSubSup>
          </m:e>
        </m:nary>
        <m:r>
          <w:rPr>
            <w:rFonts w:ascii="Cambria Math" w:hAnsi="Cambria Math"/>
            <w:sz w:val="15"/>
            <w:szCs w:val="15"/>
          </w:rPr>
          <m:t>|</m:t>
        </m:r>
      </m:oMath>
      <w:r>
        <w:rPr>
          <w:rFonts w:ascii="宋体" w:hAnsi="宋体" w:hint="eastAsia"/>
          <w:sz w:val="15"/>
          <w:szCs w:val="15"/>
        </w:rPr>
        <w:t>，</w:t>
      </w:r>
      <m:oMath>
        <m:sSubSup>
          <m:sSubSupPr>
            <m:ctrlPr>
              <w:rPr>
                <w:rFonts w:ascii="Cambria Math" w:hAnsi="Cambria Math" w:cs="Times New Roman"/>
                <w:i/>
                <w:sz w:val="15"/>
                <w:szCs w:val="15"/>
              </w:rPr>
            </m:ctrlPr>
          </m:sSubSupPr>
          <m:e>
            <m:r>
              <w:rPr>
                <w:rFonts w:ascii="Cambria Math" w:hAnsi="Cambria Math" w:cs="Times New Roman"/>
                <w:sz w:val="15"/>
                <w:szCs w:val="15"/>
              </w:rPr>
              <m:t>SI</m:t>
            </m:r>
          </m:e>
          <m:sub>
            <m:r>
              <w:rPr>
                <w:rFonts w:ascii="Cambria Math" w:hAnsi="Cambria Math" w:cs="Times New Roman"/>
                <w:sz w:val="15"/>
                <w:szCs w:val="15"/>
              </w:rPr>
              <m:t>pt</m:t>
            </m:r>
          </m:sub>
          <m:sup>
            <m:r>
              <w:rPr>
                <w:rFonts w:ascii="Cambria Math" w:hAnsi="Cambria Math" w:cs="Times New Roman"/>
                <w:sz w:val="15"/>
                <w:szCs w:val="15"/>
              </w:rPr>
              <m:t>-i</m:t>
            </m:r>
          </m:sup>
        </m:sSubSup>
        <m:r>
          <w:rPr>
            <w:rFonts w:ascii="Cambria Math" w:hAnsi="Cambria Math" w:cs="Times New Roman"/>
            <w:sz w:val="15"/>
            <w:szCs w:val="15"/>
          </w:rPr>
          <m:t>=</m:t>
        </m:r>
        <m:f>
          <m:fPr>
            <m:ctrlPr>
              <w:rPr>
                <w:rFonts w:ascii="Cambria Math" w:hAnsi="Cambria Math" w:cs="Times New Roman"/>
                <w:i/>
                <w:sz w:val="15"/>
                <w:szCs w:val="15"/>
              </w:rPr>
            </m:ctrlPr>
          </m:fPr>
          <m:num>
            <m:nary>
              <m:naryPr>
                <m:chr m:val="∑"/>
                <m:limLoc m:val="undOvr"/>
                <m:supHide m:val="1"/>
                <m:ctrlPr>
                  <w:rPr>
                    <w:rFonts w:ascii="Cambria Math" w:hAnsi="Cambria Math" w:cs="Times New Roman"/>
                    <w:i/>
                    <w:sz w:val="15"/>
                    <w:szCs w:val="15"/>
                  </w:rPr>
                </m:ctrlPr>
              </m:naryPr>
              <m:sub>
                <m:r>
                  <w:rPr>
                    <w:rFonts w:ascii="Cambria Math" w:hAnsi="Cambria Math" w:cs="Times New Roman"/>
                    <w:sz w:val="15"/>
                    <w:szCs w:val="15"/>
                  </w:rPr>
                  <m:t>-p</m:t>
                </m:r>
              </m:sub>
              <m:sup/>
              <m:e>
                <m:sSubSup>
                  <m:sSubSupPr>
                    <m:ctrlPr>
                      <w:rPr>
                        <w:rFonts w:ascii="Cambria Math" w:hAnsi="Cambria Math" w:cs="Times New Roman"/>
                        <w:i/>
                        <w:sz w:val="15"/>
                        <w:szCs w:val="15"/>
                      </w:rPr>
                    </m:ctrlPr>
                  </m:sSubSupPr>
                  <m:e>
                    <m:r>
                      <w:rPr>
                        <w:rFonts w:ascii="Cambria Math" w:hAnsi="Cambria Math" w:cs="Times New Roman" w:hint="eastAsia"/>
                        <w:sz w:val="15"/>
                        <w:szCs w:val="15"/>
                      </w:rPr>
                      <m:t>employment</m:t>
                    </m:r>
                  </m:e>
                  <m:sub>
                    <m:r>
                      <w:rPr>
                        <w:rFonts w:ascii="Cambria Math" w:hAnsi="Cambria Math" w:cs="Times New Roman"/>
                        <w:sz w:val="15"/>
                        <w:szCs w:val="15"/>
                      </w:rPr>
                      <m:t>p</m:t>
                    </m:r>
                    <m:r>
                      <w:rPr>
                        <w:rFonts w:ascii="Cambria Math" w:hAnsi="Cambria Math" w:cs="Times New Roman" w:hint="eastAsia"/>
                        <w:sz w:val="15"/>
                        <w:szCs w:val="15"/>
                      </w:rPr>
                      <m:t>t</m:t>
                    </m:r>
                  </m:sub>
                  <m:sup>
                    <m:r>
                      <w:rPr>
                        <w:rFonts w:ascii="Cambria Math" w:hAnsi="Cambria Math" w:cs="Times New Roman"/>
                        <w:sz w:val="15"/>
                        <w:szCs w:val="15"/>
                      </w:rPr>
                      <m:t>i</m:t>
                    </m:r>
                  </m:sup>
                </m:sSubSup>
              </m:e>
            </m:nary>
          </m:num>
          <m:den>
            <m:nary>
              <m:naryPr>
                <m:chr m:val="∑"/>
                <m:limLoc m:val="undOvr"/>
                <m:supHide m:val="1"/>
                <m:ctrlPr>
                  <w:rPr>
                    <w:rFonts w:ascii="Cambria Math" w:hAnsi="Cambria Math" w:cs="Times New Roman"/>
                    <w:i/>
                    <w:sz w:val="15"/>
                    <w:szCs w:val="15"/>
                  </w:rPr>
                </m:ctrlPr>
              </m:naryPr>
              <m:sub>
                <m:r>
                  <w:rPr>
                    <w:rFonts w:ascii="Cambria Math" w:hAnsi="Cambria Math" w:cs="Times New Roman"/>
                    <w:sz w:val="15"/>
                    <w:szCs w:val="15"/>
                  </w:rPr>
                  <m:t>I</m:t>
                </m:r>
              </m:sub>
              <m:sup/>
              <m:e>
                <m:nary>
                  <m:naryPr>
                    <m:chr m:val="∑"/>
                    <m:limLoc m:val="undOvr"/>
                    <m:supHide m:val="1"/>
                    <m:ctrlPr>
                      <w:rPr>
                        <w:rFonts w:ascii="Cambria Math" w:hAnsi="Cambria Math" w:cs="Times New Roman"/>
                        <w:i/>
                        <w:sz w:val="15"/>
                        <w:szCs w:val="15"/>
                      </w:rPr>
                    </m:ctrlPr>
                  </m:naryPr>
                  <m:sub>
                    <m:r>
                      <w:rPr>
                        <w:rFonts w:ascii="Cambria Math" w:hAnsi="Cambria Math" w:cs="Times New Roman"/>
                        <w:sz w:val="15"/>
                        <w:szCs w:val="15"/>
                      </w:rPr>
                      <m:t>-p</m:t>
                    </m:r>
                  </m:sub>
                  <m:sup/>
                  <m:e>
                    <m:sSubSup>
                      <m:sSubSupPr>
                        <m:ctrlPr>
                          <w:rPr>
                            <w:rFonts w:ascii="Cambria Math" w:hAnsi="Cambria Math" w:cs="Times New Roman"/>
                            <w:i/>
                            <w:sz w:val="15"/>
                            <w:szCs w:val="15"/>
                          </w:rPr>
                        </m:ctrlPr>
                      </m:sSubSupPr>
                      <m:e>
                        <m:r>
                          <w:rPr>
                            <w:rFonts w:ascii="Cambria Math" w:hAnsi="Cambria Math" w:cs="Times New Roman" w:hint="eastAsia"/>
                            <w:sz w:val="15"/>
                            <w:szCs w:val="15"/>
                          </w:rPr>
                          <m:t>employment</m:t>
                        </m:r>
                      </m:e>
                      <m:sub>
                        <m:r>
                          <w:rPr>
                            <w:rFonts w:ascii="Cambria Math" w:hAnsi="Cambria Math" w:cs="Times New Roman"/>
                            <w:sz w:val="15"/>
                            <w:szCs w:val="15"/>
                          </w:rPr>
                          <m:t>p</m:t>
                        </m:r>
                        <m:r>
                          <w:rPr>
                            <w:rFonts w:ascii="Cambria Math" w:hAnsi="Cambria Math" w:cs="Times New Roman" w:hint="eastAsia"/>
                            <w:sz w:val="15"/>
                            <w:szCs w:val="15"/>
                          </w:rPr>
                          <m:t>t</m:t>
                        </m:r>
                      </m:sub>
                      <m:sup>
                        <m:r>
                          <w:rPr>
                            <w:rFonts w:ascii="Cambria Math" w:hAnsi="Cambria Math" w:cs="Times New Roman"/>
                            <w:sz w:val="15"/>
                            <w:szCs w:val="15"/>
                          </w:rPr>
                          <m:t>i</m:t>
                        </m:r>
                      </m:sup>
                    </m:sSubSup>
                  </m:e>
                </m:nary>
              </m:e>
            </m:nary>
          </m:den>
        </m:f>
      </m:oMath>
      <w:r>
        <w:rPr>
          <w:rFonts w:ascii="宋体" w:hAnsi="宋体" w:hint="eastAsia"/>
          <w:sz w:val="15"/>
          <w:szCs w:val="15"/>
        </w:rPr>
        <w:t>。考虑到数据缺失问题，此处使用省相对专业指数作为省内城市专业指数表征。</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7CB7F" w14:textId="77777777" w:rsidR="000506FE" w:rsidRDefault="000506FE">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D0627" w14:textId="77777777" w:rsidR="000506FE" w:rsidRDefault="000506FE">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EBA44" w14:textId="77777777" w:rsidR="000506FE" w:rsidRDefault="000506FE">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46735"/>
    <w:multiLevelType w:val="hybridMultilevel"/>
    <w:tmpl w:val="87DCA82E"/>
    <w:lvl w:ilvl="0" w:tplc="12BAC3F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63E3BCE"/>
    <w:multiLevelType w:val="hybridMultilevel"/>
    <w:tmpl w:val="17383A7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CD90DA5"/>
    <w:multiLevelType w:val="hybridMultilevel"/>
    <w:tmpl w:val="327C1DC2"/>
    <w:lvl w:ilvl="0" w:tplc="0F50BB2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BA41F99"/>
    <w:multiLevelType w:val="hybridMultilevel"/>
    <w:tmpl w:val="182EF760"/>
    <w:lvl w:ilvl="0" w:tplc="1C6A8606">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5CE0F1A"/>
    <w:multiLevelType w:val="hybridMultilevel"/>
    <w:tmpl w:val="121AF09C"/>
    <w:lvl w:ilvl="0" w:tplc="47B6A73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3BC65DAA"/>
    <w:multiLevelType w:val="hybridMultilevel"/>
    <w:tmpl w:val="D214DDAC"/>
    <w:lvl w:ilvl="0" w:tplc="79E006D8">
      <w:start w:val="1"/>
      <w:numFmt w:val="decimal"/>
      <w:lvlText w:val="%1."/>
      <w:lvlJc w:val="left"/>
      <w:pPr>
        <w:ind w:left="782" w:hanging="360"/>
      </w:pPr>
      <w:rPr>
        <w:rFonts w:hint="default"/>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6" w15:restartNumberingAfterBreak="0">
    <w:nsid w:val="3DA643C3"/>
    <w:multiLevelType w:val="hybridMultilevel"/>
    <w:tmpl w:val="F8FA32EC"/>
    <w:lvl w:ilvl="0" w:tplc="5EAC63B8">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4C21612F"/>
    <w:multiLevelType w:val="hybridMultilevel"/>
    <w:tmpl w:val="F4EA71EE"/>
    <w:lvl w:ilvl="0" w:tplc="8F1E07A0">
      <w:start w:val="1"/>
      <w:numFmt w:val="decimal"/>
      <w:lvlText w:val="%1."/>
      <w:lvlJc w:val="left"/>
      <w:pPr>
        <w:ind w:left="782" w:hanging="360"/>
      </w:pPr>
      <w:rPr>
        <w:rFonts w:hint="default"/>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8" w15:restartNumberingAfterBreak="0">
    <w:nsid w:val="56B76B67"/>
    <w:multiLevelType w:val="hybridMultilevel"/>
    <w:tmpl w:val="4B3A46A0"/>
    <w:lvl w:ilvl="0" w:tplc="0B60D85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5AC6331F"/>
    <w:multiLevelType w:val="hybridMultilevel"/>
    <w:tmpl w:val="23A61896"/>
    <w:lvl w:ilvl="0" w:tplc="419EA66C">
      <w:start w:val="1"/>
      <w:numFmt w:val="japaneseCounting"/>
      <w:lvlText w:val="（%1）"/>
      <w:lvlJc w:val="left"/>
      <w:pPr>
        <w:ind w:left="919" w:hanging="720"/>
      </w:pPr>
      <w:rPr>
        <w:rFonts w:hint="default"/>
      </w:rPr>
    </w:lvl>
    <w:lvl w:ilvl="1" w:tplc="04090019" w:tentative="1">
      <w:start w:val="1"/>
      <w:numFmt w:val="lowerLetter"/>
      <w:lvlText w:val="%2)"/>
      <w:lvlJc w:val="left"/>
      <w:pPr>
        <w:ind w:left="1079" w:hanging="440"/>
      </w:pPr>
    </w:lvl>
    <w:lvl w:ilvl="2" w:tplc="0409001B" w:tentative="1">
      <w:start w:val="1"/>
      <w:numFmt w:val="lowerRoman"/>
      <w:lvlText w:val="%3."/>
      <w:lvlJc w:val="right"/>
      <w:pPr>
        <w:ind w:left="1519" w:hanging="440"/>
      </w:pPr>
    </w:lvl>
    <w:lvl w:ilvl="3" w:tplc="0409000F" w:tentative="1">
      <w:start w:val="1"/>
      <w:numFmt w:val="decimal"/>
      <w:lvlText w:val="%4."/>
      <w:lvlJc w:val="left"/>
      <w:pPr>
        <w:ind w:left="1959" w:hanging="440"/>
      </w:pPr>
    </w:lvl>
    <w:lvl w:ilvl="4" w:tplc="04090019" w:tentative="1">
      <w:start w:val="1"/>
      <w:numFmt w:val="lowerLetter"/>
      <w:lvlText w:val="%5)"/>
      <w:lvlJc w:val="left"/>
      <w:pPr>
        <w:ind w:left="2399" w:hanging="440"/>
      </w:pPr>
    </w:lvl>
    <w:lvl w:ilvl="5" w:tplc="0409001B" w:tentative="1">
      <w:start w:val="1"/>
      <w:numFmt w:val="lowerRoman"/>
      <w:lvlText w:val="%6."/>
      <w:lvlJc w:val="right"/>
      <w:pPr>
        <w:ind w:left="2839" w:hanging="440"/>
      </w:pPr>
    </w:lvl>
    <w:lvl w:ilvl="6" w:tplc="0409000F" w:tentative="1">
      <w:start w:val="1"/>
      <w:numFmt w:val="decimal"/>
      <w:lvlText w:val="%7."/>
      <w:lvlJc w:val="left"/>
      <w:pPr>
        <w:ind w:left="3279" w:hanging="440"/>
      </w:pPr>
    </w:lvl>
    <w:lvl w:ilvl="7" w:tplc="04090019" w:tentative="1">
      <w:start w:val="1"/>
      <w:numFmt w:val="lowerLetter"/>
      <w:lvlText w:val="%8)"/>
      <w:lvlJc w:val="left"/>
      <w:pPr>
        <w:ind w:left="3719" w:hanging="440"/>
      </w:pPr>
    </w:lvl>
    <w:lvl w:ilvl="8" w:tplc="0409001B" w:tentative="1">
      <w:start w:val="1"/>
      <w:numFmt w:val="lowerRoman"/>
      <w:lvlText w:val="%9."/>
      <w:lvlJc w:val="right"/>
      <w:pPr>
        <w:ind w:left="4159" w:hanging="440"/>
      </w:pPr>
    </w:lvl>
  </w:abstractNum>
  <w:abstractNum w:abstractNumId="10" w15:restartNumberingAfterBreak="0">
    <w:nsid w:val="60A30621"/>
    <w:multiLevelType w:val="hybridMultilevel"/>
    <w:tmpl w:val="679C5210"/>
    <w:lvl w:ilvl="0" w:tplc="FC0619C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612F0742"/>
    <w:multiLevelType w:val="hybridMultilevel"/>
    <w:tmpl w:val="B6FC7E76"/>
    <w:lvl w:ilvl="0" w:tplc="B00AFB7E">
      <w:start w:val="1"/>
      <w:numFmt w:val="decimal"/>
      <w:lvlText w:val="%1."/>
      <w:lvlJc w:val="left"/>
      <w:pPr>
        <w:ind w:left="782" w:hanging="360"/>
      </w:pPr>
      <w:rPr>
        <w:rFonts w:hint="default"/>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12" w15:restartNumberingAfterBreak="0">
    <w:nsid w:val="631C76A9"/>
    <w:multiLevelType w:val="hybridMultilevel"/>
    <w:tmpl w:val="10C841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4556722"/>
    <w:multiLevelType w:val="hybridMultilevel"/>
    <w:tmpl w:val="C3BC9AA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6A743019"/>
    <w:multiLevelType w:val="hybridMultilevel"/>
    <w:tmpl w:val="D214DDAC"/>
    <w:lvl w:ilvl="0" w:tplc="FFFFFFFF">
      <w:start w:val="1"/>
      <w:numFmt w:val="decimal"/>
      <w:lvlText w:val="%1."/>
      <w:lvlJc w:val="left"/>
      <w:pPr>
        <w:ind w:left="782" w:hanging="360"/>
      </w:pPr>
      <w:rPr>
        <w:rFonts w:hint="default"/>
      </w:rPr>
    </w:lvl>
    <w:lvl w:ilvl="1" w:tplc="FFFFFFFF" w:tentative="1">
      <w:start w:val="1"/>
      <w:numFmt w:val="lowerLetter"/>
      <w:lvlText w:val="%2)"/>
      <w:lvlJc w:val="left"/>
      <w:pPr>
        <w:ind w:left="1302" w:hanging="440"/>
      </w:pPr>
    </w:lvl>
    <w:lvl w:ilvl="2" w:tplc="FFFFFFFF" w:tentative="1">
      <w:start w:val="1"/>
      <w:numFmt w:val="lowerRoman"/>
      <w:lvlText w:val="%3."/>
      <w:lvlJc w:val="right"/>
      <w:pPr>
        <w:ind w:left="1742" w:hanging="440"/>
      </w:pPr>
    </w:lvl>
    <w:lvl w:ilvl="3" w:tplc="FFFFFFFF" w:tentative="1">
      <w:start w:val="1"/>
      <w:numFmt w:val="decimal"/>
      <w:lvlText w:val="%4."/>
      <w:lvlJc w:val="left"/>
      <w:pPr>
        <w:ind w:left="2182" w:hanging="440"/>
      </w:pPr>
    </w:lvl>
    <w:lvl w:ilvl="4" w:tplc="FFFFFFFF" w:tentative="1">
      <w:start w:val="1"/>
      <w:numFmt w:val="lowerLetter"/>
      <w:lvlText w:val="%5)"/>
      <w:lvlJc w:val="left"/>
      <w:pPr>
        <w:ind w:left="2622" w:hanging="440"/>
      </w:pPr>
    </w:lvl>
    <w:lvl w:ilvl="5" w:tplc="FFFFFFFF" w:tentative="1">
      <w:start w:val="1"/>
      <w:numFmt w:val="lowerRoman"/>
      <w:lvlText w:val="%6."/>
      <w:lvlJc w:val="right"/>
      <w:pPr>
        <w:ind w:left="3062" w:hanging="440"/>
      </w:pPr>
    </w:lvl>
    <w:lvl w:ilvl="6" w:tplc="FFFFFFFF" w:tentative="1">
      <w:start w:val="1"/>
      <w:numFmt w:val="decimal"/>
      <w:lvlText w:val="%7."/>
      <w:lvlJc w:val="left"/>
      <w:pPr>
        <w:ind w:left="3502" w:hanging="440"/>
      </w:pPr>
    </w:lvl>
    <w:lvl w:ilvl="7" w:tplc="FFFFFFFF" w:tentative="1">
      <w:start w:val="1"/>
      <w:numFmt w:val="lowerLetter"/>
      <w:lvlText w:val="%8)"/>
      <w:lvlJc w:val="left"/>
      <w:pPr>
        <w:ind w:left="3942" w:hanging="440"/>
      </w:pPr>
    </w:lvl>
    <w:lvl w:ilvl="8" w:tplc="FFFFFFFF" w:tentative="1">
      <w:start w:val="1"/>
      <w:numFmt w:val="lowerRoman"/>
      <w:lvlText w:val="%9."/>
      <w:lvlJc w:val="right"/>
      <w:pPr>
        <w:ind w:left="4382" w:hanging="440"/>
      </w:pPr>
    </w:lvl>
  </w:abstractNum>
  <w:abstractNum w:abstractNumId="15" w15:restartNumberingAfterBreak="0">
    <w:nsid w:val="718F4C64"/>
    <w:multiLevelType w:val="hybridMultilevel"/>
    <w:tmpl w:val="5406F496"/>
    <w:lvl w:ilvl="0" w:tplc="E364344A">
      <w:start w:val="1"/>
      <w:numFmt w:val="japaneseCounting"/>
      <w:lvlText w:val="%1、"/>
      <w:lvlJc w:val="left"/>
      <w:pPr>
        <w:ind w:left="576" w:hanging="576"/>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49046840">
    <w:abstractNumId w:val="3"/>
  </w:num>
  <w:num w:numId="2" w16cid:durableId="1323390798">
    <w:abstractNumId w:val="15"/>
  </w:num>
  <w:num w:numId="3" w16cid:durableId="424108692">
    <w:abstractNumId w:val="9"/>
  </w:num>
  <w:num w:numId="4" w16cid:durableId="703600945">
    <w:abstractNumId w:val="4"/>
  </w:num>
  <w:num w:numId="5" w16cid:durableId="583606990">
    <w:abstractNumId w:val="13"/>
  </w:num>
  <w:num w:numId="6" w16cid:durableId="1003506102">
    <w:abstractNumId w:val="1"/>
  </w:num>
  <w:num w:numId="7" w16cid:durableId="829953835">
    <w:abstractNumId w:val="10"/>
  </w:num>
  <w:num w:numId="8" w16cid:durableId="236282194">
    <w:abstractNumId w:val="12"/>
  </w:num>
  <w:num w:numId="9" w16cid:durableId="1467966393">
    <w:abstractNumId w:val="6"/>
  </w:num>
  <w:num w:numId="10" w16cid:durableId="799684561">
    <w:abstractNumId w:val="2"/>
  </w:num>
  <w:num w:numId="11" w16cid:durableId="1940331394">
    <w:abstractNumId w:val="0"/>
  </w:num>
  <w:num w:numId="12" w16cid:durableId="913976325">
    <w:abstractNumId w:val="8"/>
  </w:num>
  <w:num w:numId="13" w16cid:durableId="1942060065">
    <w:abstractNumId w:val="11"/>
  </w:num>
  <w:num w:numId="14" w16cid:durableId="1814715719">
    <w:abstractNumId w:val="7"/>
  </w:num>
  <w:num w:numId="15" w16cid:durableId="2143814443">
    <w:abstractNumId w:val="5"/>
  </w:num>
  <w:num w:numId="16" w16cid:durableId="15802079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HorizontalSpacing w:val="99"/>
  <w:drawingGridVerticalSpacing w:val="357"/>
  <w:displayHorizontalDrawingGridEvery w:val="0"/>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1108019-DB8A-41E4-91C3-AEDBFBC4639E}" w:val=" ADDIN NE.Ref.{01108019-DB8A-41E4-91C3-AEDBFBC4639E}&lt;Citation&gt;&lt;Group&gt;&lt;References&gt;&lt;Item&gt;&lt;ID&gt;685&lt;/ID&gt;&lt;UID&gt;{41DC8344-FE68-48FA-91C1-E8162E027CD5}&lt;/UID&gt;&lt;Title&gt;大数据时代的政府管理与服务:提升能力及应对挑战&lt;/Title&gt;&lt;Template&gt;Journal Article&lt;/Template&gt;&lt;Star&gt;0&lt;/Star&gt;&lt;Tag&gt;0&lt;/Tag&gt;&lt;Author&gt;江小涓&lt;/Author&gt;&lt;Year&gt;2018&lt;/Year&gt;&lt;Details&gt;&lt;_accessed&gt;65343498&lt;/_accessed&gt;&lt;_author_adr&gt;中国社会科学院;中国行政管理学会;&lt;/_author_adr&gt;&lt;_collection_scope&gt;CSSCI;PKU&lt;/_collection_scope&gt;&lt;_created&gt;65269210&lt;/_created&gt;&lt;_db_provider&gt;CNKI&lt;/_db_provider&gt;&lt;_doi&gt;10.19735/j.issn.1006-0863.2018.09.01&lt;/_doi&gt;&lt;_isbn&gt;1006-0863&lt;/_isbn&gt;&lt;_issue&gt;09&lt;/_issue&gt;&lt;_journal&gt;中国行政管理&lt;/_journal&gt;&lt;_keywords&gt;公共管理;政府职能;互联网;大数据&lt;/_keywords&gt;&lt;_modified&gt;65343499&lt;/_modified&gt;&lt;_pages&gt;6-11&lt;/_pages&gt;&lt;_url&gt;https://link.cnki.net/doi/10.19735/j.issn.1006-0863.2018.09.01&lt;/_url&gt;&lt;_translated_author&gt;Jiang, Xiao juan&lt;/_translated_author&gt;&lt;/Details&gt;&lt;Extra&gt;&lt;DBUID&gt;{F96A950B-833F-4880-A151-76DA2D6A2879}&lt;/DBUID&gt;&lt;/Extra&gt;&lt;/Item&gt;&lt;/References&gt;&lt;/Group&gt;&lt;/Citation&gt;_x000a_"/>
    <w:docVar w:name="NE.Ref{04A3A22F-E874-444C-9EAB-B27DDDD7D796}" w:val=" ADDIN NE.Ref.{04A3A22F-E874-444C-9EAB-B27DDDD7D796}&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Extra&gt;&lt;/Item&gt;&lt;/References&gt;&lt;/Group&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Extra&gt;&lt;/Item&gt;&lt;/References&gt;&lt;/Group&gt;&lt;Group&gt;&lt;References&gt;&lt;Item&gt;&lt;ID&gt;761&lt;/ID&gt;&lt;UID&gt;{3B8E59FF-6DD0-46CD-AEAB-3C4FA5A16DA5}&lt;/UID&gt;&lt;Title&gt;经济增长目标调整促进了资本流动吗——基于企业跨地区投资的视角&lt;/Title&gt;&lt;Template&gt;Journal Article&lt;/Template&gt;&lt;Star&gt;0&lt;/Star&gt;&lt;Tag&gt;0&lt;/Tag&gt;&lt;Author&gt;周泽将; 雷玲&lt;/Author&gt;&lt;Year&gt;2024&lt;/Year&gt;&lt;Details&gt;&lt;_accessed&gt;65474591&lt;/_accessed&gt;&lt;_author_adr&gt;安徽大学商学院;安徽大学经济学院;&lt;/_author_adr&gt;&lt;_collection_scope&gt;PKU&lt;/_collection_scope&gt;&lt;_created&gt;65461542&lt;/_created&gt;&lt;_db_provider&gt;CNKI&lt;/_db_provider&gt;&lt;_isbn&gt;1008-3448&lt;/_isbn&gt;&lt;_issue&gt;01&lt;/_issue&gt;&lt;_journal&gt;南开管理评论&lt;/_journal&gt;&lt;_keywords&gt;经济增长目标;目标调整;资本流动;跨地区投资&lt;/_keywords&gt;&lt;_modified&gt;65489574&lt;/_modified&gt;&lt;_pages&gt;168-180&lt;/_pages&gt;&lt;_url&gt;https://link.cnki.net/urlid/12.1288.F.20230809.1353&lt;/_url&gt;&lt;_volume&gt;27&lt;/_volume&gt;&lt;_translated_author&gt;Zhou, Ze jiang;Lei, Ling&lt;/_translated_author&gt;&lt;/Details&gt;&lt;Extra&gt;&lt;DBUID&gt;{F96A950B-833F-4880-A151-76DA2D6A2879}&lt;/DBUID&gt;&lt;/Extra&gt;&lt;/Item&gt;&lt;/References&gt;&lt;/Group&gt;&lt;/Citation&gt;_x000a_"/>
    <w:docVar w:name="NE.Ref{05C5B224-3944-4266-ABCD-D2F44DED4B92}" w:val=" ADDIN NE.Ref.{05C5B224-3944-4266-ABCD-D2F44DED4B92}&lt;Citation&gt;&lt;Group&gt;&lt;References&gt;&lt;Item&gt;&lt;ID&gt;801&lt;/ID&gt;&lt;UID&gt;{4A5F5674-488F-4609-8831-F6B5A974F02B}&lt;/UID&gt;&lt;Title&gt;Open government data and the cost of debt&lt;/Title&gt;&lt;Template&gt;Journal Article&lt;/Template&gt;&lt;Star&gt;0&lt;/Star&gt;&lt;Tag&gt;0&lt;/Tag&gt;&lt;Author&gt;Xing, Qiuhang; Xu, Gaoshuang; Wang, Yanping&lt;/Author&gt;&lt;Year&gt;2024&lt;/Year&gt;&lt;Details&gt;&lt;_alternate_title&gt;International Review of Financial Analysis&lt;/_alternate_title&gt;&lt;_collection_scope&gt;SSCI&lt;/_collection_scope&gt;&lt;_created&gt;65473462&lt;/_created&gt;&lt;_date&gt;2024-01-01&lt;/_date&gt;&lt;_date_display&gt;2024&lt;/_date_display&gt;&lt;_doi&gt;https://doi.org/10.1016/j.irfa.2024.103384&lt;/_doi&gt;&lt;_impact_factor&gt;   8.200&lt;/_impact_factor&gt;&lt;_isbn&gt;1057-5219&lt;/_isbn&gt;&lt;_journal&gt;International Review of Financial Analysis&lt;/_journal&gt;&lt;_keywords&gt;Open government data; Cost of debt; Information asymmetry&lt;/_keywords&gt;&lt;_modified&gt;65480656&lt;/_modified&gt;&lt;_pages&gt;103384&lt;/_pages&gt;&lt;_social_category&gt;商业：财政与金融(1)&lt;/_social_category&gt;&lt;_url&gt;https://www.sciencedirect.com/science/article/pii/S1057521924003168&lt;/_url&gt;&lt;_volume&gt;95&lt;/_volume&gt;&lt;/Details&gt;&lt;Extra&gt;&lt;DBUID&gt;{F96A950B-833F-4880-A151-76DA2D6A2879}&lt;/DBUID&gt;&lt;/Extra&gt;&lt;/Item&gt;&lt;/References&gt;&lt;/Group&gt;&lt;/Citation&gt;_x000a_"/>
    <w:docVar w:name="NE.Ref{06529837-1A8C-493C-9135-9DA2981C4529}" w:val=" ADDIN NE.Ref.{06529837-1A8C-493C-9135-9DA2981C4529}&lt;Citation&gt;&lt;Group&gt;&lt;References&gt;&lt;Item&gt;&lt;ID&gt;530&lt;/ID&gt;&lt;UID&gt;{D4EA18F1-EB0C-4302-880B-471391979546}&lt;/UID&gt;&lt;Title&gt;高管校友圈降低了市场分割程度吗？——基于异地并购的视角&lt;/Title&gt;&lt;Template&gt;Journal Article&lt;/Template&gt;&lt;Star&gt;0&lt;/Star&gt;&lt;Tag&gt;0&lt;/Tag&gt;&lt;Author&gt;彭聪; 申宇; 张宗益&lt;/Author&gt;&lt;Year&gt;2020&lt;/Year&gt;&lt;Details&gt;&lt;_accessed&gt;65386982&lt;/_accessed&gt;&lt;_author_adr&gt;西南财经大学金融学院;重庆大学经济与工商管理学院;&lt;/_author_adr&gt;&lt;_collection_scope&gt;PKU&lt;/_collection_scope&gt;&lt;_created&gt;64999984&lt;/_created&gt;&lt;_db_provider&gt;CNKI&lt;/_db_provider&gt;&lt;_doi&gt;10.19744/j.cnki.11-1235/f.2020.0074&lt;/_doi&gt;&lt;_isbn&gt;1002-5502&lt;/_isbn&gt;&lt;_issue&gt;05&lt;/_issue&gt;&lt;_journal&gt;管理世界&lt;/_journal&gt;&lt;_keywords&gt;市场分割;资源整合;校友圈子;异地并购&lt;/_keywords&gt;&lt;_modified&gt;65386982&lt;/_modified&gt;&lt;_pages&gt;134-144+160+14&lt;/_pages&gt;&lt;_volume&gt;36&lt;/_volume&gt;&lt;_translated_author&gt;Peng, Cong;Shen, Yu;Zhang, Zong yi&lt;/_translated_author&gt;&lt;/Details&gt;&lt;Extra&gt;&lt;DBUID&gt;{F96A950B-833F-4880-A151-76DA2D6A2879}&lt;/DBUID&gt;&lt;/Extra&gt;&lt;/Item&gt;&lt;/References&gt;&lt;/Group&gt;&lt;/Citation&gt;_x000a_"/>
    <w:docVar w:name="NE.Ref{11DA6A56-C02E-4065-A561-E0A41263E747}" w:val=" ADDIN NE.Ref.{11DA6A56-C02E-4065-A561-E0A41263E747}&lt;Citation&gt;&lt;Group&gt;&lt;References&gt;&lt;Item&gt;&lt;ID&gt;794&lt;/ID&gt;&lt;UID&gt;{8626B502-9687-4C8E-A42A-82C431B4E99F}&lt;/UID&gt;&lt;Title&gt;异地商会与企业跨地区发展&lt;/Title&gt;&lt;Template&gt;Journal Article&lt;/Template&gt;&lt;Star&gt;0&lt;/Star&gt;&lt;Tag&gt;0&lt;/Tag&gt;&lt;Author&gt;曹春方; 贾凡胜&lt;/Author&gt;&lt;Year&gt;2020&lt;/Year&gt;&lt;Details&gt;&lt;_author_adr&gt;中山大学现代会计与财务研究中心;中山大学管理学院;中国海洋大学管理学院;中国企业营运资金管理研究中心;&lt;/_author_adr&gt;&lt;_collection_scope&gt;PKU&lt;/_collection_scope&gt;&lt;_created&gt;65472200&lt;/_created&gt;&lt;_db_provider&gt;CNKI&lt;/_db_provider&gt;&lt;_isbn&gt;0577-9154&lt;/_isbn&gt;&lt;_issue&gt;04&lt;/_issue&gt;&lt;_journal&gt;经济研究&lt;/_journal&gt;&lt;_keywords&gt;异地商会;正式社会网络;非市场途径;跨地区发展&lt;/_keywords&gt;&lt;_modified&gt;65472200&lt;/_modified&gt;&lt;_pages&gt;150-166&lt;/_pages&gt;&lt;_url&gt;https://kns.cnki.net/kcms2/article/abstract?v=gR09I6yibQ742lgsl_TzDklH1_INGnVNJPOu0awa5JZfvR5DloYqGsVwRkI90FaLsT6j3GTWV8Z7GBQgHyxhuVja2tfLGawigEwJZewapBWYP_A-8HfqW3bADGs2yRwyxo9yBPhPypdBOiaoMSCTQFP9lr956DXV&amp;amp;uniplatform=NZKPT&amp;amp;language=CHS&lt;/_url&gt;&lt;_volume&gt;55&lt;/_volume&gt;&lt;_translated_author&gt;Cao, Chun fang;Jia, Fan sheng&lt;/_translated_author&gt;&lt;/Details&gt;&lt;Extra&gt;&lt;DBUID&gt;{F96A950B-833F-4880-A151-76DA2D6A2879}&lt;/DBUID&gt;&lt;/Extra&gt;&lt;/Item&gt;&lt;/References&gt;&lt;/Group&gt;&lt;Group&gt;&lt;References&gt;&lt;Item&gt;&lt;ID&gt;527&lt;/ID&gt;&lt;UID&gt;{94A6426E-B124-43DA-9BEF-AE713D182711}&lt;/UID&gt;&lt;Title&gt;风险投资具有咨询功能吗？——异地风投在异地并购中的功能研究&lt;/Title&gt;&lt;Template&gt;Journal Article&lt;/Template&gt;&lt;Star&gt;0&lt;/Star&gt;&lt;Tag&gt;0&lt;/Tag&gt;&lt;Author&gt;李善民; 杨继彬; 钟君煜&lt;/Author&gt;&lt;Year&gt;2019&lt;/Year&gt;&lt;Details&gt;&lt;_accessed&gt;65346748&lt;/_accessed&gt;&lt;_author_adr&gt;中山大学管理学院;中山大学并购重组研究中心;&lt;/_author_adr&gt;&lt;_collection_scope&gt;PKU&lt;/_collection_scope&gt;&lt;_created&gt;64999981&lt;/_created&gt;&lt;_db_provider&gt;CNKI&lt;/_db_provider&gt;&lt;_doi&gt;10.19744/j.cnki.11-1235/f.2019.0170&lt;/_doi&gt;&lt;_isbn&gt;1002-5502&lt;/_isbn&gt;&lt;_issue&gt;12&lt;/_issue&gt;&lt;_journal&gt;管理世界&lt;/_journal&gt;&lt;_keywords&gt;异地风投;异地并购;咨询功能;并购决策&lt;/_keywords&gt;&lt;_modified&gt;65346748&lt;/_modified&gt;&lt;_pages&gt;164-180+215-216&lt;/_pages&gt;&lt;_volume&gt;35&lt;/_volume&gt;&lt;_translated_author&gt;Li, Shan min;Yang, Ji bin;Zhong, Jun yu&lt;/_translated_author&gt;&lt;/Details&gt;&lt;Extra&gt;&lt;DBUID&gt;{F96A950B-833F-4880-A151-76DA2D6A2879}&lt;/DBUID&gt;&lt;/Extra&gt;&lt;/Item&gt;&lt;/References&gt;&lt;/Group&gt;&lt;/Citation&gt;_x000a_"/>
    <w:docVar w:name="NE.Ref{196953B6-668C-4F22-8E8A-6F0FDDA544D9}" w:val=" ADDIN NE.Ref.{196953B6-668C-4F22-8E8A-6F0FDDA544D9}&lt;Citation&gt;&lt;Group&gt;&lt;References&gt;&lt;Item&gt;&lt;ID&gt;802&lt;/ID&gt;&lt;UID&gt;{2F5C928E-6B0C-41EF-9285-A0365570F86F}&lt;/UID&gt;&lt;Title&gt;Public data access and stock price synchronicity: Evidence from China&lt;/Title&gt;&lt;Template&gt;Journal Article&lt;/Template&gt;&lt;Star&gt;0&lt;/Star&gt;&lt;Tag&gt;0&lt;/Tag&gt;&lt;Author&gt;Du, Jiayue; Gao, Haoyu; Wen, Huiyu; Ye, Yanyi&lt;/Author&gt;&lt;Year&gt;2024&lt;/Year&gt;&lt;Details&gt;&lt;_alternate_title&gt;Economic Modelling&lt;/_alternate_title&gt;&lt;_collection_scope&gt;SSCI&lt;/_collection_scope&gt;&lt;_created&gt;65474503&lt;/_created&gt;&lt;_date&gt;2024-01-01&lt;/_date&gt;&lt;_date_display&gt;2024&lt;/_date_display&gt;&lt;_doi&gt;https://doi.org/10.1016/j.econmod.2023.106591&lt;/_doi&gt;&lt;_impact_factor&gt;   4.700&lt;/_impact_factor&gt;&lt;_isbn&gt;0264-9993&lt;/_isbn&gt;&lt;_journal&gt;Economic Modelling&lt;/_journal&gt;&lt;_keywords&gt;Information-acquisition costs; Information infrastructure; Public data access; Stock price synchronicity&lt;/_keywords&gt;&lt;_modified&gt;65480649&lt;/_modified&gt;&lt;_pages&gt;106591&lt;/_pages&gt;&lt;_social_category&gt;经济学(2)&lt;/_social_category&gt;&lt;_url&gt;https://www.sciencedirect.com/science/article/pii/S0264999323004030&lt;/_url&gt;&lt;_volume&gt;130&lt;/_volume&gt;&lt;/Details&gt;&lt;Extra&gt;&lt;DBUID&gt;{F96A950B-833F-4880-A151-76DA2D6A2879}&lt;/DBUID&gt;&lt;/Extra&gt;&lt;/Item&gt;&lt;/References&gt;&lt;/Group&gt;&lt;/Citation&gt;_x000a_"/>
    <w:docVar w:name="NE.Ref{19E438CA-7328-45DA-80FA-F8B1F456B8E4}" w:val=" ADDIN NE.Ref.{19E438CA-7328-45DA-80FA-F8B1F456B8E4}&lt;Citation&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uthor_adr&gt;中山大学国际金融学院;中国人民大学国家发展与战略研究院;&lt;/_author_adr&gt;&lt;_db_provider&gt;CNKI&lt;/_db_provider&gt;&lt;_doi&gt;10.19985/j.cnki.cassjwe.2024.06.007&lt;/_doi&gt;&lt;_isbn&gt;1002-9621&lt;/_isbn&gt;&lt;_issue&gt;06&lt;/_issue&gt;&lt;_journal&gt;世界经济&lt;/_journal&gt;&lt;_keywords&gt;资本空间配置;信息成本;方言&lt;/_keywords&gt;&lt;_pages&gt;201-224&lt;/_pages&gt;&lt;_url&gt;https://link.cnki.net/doi/10.19985/j.cnki.cassjwe.2024.06.007&lt;/_url&gt;&lt;_created&gt;65474591&lt;/_created&gt;&lt;_modified&gt;65474591&lt;/_modified&gt;&lt;_collection_scope&gt;PKU&lt;/_collection_scope&gt;&lt;_accessed&gt;65474591&lt;/_accessed&gt;&lt;_translated_author&gt;Liu, Yu yun;Yan, Cui xin;Chen, Qiang yuan&lt;/_translated_author&gt;&lt;/Details&gt;&lt;Extra&gt;&lt;DBUID&gt;{F96A950B-833F-4880-A151-76DA2D6A2879}&lt;/DBUID&gt;&lt;/Extra&gt;&lt;/Item&gt;&lt;/References&gt;&lt;/Group&gt;&lt;/Citation&gt;_x000a_"/>
    <w:docVar w:name="NE.Ref{1B49EAD6-01F1-4583-9E79-00BCA69CECC7}" w:val=" ADDIN NE.Ref.{1B49EAD6-01F1-4583-9E79-00BCA69CECC7}&lt;Citation&gt;&lt;Group&gt;&lt;References&gt;&lt;Item&gt;&lt;ID&gt;767&lt;/ID&gt;&lt;UID&gt;{FDB50FAE-198C-4763-B1D1-FB6B05457EC2}&lt;/UID&gt;&lt;Title&gt;数据要素与城投债定价：基于公共数据开放的准自然实验&lt;/Title&gt;&lt;Template&gt;Journal Article&lt;/Template&gt;&lt;Star&gt;0&lt;/Star&gt;&lt;Tag&gt;0&lt;/Tag&gt;&lt;Author&gt;欧阳伊玲; 王愉靖; 李平; 高昊宇&lt;/Author&gt;&lt;Year&gt;2024&lt;/Year&gt;&lt;Details&gt;&lt;_author_adr&gt;上海对外经贸大学金融管理学院;北京航空航天大学经济管理学院;北京航空航天大学低碳治理与政策智能实验室;中国人民大学财政金融学院;&lt;/_author_adr&gt;&lt;_collection_scope&gt;PKU&lt;/_collection_scope&gt;&lt;_created&gt;65462226&lt;/_created&gt;&lt;_db_provider&gt;CNKI&lt;/_db_provider&gt;&lt;_doi&gt;10.19985/j.cnki.cassjwe.2024.02.007&lt;/_doi&gt;&lt;_isbn&gt;1002-9621&lt;/_isbn&gt;&lt;_issue&gt;02&lt;/_issue&gt;&lt;_journal&gt;世界经济&lt;/_journal&gt;&lt;_keywords&gt;公共数据开放;数据要素;城投债;信用利差&lt;/_keywords&gt;&lt;_modified&gt;65462226&lt;/_modified&gt;&lt;_pages&gt;174-203&lt;/_pages&gt;&lt;_url&gt;https://link.cnki.net/doi/10.19985/j.cnki.cassjwe.2024.02.007&lt;/_url&gt;&lt;_translated_author&gt;Ou, Yang yi ling;Wang, Yu jing;Li, Ping;Gao, Hao yu&lt;/_translated_author&gt;&lt;/Details&gt;&lt;Extra&gt;&lt;DBUID&gt;{F96A950B-833F-4880-A151-76DA2D6A2879}&lt;/DBUID&gt;&lt;CitOmitAuthors&gt;1&lt;/CitOmitAuthors&gt;&lt;/Extra&gt;&lt;/Item&gt;&lt;/References&gt;&lt;/Group&gt;&lt;/Citation&gt;_x000a_"/>
    <w:docVar w:name="NE.Ref{1B5985F0-F5AC-457E-99C5-8A7AA80AF947}" w:val=" ADDIN NE.Ref.{1B5985F0-F5AC-457E-99C5-8A7AA80AF947}&lt;Citation&gt;&lt;Group&gt;&lt;References&gt;&lt;Item&gt;&lt;ID&gt;794&lt;/ID&gt;&lt;UID&gt;{8626B502-9687-4C8E-A42A-82C431B4E99F}&lt;/UID&gt;&lt;Title&gt;异地商会与企业跨地区发展&lt;/Title&gt;&lt;Template&gt;Journal Article&lt;/Template&gt;&lt;Star&gt;0&lt;/Star&gt;&lt;Tag&gt;0&lt;/Tag&gt;&lt;Author&gt;曹春方; 贾凡胜&lt;/Author&gt;&lt;Year&gt;2020&lt;/Year&gt;&lt;Details&gt;&lt;_author_adr&gt;中山大学现代会计与财务研究中心;中山大学管理学院;中国海洋大学管理学院;中国企业营运资金管理研究中心;&lt;/_author_adr&gt;&lt;_collection_scope&gt;PKU&lt;/_collection_scope&gt;&lt;_created&gt;65472200&lt;/_created&gt;&lt;_db_provider&gt;CNKI&lt;/_db_provider&gt;&lt;_isbn&gt;0577-9154&lt;/_isbn&gt;&lt;_issue&gt;04&lt;/_issue&gt;&lt;_journal&gt;经济研究&lt;/_journal&gt;&lt;_keywords&gt;异地商会;正式社会网络;非市场途径;跨地区发展&lt;/_keywords&gt;&lt;_modified&gt;65472200&lt;/_modified&gt;&lt;_pages&gt;150-166&lt;/_pages&gt;&lt;_url&gt;https://kns.cnki.net/kcms2/article/abstract?v=gR09I6yibQ742lgsl_TzDklH1_INGnVNJPOu0awa5JZfvR5DloYqGsVwRkI90FaLsT6j3GTWV8Z7GBQgHyxhuVja2tfLGawigEwJZewapBWYP_A-8HfqW3bADGs2yRwyxo9yBPhPypdBOiaoMSCTQFP9lr956DXV&amp;amp;uniplatform=NZKPT&amp;amp;language=CHS&lt;/_url&gt;&lt;_volume&gt;55&lt;/_volume&gt;&lt;_translated_author&gt;Cao, Chun fang;Jia, Fan sheng&lt;/_translated_author&gt;&lt;/Details&gt;&lt;Extra&gt;&lt;DBUID&gt;{F96A950B-833F-4880-A151-76DA2D6A2879}&lt;/DBUID&gt;&lt;/Extra&gt;&lt;/Item&gt;&lt;/References&gt;&lt;/Group&gt;&lt;/Citation&gt;_x000a_"/>
    <w:docVar w:name="NE.Ref{1B6256EA-7245-44AB-B6EA-AC792C3D4411}" w:val=" ADDIN NE.Ref.{1B6256EA-7245-44AB-B6EA-AC792C3D4411}&lt;Citation&gt;&lt;Group&gt;&lt;References&gt;&lt;Item&gt;&lt;ID&gt;787&lt;/ID&gt;&lt;UID&gt;{8AED8E54-883E-4696-867D-614F319000E1}&lt;/UID&gt;&lt;Title&gt;Nearby or faraway? Determinants of target selection in family firm acquisitions&lt;/Title&gt;&lt;Template&gt;Journal Article&lt;/Template&gt;&lt;Star&gt;0&lt;/Star&gt;&lt;Tag&gt;0&lt;/Tag&gt;&lt;Author&gt;Calabrò, Andrea; Requejo, Ignacio; Reyes-Reina, Fernando; Sanchez-Bueno, Maria J; Suárez-González, Isabel&lt;/Author&gt;&lt;Year&gt;2024&lt;/Year&gt;&lt;Details&gt;&lt;_alternate_title&gt;International Business Review&lt;/_alternate_title&gt;&lt;_collection_scope&gt;SSCI&lt;/_collection_scope&gt;&lt;_created&gt;65471704&lt;/_created&gt;&lt;_date&gt;2024-01-01&lt;/_date&gt;&lt;_date_display&gt;2024&lt;/_date_display&gt;&lt;_doi&gt;https://doi.org/10.1016/j.ibusrev.2024.102295&lt;/_doi&gt;&lt;_impact_factor&gt;   8.700&lt;/_impact_factor&gt;&lt;_isbn&gt;0969-5931&lt;/_isbn&gt;&lt;_issue&gt;4&lt;/_issue&gt;&lt;_journal&gt;International Business Review&lt;/_journal&gt;&lt;_keywords&gt;Family firms; Acquisitions; Target selection; Distance; Performance aspirations&lt;/_keywords&gt;&lt;_modified&gt;65471704&lt;/_modified&gt;&lt;_pages&gt;102295&lt;/_pages&gt;&lt;_social_category&gt;商业：管理(2)&lt;/_social_category&gt;&lt;_url&gt;https://www.sciencedirect.com/science/article/pii/S0969593124000428&lt;/_url&gt;&lt;_volume&gt;33&lt;/_volume&gt;&lt;/Details&gt;&lt;Extra&gt;&lt;DBUID&gt;{F96A950B-833F-4880-A151-76DA2D6A2879}&lt;/DBUID&gt;&lt;/Extra&gt;&lt;/Item&gt;&lt;/References&gt;&lt;/Group&gt;&lt;Group&gt;&lt;References&gt;&lt;Item&gt;&lt;ID&gt;589&lt;/ID&gt;&lt;UID&gt;{61FE340A-76F7-46F0-8B96-3F0F830CF13D}&lt;/UID&gt;&lt;Title&gt;Overcoming the Liability of Foreignness&lt;/Title&gt;&lt;Template&gt;Journal Article&lt;/Template&gt;&lt;Star&gt;0&lt;/Star&gt;&lt;Tag&gt;0&lt;/Tag&gt;&lt;Author&gt;Zaheer, Srilata&lt;/Author&gt;&lt;Year&gt;1995&lt;/Year&gt;&lt;Details&gt;&lt;_alternate_title&gt;The Academy of Management Journal&lt;/_alternate_title&gt;&lt;_created&gt;65015492&lt;/_created&gt;&lt;_date&gt;1995-01-01&lt;/_date&gt;&lt;_date_display&gt;1995&lt;/_date_display&gt;&lt;_doi&gt;10.2307/256683&lt;/_doi&gt;&lt;_impact_factor&gt;  10.500&lt;/_impact_factor&gt;&lt;_isbn&gt;00014273&lt;/_isbn&gt;&lt;_issue&gt;2&lt;/_issue&gt;&lt;_journal&gt;The Academy of Management Journal&lt;/_journal&gt;&lt;_modified&gt;65471878&lt;/_modified&gt;&lt;_ori_publication&gt;Academy of Management&lt;/_ori_publication&gt;&lt;_pages&gt;341-363&lt;/_pages&gt;&lt;_url&gt;http://www.jstor.org/stable/256683&lt;/_url&gt;&lt;_volume&gt;38&lt;/_volume&gt;&lt;/Details&gt;&lt;Extra&gt;&lt;DBUID&gt;{F96A950B-833F-4880-A151-76DA2D6A2879}&lt;/DBUID&gt;&lt;/Extra&gt;&lt;/Item&gt;&lt;/References&gt;&lt;/Group&gt;&lt;/Citation&gt;_x000a_"/>
    <w:docVar w:name="NE.Ref{21D825A3-4DCF-402E-9AA3-581237EE50C1}" w:val=" ADDIN NE.Ref.{21D825A3-4DCF-402E-9AA3-581237EE50C1}&lt;Citation&gt;&lt;Group&gt;&lt;References&gt;&lt;Item&gt;&lt;ID&gt;779&lt;/ID&gt;&lt;UID&gt;{3AD6B1E4-3674-4589-94CA-1D24F2B6E10A}&lt;/UID&gt;&lt;Title&gt;为什么中国企业难以国内跨地区经营?&lt;/Title&gt;&lt;Template&gt;Journal Article&lt;/Template&gt;&lt;Star&gt;0&lt;/Star&gt;&lt;Tag&gt;0&lt;/Tag&gt;&lt;Author&gt;宋渊洋; 黄礼伟&lt;/Author&gt;&lt;Year&gt;2014&lt;/Year&gt;&lt;Details&gt;&lt;_author_adr&gt;华东理工大学商学院;&lt;/_author_adr&gt;&lt;_collection_scope&gt;PKU&lt;/_collection_scope&gt;&lt;_created&gt;65466457&lt;/_created&gt;&lt;_db_provider&gt;CNKI&lt;/_db_provider&gt;&lt;_doi&gt;10.19744/j.cnki.11-1235/f.2014.12.010&lt;/_doi&gt;&lt;_isbn&gt;1002-5502&lt;/_isbn&gt;&lt;_issue&gt;12&lt;/_issue&gt;&lt;_journal&gt;管理世界&lt;/_journal&gt;&lt;_keywords&gt;跨地区经营;制度性障碍;制度环境;制度距离;市场分割&lt;/_keywords&gt;&lt;_modified&gt;65474938&lt;/_modified&gt;&lt;_pages&gt;115-133&lt;/_pages&gt;&lt;_translated_author&gt;Song, Yuan yang;Huang, Li wei&lt;/_translated_author&gt;&lt;/Details&gt;&lt;Extra&gt;&lt;DBUID&gt;{F96A950B-833F-4880-A151-76DA2D6A2879}&lt;/DBUID&gt;&lt;/Extra&gt;&lt;/Item&gt;&lt;/References&gt;&lt;/Group&gt;&lt;/Citation&gt;_x000a_"/>
    <w:docVar w:name="NE.Ref{27B286E8-B148-4F18-9646-0BC4C4925344}" w:val=" ADDIN NE.Ref.{27B286E8-B148-4F18-9646-0BC4C4925344}&lt;Citation&gt;&lt;Group&gt;&lt;References&gt;&lt;Item&gt;&lt;ID&gt;786&lt;/ID&gt;&lt;UID&gt;{787ECE96-D51D-4A7C-A5FD-97364B7AAB83}&lt;/UID&gt;&lt;Title&gt;The Sustainable Value of Open Government Data&lt;/Title&gt;&lt;Template&gt;Journal Article&lt;/Template&gt;&lt;Star&gt;0&lt;/Star&gt;&lt;Tag&gt;0&lt;/Tag&gt;&lt;Author&gt;Jetzek, Thorhildur; Avital, Michel; Rn-Andersen, Niels Bj O&lt;/Author&gt;&lt;Year&gt;2019&lt;/Year&gt;&lt;Details&gt;&lt;_collection_scope&gt;SCIE;SSCI&lt;/_collection_scope&gt;&lt;_created&gt;65470591&lt;/_created&gt;&lt;_impact_factor&gt;   5.800&lt;/_impact_factor&gt;&lt;_journal&gt;J. Assoc. Inf. Syst.&lt;/_journal&gt;&lt;_modified&gt;65470591&lt;/_modified&gt;&lt;_pages&gt;6&lt;/_pages&gt;&lt;_social_category&gt;计算机：信息系统(2) &amp;amp; 图书情报与档案管理(3)&lt;/_social_category&gt;&lt;_url&gt;https://api.semanticscholar.org/CorpusID:195891238&lt;/_url&gt;&lt;_volume&gt;20&lt;/_volume&gt;&lt;/Details&gt;&lt;Extra&gt;&lt;DBUID&gt;{F96A950B-833F-4880-A151-76DA2D6A2879}&lt;/DBUID&gt;&lt;/Extra&gt;&lt;/Item&gt;&lt;/References&gt;&lt;/Group&gt;&lt;/Citation&gt;_x000a_"/>
    <w:docVar w:name="NE.Ref{2B0004B9-BC45-4779-A529-77D206AF8440}" w:val=" ADDIN NE.Ref.{2B0004B9-BC45-4779-A529-77D206AF8440}&lt;Citation&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CitOmitAuthors&gt;1&lt;/CitOmitAuthors&gt;&lt;/Extra&gt;&lt;/Item&gt;&lt;/References&gt;&lt;/Group&gt;&lt;/Citation&gt;_x000a_"/>
    <w:docVar w:name="NE.Ref{2B6BCAF7-EE84-42CB-B7CF-4A598A315E56}" w:val=" ADDIN NE.Ref.{2B6BCAF7-EE84-42CB-B7CF-4A598A315E56}&lt;Citation&gt;&lt;Group&gt;&lt;References&gt;&lt;Item&gt;&lt;ID&gt;766&lt;/ID&gt;&lt;UID&gt;{64C91717-81F3-4421-81D3-8F21A9BAAE9C}&lt;/UID&gt;&lt;Title&gt;政务新媒体与地方政府信任：来自开通政务微博的证据&lt;/Title&gt;&lt;Template&gt;Journal Article&lt;/Template&gt;&lt;Star&gt;0&lt;/Star&gt;&lt;Tag&gt;0&lt;/Tag&gt;&lt;Author&gt;刘伯凡; 赵玉兰; 梁平汉; 张军&lt;/Author&gt;&lt;Year&gt;2023&lt;/Year&gt;&lt;Details&gt;&lt;_author_adr&gt;安徽财经大学国际经济贸易学院;中山大学政治与公共事务管理学院;中山大学中国公共管理研究中心;湖南大学马克思主义学院廉政研究中心;&lt;/_author_adr&gt;&lt;_db_provider&gt;CNKI&lt;/_db_provider&gt;&lt;_doi&gt;10.19985/j.cnki.cassjwe.2023.05.007&lt;/_doi&gt;&lt;_isbn&gt;1002-9621&lt;/_isbn&gt;&lt;_issue&gt;05&lt;/_issue&gt;&lt;_journal&gt;世界经济&lt;/_journal&gt;&lt;_keywords&gt;政务微博;政府信任;政务信息公开;机器学习;双重差分模型&lt;/_keywords&gt;&lt;_pages&gt;177-200&lt;/_pages&gt;&lt;_url&gt;https://link.cnki.net/doi/10.19985/j.cnki.cassjwe.2023.05.007&lt;/_url&gt;&lt;_volume&gt;46&lt;/_volume&gt;&lt;_created&gt;65462225&lt;/_created&gt;&lt;_modified&gt;65462225&lt;/_modified&gt;&lt;_collection_scope&gt;PKU&lt;/_collection_scope&gt;&lt;_accessed&gt;65462237&lt;/_accessed&gt;&lt;_translated_author&gt;Liu, Bo fan;Zhao, Yu lan;Liang, Ping han;Zhang, Jun&lt;/_translated_author&gt;&lt;/Details&gt;&lt;Extra&gt;&lt;DBUID&gt;{F96A950B-833F-4880-A151-76DA2D6A2879}&lt;/DBUID&gt;&lt;CitOmitAuthors&gt;1&lt;/CitOmitAuthors&gt;&lt;/Extra&gt;&lt;/Item&gt;&lt;/References&gt;&lt;/Group&gt;&lt;/Citation&gt;_x000a_"/>
    <w:docVar w:name="NE.Ref{2FCB6666-D0FD-4BD4-8674-599989DFC6A9}" w:val=" ADDIN NE.Ref.{2FCB6666-D0FD-4BD4-8674-599989DFC6A9}&lt;Citation&gt;&lt;Group&gt;&lt;References&gt;&lt;Item&gt;&lt;ID&gt;787&lt;/ID&gt;&lt;UID&gt;{8AED8E54-883E-4696-867D-614F319000E1}&lt;/UID&gt;&lt;Title&gt;Nearby or faraway? Determinants of target selection in family firm acquisitions&lt;/Title&gt;&lt;Template&gt;Journal Article&lt;/Template&gt;&lt;Star&gt;0&lt;/Star&gt;&lt;Tag&gt;0&lt;/Tag&gt;&lt;Author&gt;Calabrò, Andrea; Requejo, Ignacio; Reyes-Reina, Fernando; Sanchez-Bueno, Maria J; Suárez-González, Isabel&lt;/Author&gt;&lt;Year&gt;2024&lt;/Year&gt;&lt;Details&gt;&lt;_alternate_title&gt;International Business Review&lt;/_alternate_title&gt;&lt;_collection_scope&gt;SSCI&lt;/_collection_scope&gt;&lt;_created&gt;65471704&lt;/_created&gt;&lt;_date&gt;2024-01-01&lt;/_date&gt;&lt;_date_display&gt;2024&lt;/_date_display&gt;&lt;_doi&gt;https://doi.org/10.1016/j.ibusrev.2024.102295&lt;/_doi&gt;&lt;_impact_factor&gt;   8.700&lt;/_impact_factor&gt;&lt;_isbn&gt;0969-5931&lt;/_isbn&gt;&lt;_issue&gt;4&lt;/_issue&gt;&lt;_journal&gt;International Business Review&lt;/_journal&gt;&lt;_keywords&gt;Family firms; Acquisitions; Target selection; Distance; Performance aspirations&lt;/_keywords&gt;&lt;_modified&gt;65471704&lt;/_modified&gt;&lt;_pages&gt;102295&lt;/_pages&gt;&lt;_social_category&gt;商业：管理(2)&lt;/_social_category&gt;&lt;_url&gt;https://www.sciencedirect.com/science/article/pii/S0969593124000428&lt;/_url&gt;&lt;_volume&gt;33&lt;/_volume&gt;&lt;/Details&gt;&lt;Extra&gt;&lt;DBUID&gt;{F96A950B-833F-4880-A151-76DA2D6A2879}&lt;/DBUID&gt;&lt;/Extra&gt;&lt;/Item&gt;&lt;/References&gt;&lt;/Group&gt;&lt;/Citation&gt;_x000a_"/>
    <w:docVar w:name="NE.Ref{33974CD8-0D54-4906-834F-2C7E94BA2B72}" w:val=" ADDIN NE.Ref.{33974CD8-0D54-4906-834F-2C7E94BA2B72}&lt;Citation&gt;&lt;Group&gt;&lt;References&gt;&lt;Item&gt;&lt;ID&gt;802&lt;/ID&gt;&lt;UID&gt;{2F5C928E-6B0C-41EF-9285-A0365570F86F}&lt;/UID&gt;&lt;Title&gt;Public data access and stock price synchronicity: Evidence from China&lt;/Title&gt;&lt;Template&gt;Journal Article&lt;/Template&gt;&lt;Star&gt;0&lt;/Star&gt;&lt;Tag&gt;0&lt;/Tag&gt;&lt;Author&gt;Du, Jiayue; Gao, Haoyu; Wen, Huiyu; Ye, Yanyi&lt;/Author&gt;&lt;Year&gt;2024&lt;/Year&gt;&lt;Details&gt;&lt;_alternate_title&gt;Economic Modelling&lt;/_alternate_title&gt;&lt;_collection_scope&gt;SSCI&lt;/_collection_scope&gt;&lt;_created&gt;65474503&lt;/_created&gt;&lt;_date&gt;2024-01-01&lt;/_date&gt;&lt;_date_display&gt;2024&lt;/_date_display&gt;&lt;_doi&gt;https://doi.org/10.1016/j.econmod.2023.106591&lt;/_doi&gt;&lt;_impact_factor&gt;   4.700&lt;/_impact_factor&gt;&lt;_isbn&gt;0264-9993&lt;/_isbn&gt;&lt;_journal&gt;Economic Modelling&lt;/_journal&gt;&lt;_keywords&gt;Information-acquisition costs; Information infrastructure; Public data access; Stock price synchronicity&lt;/_keywords&gt;&lt;_modified&gt;65480645&lt;/_modified&gt;&lt;_pages&gt;106591&lt;/_pages&gt;&lt;_social_category&gt;经济学(2)&lt;/_social_category&gt;&lt;_url&gt;https://www.sciencedirect.com/science/article/pii/S0264999323004030&lt;/_url&gt;&lt;_volume&gt;130&lt;/_volume&gt;&lt;/Details&gt;&lt;Extra&gt;&lt;DBUID&gt;{F96A950B-833F-4880-A151-76DA2D6A2879}&lt;/DBUID&gt;&lt;CitOmitAuthors&gt;1&lt;/CitOmitAuthors&gt;&lt;/Extra&gt;&lt;/Item&gt;&lt;/References&gt;&lt;/Group&gt;&lt;/Citation&gt;_x000a_"/>
    <w:docVar w:name="NE.Ref{358A7076-D8CA-41AD-BE09-A844B65A958B}" w:val=" ADDIN NE.Ref.{358A7076-D8CA-41AD-BE09-A844B65A958B}&lt;Citation&gt;&lt;Group&gt;&lt;References&gt;&lt;Item&gt;&lt;ID&gt;685&lt;/ID&gt;&lt;UID&gt;{41DC8344-FE68-48FA-91C1-E8162E027CD5}&lt;/UID&gt;&lt;Title&gt;大数据时代的政府管理与服务:提升能力及应对挑战&lt;/Title&gt;&lt;Template&gt;Journal Article&lt;/Template&gt;&lt;Star&gt;0&lt;/Star&gt;&lt;Tag&gt;0&lt;/Tag&gt;&lt;Author&gt;江小涓&lt;/Author&gt;&lt;Year&gt;2018&lt;/Year&gt;&lt;Details&gt;&lt;_accessed&gt;65343498&lt;/_accessed&gt;&lt;_author_adr&gt;中国社会科学院;中国行政管理学会;&lt;/_author_adr&gt;&lt;_collection_scope&gt;CSSCI;PKU&lt;/_collection_scope&gt;&lt;_created&gt;65269210&lt;/_created&gt;&lt;_db_provider&gt;CNKI&lt;/_db_provider&gt;&lt;_doi&gt;10.19735/j.issn.1006-0863.2018.09.01&lt;/_doi&gt;&lt;_isbn&gt;1006-0863&lt;/_isbn&gt;&lt;_issue&gt;09&lt;/_issue&gt;&lt;_journal&gt;中国行政管理&lt;/_journal&gt;&lt;_keywords&gt;公共管理;政府职能;互联网;大数据&lt;/_keywords&gt;&lt;_modified&gt;65343499&lt;/_modified&gt;&lt;_pages&gt;6-11&lt;/_pages&gt;&lt;_url&gt;https://link.cnki.net/doi/10.19735/j.issn.1006-0863.2018.09.01&lt;/_url&gt;&lt;_translated_author&gt;Jiang, Xiao juan&lt;/_translated_author&gt;&lt;/Details&gt;&lt;Extra&gt;&lt;DBUID&gt;{F96A950B-833F-4880-A151-76DA2D6A2879}&lt;/DBUID&gt;&lt;/Extra&gt;&lt;/Item&gt;&lt;/References&gt;&lt;/Group&gt;&lt;/Citation&gt;_x000a_"/>
    <w:docVar w:name="NE.Ref{3E31B2C5-2D1A-4B1A-B311-C746D5196E9B}" w:val=" ADDIN NE.Ref.{3E31B2C5-2D1A-4B1A-B311-C746D5196E9B}&lt;Citation&gt;&lt;Group&gt;&lt;References&gt;&lt;Item&gt;&lt;ID&gt;763&lt;/ID&gt;&lt;UID&gt;{31B14700-CDC7-4725-8682-99424EBEF638}&lt;/UID&gt;&lt;Title&gt;Big Bad Banks? The Winners and Losers from Bank Deregulation in the United States&lt;/Title&gt;&lt;Template&gt;Journal Article&lt;/Template&gt;&lt;Star&gt;0&lt;/Star&gt;&lt;Tag&gt;0&lt;/Tag&gt;&lt;Author&gt;Beck, Thorsten; Levine, Ross; Levkov, Alexey&lt;/Author&gt;&lt;Year&gt;2010&lt;/Year&gt;&lt;Details&gt;&lt;_alternate_title&gt;The Journal of FinanceThe Journal of Finance&lt;/_alternate_title&gt;&lt;_created&gt;65461830&lt;/_created&gt;&lt;_date&gt;2010-10-01&lt;/_date&gt;&lt;_date_display&gt;2010_x000d__x000a_2010/10/01&lt;/_date_display&gt;&lt;_doi&gt;https://doi.org/10.1111/j.1540-6261.2010.01589.x&lt;/_doi&gt;&lt;_impact_factor&gt;   8.000&lt;/_impact_factor&gt;&lt;_isbn&gt;0022-1082&lt;/_isbn&gt;&lt;_issue&gt;5&lt;/_issue&gt;&lt;_journal&gt;The Journal of Finance&lt;/_journal&gt;&lt;_modified&gt;65461831&lt;/_modified&gt;&lt;_ori_publication&gt;John Wiley &amp;amp; Sons, Ltd&lt;/_ori_publication&gt;&lt;_pages&gt;1637-1667&lt;/_pages&gt;&lt;_social_category&gt;商业：财政与金融(1) &amp;amp; 经济学(1)&lt;/_social_category&gt;&lt;_url&gt;https://doi.org/10.1111/j.1540-6261.2010.01589.x&lt;/_url&gt;&lt;_volume&gt;65&lt;/_volume&gt;&lt;/Details&gt;&lt;Extra&gt;&lt;DBUID&gt;{F96A950B-833F-4880-A151-76DA2D6A2879}&lt;/DBUID&gt;&lt;CitOmitAuthors&gt;1&lt;/CitOmitAuthors&gt;&lt;/Extra&gt;&lt;/Item&gt;&lt;/References&gt;&lt;/Group&gt;&lt;/Citation&gt;_x000a_"/>
    <w:docVar w:name="NE.Ref{42EF1C0C-E1B5-42B6-BB97-C91C171606D4}" w:val=" ADDIN NE.Ref.{42EF1C0C-E1B5-42B6-BB97-C91C171606D4}&lt;Citation&gt;&lt;Group&gt;&lt;References&gt;&lt;Item&gt;&lt;ID&gt;525&lt;/ID&gt;&lt;UID&gt;{A0144A27-E5BB-41AA-8CF9-7E4455535F2C}&lt;/UID&gt;&lt;Title&gt;独立董事具有咨询功能吗?——异地独董在异地并购中功能的经验研究&lt;/Title&gt;&lt;Template&gt;Journal Article&lt;/Template&gt;&lt;Star&gt;0&lt;/Star&gt;&lt;Tag&gt;0&lt;/Tag&gt;&lt;Author&gt;刘春; 李善民; 孙亮&lt;/Author&gt;&lt;Year&gt;2015&lt;/Year&gt;&lt;Details&gt;&lt;_accessed&gt;65346744&lt;/_accessed&gt;&lt;_author_adr&gt;中山大学国际商学院;中山大学管理学院;中山大学并购重组研究中心;&lt;/_author_adr&gt;&lt;_collection_scope&gt;PKU&lt;/_collection_scope&gt;&lt;_created&gt;64999981&lt;/_created&gt;&lt;_db_provider&gt;CNKI&lt;/_db_provider&gt;&lt;_doi&gt;10.19744/j.cnki.11-1235/f.2015.03.012&lt;/_doi&gt;&lt;_isbn&gt;1002-5502&lt;/_isbn&gt;&lt;_issue&gt;03&lt;/_issue&gt;&lt;_journal&gt;管理世界&lt;/_journal&gt;&lt;_keywords&gt;地方保护主义;异地独董;异地并购&lt;/_keywords&gt;&lt;_modified&gt;65346744&lt;/_modified&gt;&lt;_pages&gt;124-136+188&lt;/_pages&gt;&lt;_translated_author&gt;Liu, Chun;Li, Shan min;Sun, Liang&lt;/_translated_author&gt;&lt;/Details&gt;&lt;Extra&gt;&lt;DBUID&gt;{F96A950B-833F-4880-A151-76DA2D6A2879}&lt;/DBUID&gt;&lt;/Extra&gt;&lt;/Item&gt;&lt;/References&gt;&lt;/Group&gt;&lt;/Citation&gt;_x000a_"/>
    <w:docVar w:name="NE.Ref{49826C4A-14F4-48D2-9AAC-BD53CA27DD71}" w:val=" ADDIN NE.Ref.{49826C4A-14F4-48D2-9AAC-BD53CA27DD71}&lt;Citation&gt;&lt;Group&gt;&lt;References&gt;&lt;Item&gt;&lt;ID&gt;765&lt;/ID&gt;&lt;UID&gt;{2427F51C-379F-4DE8-B1B5-74457015AB9D}&lt;/UID&gt;&lt;Title&gt;数字基础设施建设与城市高技能创业人才吸引&lt;/Title&gt;&lt;Template&gt;Journal Article&lt;/Template&gt;&lt;Star&gt;0&lt;/Star&gt;&lt;Tag&gt;0&lt;/Tag&gt;&lt;Author&gt;焦豪; 崔瑜; 张亚敏&lt;/Author&gt;&lt;Year&gt;2023&lt;/Year&gt;&lt;Details&gt;&lt;_author_adr&gt;北京师范大学经济与工商管理学院;中央民族大学管理学院;&lt;/_author_adr&gt;&lt;_collection_scope&gt;PKU&lt;/_collection_scope&gt;&lt;_created&gt;65462144&lt;/_created&gt;&lt;_db_provider&gt;CNKI&lt;/_db_provider&gt;&lt;_isbn&gt;0577-9154&lt;/_isbn&gt;&lt;_issue&gt;12&lt;/_issue&gt;&lt;_journal&gt;经济研究&lt;/_journal&gt;&lt;_keywords&gt;数字基础设施建设;“宽带中国”试点政策;高技能创业人才;城市吸引力&lt;/_keywords&gt;&lt;_modified&gt;65462144&lt;/_modified&gt;&lt;_pages&gt;150-166&lt;/_pages&gt;&lt;_url&gt;https://kns.cnki.net/kcms2/article/abstract?v=n93avYlexq-wd3mtnPnhO9gB2N1Fd2LZe_pUkSJ29-RnjdqZ-A11MUbXMGCXdOcfx84f2bIMi3Xkb0jfYKvd4WYDcN-vlFqMI120POlu_pULBZOvP16nQGnOWMgOuZOVieNSvuc0YKRTviilCKjk-FA17fUuP5jc&amp;amp;uniplatform=NZKPT&amp;amp;language=CHS&lt;/_url&gt;&lt;_volume&gt;58&lt;/_volume&gt;&lt;_translated_author&gt;Jiao, Hao;Cui, Yu;Zhang, Ya min&lt;/_translated_author&gt;&lt;/Details&gt;&lt;Extra&gt;&lt;DBUID&gt;{F96A950B-833F-4880-A151-76DA2D6A2879}&lt;/DBUID&gt;&lt;CitOmitAuthors&gt;1&lt;/CitOmitAuthors&gt;&lt;/Extra&gt;&lt;/Item&gt;&lt;/References&gt;&lt;/Group&gt;&lt;/Citation&gt;_x000a_"/>
    <w:docVar w:name="NE.Ref{4986B5C2-AA87-4ECD-8D46-8464C41568D8}" w:val=" ADDIN NE.Ref.{4986B5C2-AA87-4ECD-8D46-8464C41568D8}&lt;Citation&gt;&lt;Group&gt;&lt;References&gt;&lt;Item&gt;&lt;ID&gt;786&lt;/ID&gt;&lt;UID&gt;{787ECE96-D51D-4A7C-A5FD-97364B7AAB83}&lt;/UID&gt;&lt;Title&gt;The Sustainable Value of Open Government Data&lt;/Title&gt;&lt;Template&gt;Journal Article&lt;/Template&gt;&lt;Star&gt;0&lt;/Star&gt;&lt;Tag&gt;0&lt;/Tag&gt;&lt;Author&gt;Jetzek, Thorhildur; Avital, Michel; Rn-Andersen, Niels Bj O&lt;/Author&gt;&lt;Year&gt;2019&lt;/Year&gt;&lt;Details&gt;&lt;_collection_scope&gt;SCIE;SSCI&lt;/_collection_scope&gt;&lt;_created&gt;65470591&lt;/_created&gt;&lt;_impact_factor&gt;   5.800&lt;/_impact_factor&gt;&lt;_journal&gt;J. Assoc. Inf. Syst.&lt;/_journal&gt;&lt;_modified&gt;65470591&lt;/_modified&gt;&lt;_pages&gt;6&lt;/_pages&gt;&lt;_social_category&gt;计算机：信息系统(2) &amp;amp; 图书情报与档案管理(3)&lt;/_social_category&gt;&lt;_url&gt;https://api.semanticscholar.org/CorpusID:195891238&lt;/_url&gt;&lt;_volume&gt;20&lt;/_volume&gt;&lt;/Details&gt;&lt;Extra&gt;&lt;DBUID&gt;{F96A950B-833F-4880-A151-76DA2D6A2879}&lt;/DBUID&gt;&lt;/Extra&gt;&lt;/Item&gt;&lt;/References&gt;&lt;/Group&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Extra&gt;&lt;/Item&gt;&lt;/References&gt;&lt;/Group&gt;&lt;/Citation&gt;_x000a_"/>
    <w:docVar w:name="NE.Ref{4B63C57F-91A3-476B-B214-3337CFA4B044}" w:val=" ADDIN NE.Ref.{4B63C57F-91A3-476B-B214-3337CFA4B044}&lt;Citation&gt;&lt;Group&gt;&lt;References&gt;&lt;Item&gt;&lt;ID&gt;797&lt;/ID&gt;&lt;UID&gt;{3FDC9A4C-D965-491D-B191-5FA2E76EC652}&lt;/UID&gt;&lt;Title&gt;Data-intensive Innovation and the State: Evidence from AI Firms in China&lt;/Title&gt;&lt;Template&gt;Journal Article&lt;/Template&gt;&lt;Star&gt;0&lt;/Star&gt;&lt;Tag&gt;0&lt;/Tag&gt;&lt;Author&gt;Beraja, Martin; Yang, David Y; Yuchtman, Noam&lt;/Author&gt;&lt;Year&gt;2023&lt;/Year&gt;&lt;Details&gt;&lt;_alternate_title&gt;The Review of Economic Studies&lt;/_alternate_title&gt;&lt;_created&gt;65473438&lt;/_created&gt;&lt;_date&gt;2023-07-01&lt;/_date&gt;&lt;_date_display&gt;2023_x000d__x000a_2023/07/01&lt;/_date_display&gt;&lt;_doi&gt;10.1093/restud/rdac056&lt;/_doi&gt;&lt;_impact_factor&gt;   5.800&lt;/_impact_factor&gt;&lt;_isbn&gt;0034-6527&lt;/_isbn&gt;&lt;_issue&gt;4&lt;/_issue&gt;&lt;_journal&gt;The Review of Economic Studies&lt;/_journal&gt;&lt;_modified&gt;65473438&lt;/_modified&gt;&lt;_pages&gt;1701-1723&lt;/_pages&gt;&lt;_social_category&gt;经济学(1)&lt;/_social_category&gt;&lt;_url&gt;https://doi.org/10.1093/restud/rdac056&lt;/_url&gt;&lt;_volume&gt;90&lt;/_volume&gt;&lt;/Details&gt;&lt;Extra&gt;&lt;DBUID&gt;{F96A950B-833F-4880-A151-76DA2D6A2879}&lt;/DBUID&gt;&lt;CitOmitAuthors&gt;1&lt;/CitOmitAuthors&gt;&lt;/Extra&gt;&lt;/Item&gt;&lt;/References&gt;&lt;/Group&gt;&lt;/Citation&gt;_x000a_"/>
    <w:docVar w:name="NE.Ref{4C6C61D8-DB24-40A8-BC6B-32DA59EDA5FD}" w:val=" ADDIN NE.Ref.{4C6C61D8-DB24-40A8-BC6B-32DA59EDA5FD}&lt;Citation&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CitOmitAuthors&gt;1&lt;/CitOmitAuthors&gt;&lt;/Extra&gt;&lt;/Item&gt;&lt;/References&gt;&lt;/Group&gt;&lt;/Citation&gt;_x000a_"/>
    <w:docVar w:name="NE.Ref{4CB07E3D-E739-4EA4-9D4B-59F77B11C303}" w:val=" ADDIN NE.Ref.{4CB07E3D-E739-4EA4-9D4B-59F77B11C303}&lt;Citation&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ccessed&gt;65480633&lt;/_accessed&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CitOmitAuthors&gt;1&lt;/CitOmitAuthors&gt;&lt;/Extra&gt;&lt;/Item&gt;&lt;/References&gt;&lt;/Group&gt;&lt;/Citation&gt;_x000a_"/>
    <w:docVar w:name="NE.Ref{4E20AF61-B591-4D4D-A874-AA39EB6BFF22}" w:val=" ADDIN NE.Ref.{4E20AF61-B591-4D4D-A874-AA39EB6BFF22}&lt;Citation&gt;&lt;Group&gt;&lt;References&gt;&lt;Item&gt;&lt;ID&gt;772&lt;/ID&gt;&lt;UID&gt;{2930BEFA-A6B6-475D-BFE7-AF584278789D}&lt;/UID&gt;&lt;Title&gt;Evaluation of Doing Business in Chinese Cities&lt;/Title&gt;&lt;Template&gt;Generic&lt;/Template&gt;&lt;Star&gt;0&lt;/Star&gt;&lt;Tag&gt;0&lt;/Tag&gt;&lt;Author&gt;Zhang, Sanbao; Zhang, Zhixue Correspondent; Huang, Minxue&lt;/Author&gt;&lt;Year&gt;2023&lt;/Year&gt;&lt;Details&gt;&lt;_created&gt;65463580&lt;/_created&gt;&lt;_date&gt;2023-01-01&lt;/_date&gt;&lt;_date_display&gt;2023&lt;/_date_display&gt;&lt;_doi&gt;doi:10.18170/DVN/9NJDWE&lt;/_doi&gt;&lt;_keywords&gt;doing business; indicator system; quantitative evaluation; Chinese city&lt;/_keywords&gt;&lt;_modified&gt;65463580&lt;/_modified&gt;&lt;_publisher&gt;Peking University Open Research Data Platform&lt;/_publisher&gt;&lt;_tertiary_title&gt;Evaluation of Doing Business in Chinese Cities&lt;/_tertiary_title&gt;&lt;_url&gt;https://doi.org/10.18170/DVN/9NJDWE&lt;/_url&gt;&lt;/Details&gt;&lt;Extra&gt;&lt;DBUID&gt;{F96A950B-833F-4880-A151-76DA2D6A2879}&lt;/DBUID&gt;&lt;/Extra&gt;&lt;/Item&gt;&lt;/References&gt;&lt;/Group&gt;&lt;/Citation&gt;_x000a_"/>
    <w:docVar w:name="NE.Ref{500FB9CE-B5D3-4D00-B997-60844626A5E3}" w:val=" ADDIN NE.Ref.{500FB9CE-B5D3-4D00-B997-60844626A5E3}&lt;Citation&gt;&lt;Group&gt;&lt;References&gt;&lt;Item&gt;&lt;ID&gt;768&lt;/ID&gt;&lt;UID&gt;{D4150423-CB5E-45A6-A1D6-4D11E0D2ED8B}&lt;/UID&gt;&lt;Title&gt;国际海底光缆、双边信息流与中国跨境并购&lt;/Title&gt;&lt;Template&gt;Journal Article&lt;/Template&gt;&lt;Star&gt;0&lt;/Star&gt;&lt;Tag&gt;0&lt;/Tag&gt;&lt;Author&gt;马述忠; 吴鹏; 房超&lt;/Author&gt;&lt;Year&gt;2024&lt;/Year&gt;&lt;Details&gt;&lt;_author_adr&gt;浙江大学中国数字贸易研究院;浙江财经大学经济学院;浙江工商大学经济学院;&lt;/_author_adr&gt;&lt;_collection_scope&gt;PKU&lt;/_collection_scope&gt;&lt;_created&gt;65463304&lt;/_created&gt;&lt;_db_provider&gt;CNKI&lt;/_db_provider&gt;&lt;_doi&gt;10.19985/j.cnki.cassjwe.2024.04.001&lt;/_doi&gt;&lt;_isbn&gt;1002-9621&lt;/_isbn&gt;&lt;_issue&gt;04&lt;/_issue&gt;&lt;_journal&gt;世界经济&lt;/_journal&gt;&lt;_keywords&gt;跨境并购;信息不对称;海底光缆&lt;/_keywords&gt;&lt;_modified&gt;65463304&lt;/_modified&gt;&lt;_pages&gt;3-30&lt;/_pages&gt;&lt;_url&gt;https://link.cnki.net/doi/10.19985/j.cnki.cassjwe.2024.04.001&lt;/_url&gt;&lt;_translated_author&gt;Ma, Shu zhong;Wu, Peng;Fang, Chao&lt;/_translated_author&gt;&lt;/Details&gt;&lt;Extra&gt;&lt;DBUID&gt;{F96A950B-833F-4880-A151-76DA2D6A2879}&lt;/DBUID&gt;&lt;/Extra&gt;&lt;/Item&gt;&lt;/References&gt;&lt;/Group&gt;&lt;/Citation&gt;_x000a_"/>
    <w:docVar w:name="NE.Ref{5907D35F-422A-4F87-B7FE-62F632EED5F4}" w:val=" ADDIN NE.Ref.{5907D35F-422A-4F87-B7FE-62F632EED5F4}&lt;Citation&gt;&lt;Group&gt;&lt;References&gt;&lt;Item&gt;&lt;ID&gt;804&lt;/ID&gt;&lt;UID&gt;{2A225A82-FA46-4181-8B57-9159423FE15C}&lt;/UID&gt;&lt;Title&gt;Benefits, Adoption Barriers and Myths of Open Data and Open Government&lt;/Title&gt;&lt;Template&gt;Journal Article&lt;/Template&gt;&lt;Star&gt;0&lt;/Star&gt;&lt;Tag&gt;0&lt;/Tag&gt;&lt;Author&gt;Janssen, Marijn; Charalabidis, Yannis; Zuiderwijk, Anneke&lt;/Author&gt;&lt;Year&gt;2012&lt;/Year&gt;&lt;Details&gt;&lt;_alternate_title&gt;Information Systems ManagementInformation Systems Management&lt;/_alternate_title&gt;&lt;_collection_scope&gt;SCIE;EI&lt;/_collection_scope&gt;&lt;_created&gt;65474853&lt;/_created&gt;&lt;_date&gt;2012-09-01&lt;/_date&gt;&lt;_date_display&gt;2012_x000d__x000a_2012/09/01&lt;/_date_display&gt;&lt;_doi&gt;10.1080/10580530.2012.716740&lt;/_doi&gt;&lt;_impact_factor&gt;   6.200&lt;/_impact_factor&gt;&lt;_isbn&gt;1058-0530&lt;/_isbn&gt;&lt;_issue&gt;4&lt;/_issue&gt;&lt;_journal&gt;Information Systems Management&lt;/_journal&gt;&lt;_modified&gt;65474853&lt;/_modified&gt;&lt;_ori_publication&gt;Taylor &amp;amp; Francis&lt;/_ori_publication&gt;&lt;_pages&gt;258-268&lt;/_pages&gt;&lt;_social_category&gt;计算机：信息系统(3)&lt;/_social_category&gt;&lt;_url&gt;https://doi.org/10.1080/10580530.2012.716740&lt;/_url&gt;&lt;_volume&gt;29&lt;/_volume&gt;&lt;/Details&gt;&lt;Extra&gt;&lt;DBUID&gt;{F96A950B-833F-4880-A151-76DA2D6A2879}&lt;/DBUID&gt;&lt;/Extra&gt;&lt;/Item&gt;&lt;/References&gt;&lt;/Group&gt;&lt;Group&gt;&lt;References&gt;&lt;Item&gt;&lt;ID&gt;806&lt;/ID&gt;&lt;UID&gt;{8FB12438-98ED-4129-983A-BF6ED24C4F56}&lt;/UID&gt;&lt;Title&gt;Building open government&lt;/Title&gt;&lt;Template&gt;Journal Article&lt;/Template&gt;&lt;Star&gt;0&lt;/Star&gt;&lt;Tag&gt;0&lt;/Tag&gt;&lt;Author&gt;McDermott, Patrice&lt;/Author&gt;&lt;Year&gt;2010&lt;/Year&gt;&lt;Details&gt;&lt;_alternate_title&gt;Government Information QuarterlySpecial Issue: Open/Transparent Government&lt;/_alternate_title&gt;&lt;_collection_scope&gt;SSCI&lt;/_collection_scope&gt;&lt;_created&gt;65474863&lt;/_created&gt;&lt;_date&gt;2010-01-01&lt;/_date&gt;&lt;_date_display&gt;2010&lt;/_date_display&gt;&lt;_doi&gt;https://doi.org/10.1016/j.giq.2010.07.002&lt;/_doi&gt;&lt;_impact_factor&gt;   7.800&lt;/_impact_factor&gt;&lt;_isbn&gt;0740-624X&lt;/_isbn&gt;&lt;_issue&gt;4&lt;/_issue&gt;&lt;_journal&gt;Government Information Quarterly&lt;/_journal&gt;&lt;_keywords&gt;Transparency; Openness; FOIA; Secrecy; Open government; E-government&lt;/_keywords&gt;&lt;_modified&gt;65474863&lt;/_modified&gt;&lt;_pages&gt;401-413&lt;/_pages&gt;&lt;_social_category&gt;图书情报与档案管理(1)&lt;/_social_category&gt;&lt;_url&gt;https://www.sciencedirect.com/science/article/pii/S0740624X10000663&lt;/_url&gt;&lt;_volume&gt;27&lt;/_volume&gt;&lt;/Details&gt;&lt;Extra&gt;&lt;DBUID&gt;{F96A950B-833F-4880-A151-76DA2D6A2879}&lt;/DBUID&gt;&lt;/Extra&gt;&lt;/Item&gt;&lt;/References&gt;&lt;/Group&gt;&lt;/Citation&gt;_x000a_"/>
    <w:docVar w:name="NE.Ref{5A1237CC-7E4F-48DD-BCA5-B19211ECEB5E}" w:val=" ADDIN NE.Ref.{5A1237CC-7E4F-48DD-BCA5-B19211ECEB5E}&lt;Citation&gt;&lt;Group&gt;&lt;References&gt;&lt;Item&gt;&lt;ID&gt;761&lt;/ID&gt;&lt;UID&gt;{3B8E59FF-6DD0-46CD-AEAB-3C4FA5A16DA5}&lt;/UID&gt;&lt;Title&gt;经济增长目标调整促进了资本流动吗——基于企业跨地区投资的视角&lt;/Title&gt;&lt;Template&gt;Journal Article&lt;/Template&gt;&lt;Star&gt;0&lt;/Star&gt;&lt;Tag&gt;0&lt;/Tag&gt;&lt;Author&gt;周泽将; 雷玲&lt;/Author&gt;&lt;Year&gt;2024&lt;/Year&gt;&lt;Details&gt;&lt;_accessed&gt;65474591&lt;/_accessed&gt;&lt;_author_adr&gt;安徽大学商学院;安徽大学经济学院;&lt;/_author_adr&gt;&lt;_collection_scope&gt;PKU&lt;/_collection_scope&gt;&lt;_created&gt;65461542&lt;/_created&gt;&lt;_db_provider&gt;CNKI&lt;/_db_provider&gt;&lt;_isbn&gt;1008-3448&lt;/_isbn&gt;&lt;_issue&gt;01&lt;/_issue&gt;&lt;_journal&gt;南开管理评论&lt;/_journal&gt;&lt;_keywords&gt;经济增长目标;目标调整;资本流动;跨地区投资&lt;/_keywords&gt;&lt;_modified&gt;65489574&lt;/_modified&gt;&lt;_pages&gt;168-180&lt;/_pages&gt;&lt;_url&gt;https://link.cnki.net/urlid/12.1288.F.20230809.1353&lt;/_url&gt;&lt;_volume&gt;27&lt;/_volume&gt;&lt;_translated_author&gt;Zhou, Ze jiang;Lei, Ling&lt;/_translated_author&gt;&lt;/Details&gt;&lt;Extra&gt;&lt;DBUID&gt;{F96A950B-833F-4880-A151-76DA2D6A2879}&lt;/DBUID&gt;&lt;CitOmitAuthors&gt;1&lt;/CitOmitAuthors&gt;&lt;/Extra&gt;&lt;/Item&gt;&lt;/References&gt;&lt;/Group&gt;&lt;/Citation&gt;_x000a_"/>
    <w:docVar w:name="NE.Ref{5B5C922F-149F-4592-A32B-D1B938BC8628}" w:val=" ADDIN NE.Ref.{5B5C922F-149F-4592-A32B-D1B938BC8628}&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CitOmitAuthors&gt;1&lt;/CitOmitAuthors&gt;&lt;/Extra&gt;&lt;/Item&gt;&lt;/References&gt;&lt;/Group&gt;&lt;/Citation&gt;_x000a_"/>
    <w:docVar w:name="NE.Ref{5CFF452D-D58A-475E-975D-2527B32FA4D8}" w:val=" ADDIN NE.Ref.{5CFF452D-D58A-475E-975D-2527B32FA4D8}&lt;Citation&gt;&lt;Group&gt;&lt;References&gt;&lt;Item&gt;&lt;ID&gt;810&lt;/ID&gt;&lt;UID&gt;{890148FC-CB09-4398-A4A6-D69A9058A2F8}&lt;/UID&gt;&lt;Title&gt;Uncovering High-Level Corruption: Cross-National Objective Corruption Risk Indicators Using Public Procurement Data&lt;/Title&gt;&lt;Template&gt;Journal Article&lt;/Template&gt;&lt;Star&gt;0&lt;/Star&gt;&lt;Tag&gt;0&lt;/Tag&gt;&lt;Author&gt;Fazekas, Mihály; Kocsis, Gábor&lt;/Author&gt;&lt;Year&gt;2020&lt;/Year&gt;&lt;Details&gt;&lt;_alternate_title&gt;British Journal of Political Science&lt;/_alternate_title&gt;&lt;_date_display&gt;2020&lt;/_date_display&gt;&lt;_date&gt;2020-01-01&lt;/_date&gt;&lt;_doi&gt;DOI: 10.1017/S0007123417000461&lt;/_doi&gt;&lt;_isbn&gt;0007-1234&lt;/_isbn&gt;&lt;_issue&gt;1&lt;/_issue&gt;&lt;_journal&gt;British Journal of Political Science&lt;/_journal&gt;&lt;_keywords&gt;CRI; European Union; corruption; measurement; public procurement&lt;/_keywords&gt;&lt;_ori_publication&gt;Cambridge University Press&lt;/_ori_publication&gt;&lt;_pages&gt;155-164&lt;/_pages&gt;&lt;_url&gt;https://www.cambridge.org/core/product/8A1742693965AA92BE4D2BA53EADFDF0&lt;/_url&gt;&lt;_volume&gt;50&lt;/_volume&gt;&lt;_created&gt;65475976&lt;/_created&gt;&lt;_modified&gt;65475976&lt;/_modified&gt;&lt;_impact_factor&gt;   5.000&lt;/_impact_factor&gt;&lt;_social_category&gt;政治学(1)&lt;/_social_category&gt;&lt;_collection_scope&gt;SSCI&lt;/_collection_scope&gt;&lt;/Details&gt;&lt;Extra&gt;&lt;DBUID&gt;{F96A950B-833F-4880-A151-76DA2D6A2879}&lt;/DBUID&gt;&lt;/Extra&gt;&lt;/Item&gt;&lt;/References&gt;&lt;/Group&gt;&lt;/Citation&gt;_x000a_"/>
    <w:docVar w:name="NE.Ref{5F684DAF-BB5C-4616-A615-17188DBA44EF}" w:val=" ADDIN NE.Ref.{5F684DAF-BB5C-4616-A615-17188DBA44EF}&lt;Citation&gt;&lt;Group&gt;&lt;References&gt;&lt;Item&gt;&lt;ID&gt;787&lt;/ID&gt;&lt;UID&gt;{8AED8E54-883E-4696-867D-614F319000E1}&lt;/UID&gt;&lt;Title&gt;Nearby or faraway? Determinants of target selection in family firm acquisitions&lt;/Title&gt;&lt;Template&gt;Journal Article&lt;/Template&gt;&lt;Star&gt;0&lt;/Star&gt;&lt;Tag&gt;0&lt;/Tag&gt;&lt;Author&gt;Calabrò, Andrea; Requejo, Ignacio; Reyes-Reina, Fernando; Sanchez-Bueno, Maria J; Suárez-González, Isabel&lt;/Author&gt;&lt;Year&gt;2024&lt;/Year&gt;&lt;Details&gt;&lt;_alternate_title&gt;International Business Review&lt;/_alternate_title&gt;&lt;_collection_scope&gt;SSCI&lt;/_collection_scope&gt;&lt;_created&gt;65471704&lt;/_created&gt;&lt;_date&gt;2024-01-01&lt;/_date&gt;&lt;_date_display&gt;2024&lt;/_date_display&gt;&lt;_doi&gt;https://doi.org/10.1016/j.ibusrev.2024.102295&lt;/_doi&gt;&lt;_impact_factor&gt;   8.700&lt;/_impact_factor&gt;&lt;_isbn&gt;0969-5931&lt;/_isbn&gt;&lt;_issue&gt;4&lt;/_issue&gt;&lt;_journal&gt;International Business Review&lt;/_journal&gt;&lt;_keywords&gt;Family firms; Acquisitions; Target selection; Distance; Performance aspirations&lt;/_keywords&gt;&lt;_modified&gt;65471704&lt;/_modified&gt;&lt;_pages&gt;102295&lt;/_pages&gt;&lt;_social_category&gt;商业：管理(2)&lt;/_social_category&gt;&lt;_url&gt;https://www.sciencedirect.com/science/article/pii/S0969593124000428&lt;/_url&gt;&lt;_volume&gt;33&lt;/_volume&gt;&lt;/Details&gt;&lt;Extra&gt;&lt;DBUID&gt;{F96A950B-833F-4880-A151-76DA2D6A2879}&lt;/DBUID&gt;&lt;/Extra&gt;&lt;/Item&gt;&lt;/References&gt;&lt;/Group&gt;&lt;Group&gt;&lt;References&gt;&lt;Item&gt;&lt;ID&gt;788&lt;/ID&gt;&lt;UID&gt;{82DC2ED0-09D9-4860-9268-64BD01AF978C}&lt;/UID&gt;&lt;Title&gt;The antecedents of psychic distance&lt;/Title&gt;&lt;Template&gt;Journal Article&lt;/Template&gt;&lt;Star&gt;0&lt;/Star&gt;&lt;Tag&gt;0&lt;/Tag&gt;&lt;Author&gt;Hakanson, Lars; Ambos, Bjorn&lt;/Author&gt;&lt;Year&gt;2010&lt;/Year&gt;&lt;Details&gt;&lt;_alternate_title&gt;Journal of International Management&lt;/_alternate_title&gt;&lt;_collection_scope&gt;SSCI&lt;/_collection_scope&gt;&lt;_created&gt;65471883&lt;/_created&gt;&lt;_date&gt;2010-01-01&lt;/_date&gt;&lt;_date_display&gt;2010&lt;/_date_display&gt;&lt;_doi&gt;https://doi.org/10.1016/j.intman.2010.06.001&lt;/_doi&gt;&lt;_impact_factor&gt;   6.100&lt;/_impact_factor&gt;&lt;_isbn&gt;1075-4253&lt;/_isbn&gt;&lt;_issue&gt;3&lt;/_issue&gt;&lt;_journal&gt;Journal of International Management&lt;/_journal&gt;&lt;_keywords&gt;Cultural distance; Geographic distance; Institutional distance; Cross-cultural research/measurement issues; Psychic distance&lt;/_keywords&gt;&lt;_modified&gt;65473488&lt;/_modified&gt;&lt;_pages&gt;195-210&lt;/_pages&gt;&lt;_social_category&gt;管理学(2)&lt;/_social_category&gt;&lt;_url&gt;https://www.sciencedirect.com/science/article/pii/S1075425310000360&lt;/_url&gt;&lt;_volume&gt;16&lt;/_volume&gt;&lt;/Details&gt;&lt;Extra&gt;&lt;DBUID&gt;{F96A950B-833F-4880-A151-76DA2D6A2879}&lt;/DBUID&gt;&lt;/Extra&gt;&lt;/Item&gt;&lt;/References&gt;&lt;/Group&gt;&lt;/Citation&gt;_x000a_"/>
    <w:docVar w:name="NE.Ref{60FC813C-CF36-49C0-8D4A-83BB292990FC}" w:val=" ADDIN NE.Ref.{60FC813C-CF36-49C0-8D4A-83BB292990FC}&lt;Citation&gt;&lt;Group&gt;&lt;References&gt;&lt;Item&gt;&lt;ID&gt;789&lt;/ID&gt;&lt;UID&gt;{F18F48B7-4BB4-4D99-8A56-BA658F13F0FC}&lt;/UID&gt;&lt;Title&gt;Digital Economics&lt;/Title&gt;&lt;Template&gt;Journal Article&lt;/Template&gt;&lt;Star&gt;0&lt;/Star&gt;&lt;Tag&gt;0&lt;/Tag&gt;&lt;Author&gt;Goldfarb, Avi; Tucker, Catherine&lt;/Author&gt;&lt;Year&gt;2019&lt;/Year&gt;&lt;Details&gt;&lt;_collection_scope&gt;SSCI&lt;/_collection_scope&gt;&lt;_created&gt;65471951&lt;/_created&gt;&lt;_date&gt;2019-01-01&lt;/_date&gt;&lt;_date_display&gt;2019///&lt;/_date_display&gt;&lt;_impact_factor&gt;  12.600&lt;/_impact_factor&gt;&lt;_issue&gt;1&lt;/_issue&gt;&lt;_journal&gt;Journal of Economic Literature&lt;/_journal&gt;&lt;_modified&gt;65471951&lt;/_modified&gt;&lt;_pages&gt;3-43&lt;/_pages&gt;&lt;_social_category&gt;经济学(1)&lt;/_social_category&gt;&lt;_url&gt;https://EconPapers.repec.org/RePEc:aea:jeclit:v:57:y:2019:i:1:p:3-43&lt;/_url&gt;&lt;_volume&gt;57&lt;/_volume&gt;&lt;/Details&gt;&lt;Extra&gt;&lt;DBUID&gt;{F96A950B-833F-4880-A151-76DA2D6A2879}&lt;/DBUID&gt;&lt;/Extra&gt;&lt;/Item&gt;&lt;/References&gt;&lt;/Group&gt;&lt;/Citation&gt;_x000a_"/>
    <w:docVar w:name="NE.Ref{64A47443-F1FD-43DF-A1DF-AE1188450752}" w:val=" ADDIN NE.Ref.{64A47443-F1FD-43DF-A1DF-AE1188450752}&lt;Citation&gt;&lt;Group&gt;&lt;References&gt;&lt;Item&gt;&lt;ID&gt;527&lt;/ID&gt;&lt;UID&gt;{94A6426E-B124-43DA-9BEF-AE713D182711}&lt;/UID&gt;&lt;Title&gt;风险投资具有咨询功能吗？——异地风投在异地并购中的功能研究&lt;/Title&gt;&lt;Template&gt;Journal Article&lt;/Template&gt;&lt;Star&gt;0&lt;/Star&gt;&lt;Tag&gt;0&lt;/Tag&gt;&lt;Author&gt;李善民; 杨继彬; 钟君煜&lt;/Author&gt;&lt;Year&gt;2019&lt;/Year&gt;&lt;Details&gt;&lt;_accessed&gt;65346748&lt;/_accessed&gt;&lt;_author_adr&gt;中山大学管理学院;中山大学并购重组研究中心;&lt;/_author_adr&gt;&lt;_collection_scope&gt;PKU&lt;/_collection_scope&gt;&lt;_created&gt;64999981&lt;/_created&gt;&lt;_db_provider&gt;CNKI&lt;/_db_provider&gt;&lt;_doi&gt;10.19744/j.cnki.11-1235/f.2019.0170&lt;/_doi&gt;&lt;_isbn&gt;1002-5502&lt;/_isbn&gt;&lt;_issue&gt;12&lt;/_issue&gt;&lt;_journal&gt;管理世界&lt;/_journal&gt;&lt;_keywords&gt;异地风投;异地并购;咨询功能;并购决策&lt;/_keywords&gt;&lt;_modified&gt;65346748&lt;/_modified&gt;&lt;_pages&gt;164-180+215-216&lt;/_pages&gt;&lt;_volume&gt;35&lt;/_volume&gt;&lt;_translated_author&gt;Li, Shan min;Yang, Ji bin;Zhong, Jun yu&lt;/_translated_author&gt;&lt;/Details&gt;&lt;Extra&gt;&lt;DBUID&gt;{F96A950B-833F-4880-A151-76DA2D6A2879}&lt;/DBUID&gt;&lt;/Extra&gt;&lt;/Item&gt;&lt;/References&gt;&lt;/Group&gt;&lt;/Citation&gt;_x000a_"/>
    <w:docVar w:name="NE.Ref{66263A88-5DE1-4087-9E36-0F5516A49306}" w:val=" ADDIN NE.Ref.{66263A88-5DE1-4087-9E36-0F5516A49306}&lt;Citation&gt;&lt;Group&gt;&lt;References&gt;&lt;Item&gt;&lt;ID&gt;761&lt;/ID&gt;&lt;UID&gt;{3B8E59FF-6DD0-46CD-AEAB-3C4FA5A16DA5}&lt;/UID&gt;&lt;Title&gt;经济增长目标调整促进了资本流动吗——基于企业跨地区投资的视角&lt;/Title&gt;&lt;Template&gt;Journal Article&lt;/Template&gt;&lt;Star&gt;0&lt;/Star&gt;&lt;Tag&gt;0&lt;/Tag&gt;&lt;Author&gt;周泽将; 雷玲&lt;/Author&gt;&lt;Year&gt;2024&lt;/Year&gt;&lt;Details&gt;&lt;_author_adr&gt;安徽大学商学院;安徽大学经济学院;&lt;/_author_adr&gt;&lt;_collection_scope&gt;PKU&lt;/_collection_scope&gt;&lt;_created&gt;65461542&lt;/_created&gt;&lt;_db_provider&gt;CNKI&lt;/_db_provider&gt;&lt;_isbn&gt;1008-3448&lt;/_isbn&gt;&lt;_issue&gt;01&lt;/_issue&gt;&lt;_journal&gt;南开管理评论&lt;/_journal&gt;&lt;_keywords&gt;经济增长目标;目标调整;资本流动;跨地区投资&lt;/_keywords&gt;&lt;_modified&gt;65472243&lt;/_modified&gt;&lt;_pages&gt;168-180&lt;/_pages&gt;&lt;_url&gt;https://link.cnki.net/urlid/12.1288.F.20230809.1353&lt;/_url&gt;&lt;_volume&gt;27&lt;/_volume&gt;&lt;_translated_author&gt;Zhou, Ze jiang;Lei, Ling&lt;/_translated_author&gt;&lt;/Details&gt;&lt;Extra&gt;&lt;DBUID&gt;{F96A950B-833F-4880-A151-76DA2D6A2879}&lt;/DBUID&gt;&lt;/Extra&gt;&lt;/Item&gt;&lt;/References&gt;&lt;/Group&gt;&lt;/Citation&gt;_x000a_"/>
    <w:docVar w:name="NE.Ref{6BEAC509-4080-4803-947B-1D909FE4F82D}" w:val=" ADDIN NE.Ref.{6BEAC509-4080-4803-947B-1D909FE4F82D}&lt;Citation&gt;&lt;Group&gt;&lt;References&gt;&lt;Item&gt;&lt;ID&gt;698&lt;/ID&gt;&lt;UID&gt;{3ED25DCE-6108-4C99-8586-1B8D5C5EB79A}&lt;/UID&gt;&lt;Title&gt;公平竞争审查制度能否促进企业异地并购&lt;/Title&gt;&lt;Template&gt;Journal Article&lt;/Template&gt;&lt;Star&gt;0&lt;/Star&gt;&lt;Tag&gt;0&lt;/Tag&gt;&lt;Author&gt;沈璐; 向锐&lt;/Author&gt;&lt;Year&gt;2024&lt;/Year&gt;&lt;Details&gt;&lt;_accessed&gt;65390982&lt;/_accessed&gt;&lt;_author_adr&gt;四川大学商学院;&lt;/_author_adr&gt;&lt;_collection_scope&gt;CSSCI;PKU&lt;/_collection_scope&gt;&lt;_created&gt;65293299&lt;/_created&gt;&lt;_db_provider&gt;CNKI&lt;/_db_provider&gt;&lt;_doi&gt;10.19795/j.cnki.cn11-1166/f.20240205.010&lt;/_doi&gt;&lt;_isbn&gt;1002-8102&lt;/_isbn&gt;&lt;_issue&gt;2&lt;/_issue&gt;&lt;_journal&gt;财贸经济&lt;/_journal&gt;&lt;_keywords&gt;公平竞争审查制度;异地并购;地方保护主义;市场分割;市场竞争&lt;/_keywords&gt;&lt;_modified&gt;65472213&lt;/_modified&gt;&lt;_pages&gt;1-15&lt;/_pages&gt;&lt;_url&gt;https://link.cnki.net/doi/10.19795/j.cnki.cn11-1166/f.20240205.010&lt;/_url&gt;&lt;_translated_author&gt;Shen, Lu;Xiang, Rui&lt;/_translated_author&gt;&lt;/Details&gt;&lt;Extra&gt;&lt;DBUID&gt;{F96A950B-833F-4880-A151-76DA2D6A2879}&lt;/DBUID&gt;&lt;/Extra&gt;&lt;/Item&gt;&lt;/References&gt;&lt;/Group&gt;&lt;/Citation&gt;_x000a_"/>
    <w:docVar w:name="NE.Ref{6D13AA6F-E254-4982-8F35-6D82BF3E2CA6}" w:val=" ADDIN NE.Ref.{6D13AA6F-E254-4982-8F35-6D82BF3E2CA6}&lt;Citation&gt;&lt;Group&gt;&lt;References&gt;&lt;Item&gt;&lt;ID&gt;700&lt;/ID&gt;&lt;UID&gt;{8E3F6ABD-7DEB-4446-B0B1-4557AFA37307}&lt;/UID&gt;&lt;Title&gt;“一带一路”倡议与企业跨区域并购&lt;/Title&gt;&lt;Template&gt;Journal Article&lt;/Template&gt;&lt;Star&gt;0&lt;/Star&gt;&lt;Tag&gt;0&lt;/Tag&gt;&lt;Author&gt;吴育辉; 刘晓玲; 吴世农&lt;/Author&gt;&lt;Year&gt;2023&lt;/Year&gt;&lt;Details&gt;&lt;_accessed&gt;65389965&lt;/_accessed&gt;&lt;_author_adr&gt;厦门大学管理学院;&lt;/_author_adr&gt;&lt;_collection_scope&gt;CSSCI;PKU;CSCD&lt;/_collection_scope&gt;&lt;_created&gt;65293315&lt;/_created&gt;&lt;_db_provider&gt;CNKI&lt;/_db_provider&gt;&lt;_doi&gt;10.19920/j.cnki.jmsc.2023.01.004&lt;/_doi&gt;&lt;_isbn&gt;1007-9807&lt;/_isbn&gt;&lt;_issue&gt;01&lt;/_issue&gt;&lt;_journal&gt;管理科学学报&lt;/_journal&gt;&lt;_keywords&gt;“一带一路”倡议;比较优势;融资;对外直接投资;跨区域并购&lt;/_keywords&gt;&lt;_modified&gt;65389965&lt;/_modified&gt;&lt;_pages&gt;55-82&lt;/_pages&gt;&lt;_url&gt;https://link.cnki.net/doi/10.19920/j.cnki.jmsc.2023.01.004&lt;/_url&gt;&lt;_volume&gt;26&lt;/_volume&gt;&lt;_translated_author&gt;Wu, Yu hui;Liu, Xiao ling;Wu, Shi nong&lt;/_translated_author&gt;&lt;/Details&gt;&lt;Extra&gt;&lt;DBUID&gt;{F96A950B-833F-4880-A151-76DA2D6A2879}&lt;/DBUID&gt;&lt;CitOmitAuthors&gt;1&lt;/CitOmitAuthors&gt;&lt;/Extra&gt;&lt;/Item&gt;&lt;/References&gt;&lt;/Group&gt;&lt;/Citation&gt;_x000a_"/>
    <w:docVar w:name="NE.Ref{777D6CA8-8E54-4CA4-A6B8-CB22109B0D2A}" w:val=" ADDIN NE.Ref.{777D6CA8-8E54-4CA4-A6B8-CB22109B0D2A}&lt;Citation&gt;&lt;Group&gt;&lt;References&gt;&lt;Item&gt;&lt;ID&gt;796&lt;/ID&gt;&lt;UID&gt;{DD9D066E-5D32-4FA5-9507-7FBE1FF1F50F}&lt;/UID&gt;&lt;Title&gt;财政激励、市场一体化与企业跨地区投资——基于所得税分享改革的研究&lt;/Title&gt;&lt;Template&gt;Journal Article&lt;/Template&gt;&lt;Star&gt;0&lt;/Star&gt;&lt;Tag&gt;0&lt;/Tag&gt;&lt;Author&gt;范子英; 周小昶&lt;/Author&gt;&lt;Year&gt;2022&lt;/Year&gt;&lt;Details&gt;&lt;_accessed&gt;65474591&lt;/_accessed&gt;&lt;_author_adr&gt;上海财经大学公共经济与管理学院;&lt;/_author_adr&gt;&lt;_collection_scope&gt;PKU&lt;/_collection_scope&gt;&lt;_created&gt;65472254&lt;/_created&gt;&lt;_db_provider&gt;CNKI&lt;/_db_provider&gt;&lt;_doi&gt;10.19581/j.cnki.ciejournal.2022.02.007&lt;/_doi&gt;&lt;_isbn&gt;1006-480X&lt;/_isbn&gt;&lt;_issue&gt;02&lt;/_issue&gt;&lt;_journal&gt;中国工业经济&lt;/_journal&gt;&lt;_keywords&gt;统一市场建设;财政激励;所得税分享改革;异地投资&lt;/_keywords&gt;&lt;_modified&gt;65474591&lt;/_modified&gt;&lt;_pages&gt;118-136&lt;/_pages&gt;&lt;_url&gt;https://link.cnki.net/doi/10.19581/j.cnki.ciejournal.2022.02.007&lt;/_url&gt;&lt;_translated_author&gt;Fan, Zi ying;Zhou, Xiao chang&lt;/_translated_author&gt;&lt;/Details&gt;&lt;Extra&gt;&lt;DBUID&gt;{F96A950B-833F-4880-A151-76DA2D6A2879}&lt;/DBUID&gt;&lt;/Extra&gt;&lt;/Item&gt;&lt;/References&gt;&lt;/Group&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Extra&gt;&lt;/Item&gt;&lt;/References&gt;&lt;/Group&gt;&lt;Group&gt;&lt;References&gt;&lt;Item&gt;&lt;ID&gt;761&lt;/ID&gt;&lt;UID&gt;{3B8E59FF-6DD0-46CD-AEAB-3C4FA5A16DA5}&lt;/UID&gt;&lt;Title&gt;经济增长目标调整促进了资本流动吗——基于企业跨地区投资的视角&lt;/Title&gt;&lt;Template&gt;Journal Article&lt;/Template&gt;&lt;Star&gt;0&lt;/Star&gt;&lt;Tag&gt;0&lt;/Tag&gt;&lt;Author&gt;周泽将; 雷玲&lt;/Author&gt;&lt;Year&gt;2024&lt;/Year&gt;&lt;Details&gt;&lt;_accessed&gt;65474591&lt;/_accessed&gt;&lt;_author_adr&gt;安徽大学商学院;安徽大学经济学院;&lt;/_author_adr&gt;&lt;_collection_scope&gt;PKU&lt;/_collection_scope&gt;&lt;_created&gt;65461542&lt;/_created&gt;&lt;_db_provider&gt;CNKI&lt;/_db_provider&gt;&lt;_isbn&gt;1008-3448&lt;/_isbn&gt;&lt;_issue&gt;01&lt;/_issue&gt;&lt;_journal&gt;南开管理评论&lt;/_journal&gt;&lt;_keywords&gt;经济增长目标;目标调整;资本流动;跨地区投资&lt;/_keywords&gt;&lt;_modified&gt;65489574&lt;/_modified&gt;&lt;_pages&gt;168-180&lt;/_pages&gt;&lt;_url&gt;https://link.cnki.net/urlid/12.1288.F.20230809.1353&lt;/_url&gt;&lt;_volume&gt;27&lt;/_volume&gt;&lt;_translated_author&gt;Zhou, Ze jiang;Lei, Ling&lt;/_translated_author&gt;&lt;/Details&gt;&lt;Extra&gt;&lt;DBUID&gt;{F96A950B-833F-4880-A151-76DA2D6A2879}&lt;/DBUID&gt;&lt;/Extra&gt;&lt;/Item&gt;&lt;/References&gt;&lt;/Group&gt;&lt;/Citation&gt;_x000a_"/>
    <w:docVar w:name="NE.Ref{79B2DE4B-810C-4355-A714-9FA5053409C7}" w:val=" ADDIN NE.Ref.{79B2DE4B-810C-4355-A714-9FA5053409C7}&lt;Citation&gt;&lt;Group&gt;&lt;References&gt;&lt;Item&gt;&lt;ID&gt;752&lt;/ID&gt;&lt;UID&gt;{C9984CBC-98AB-46AB-BCD0-4BA3ACF9883F}&lt;/UID&gt;&lt;Title&gt;Generative AI for Economic Research: Use Cases and Implications for Economists&lt;/Title&gt;&lt;Template&gt;Journal Article&lt;/Template&gt;&lt;Star&gt;0&lt;/Star&gt;&lt;Tag&gt;0&lt;/Tag&gt;&lt;Author&gt;Korinek, Anton&lt;/Author&gt;&lt;Year&gt;2023&lt;/Year&gt;&lt;Details&gt;&lt;_alternate_title&gt;Journal of Economic Literature&lt;/_alternate_title&gt;&lt;_collection_scope&gt;SSCI&lt;/_collection_scope&gt;&lt;_created&gt;65411484&lt;/_created&gt;&lt;_date&gt;2023-01-01&lt;/_date&gt;&lt;_date_display&gt;2023&lt;/_date_display&gt;&lt;_doi&gt;10.1257/jel.20231736&lt;/_doi&gt;&lt;_impact_factor&gt;  12.600&lt;/_impact_factor&gt;&lt;_issue&gt;4&lt;/_issue&gt;&lt;_journal&gt;Journal of Economic Literature&lt;/_journal&gt;&lt;_modified&gt;65411484&lt;/_modified&gt;&lt;_pages&gt;1281-1317&lt;/_pages&gt;&lt;_social_category&gt;经济学(1)&lt;/_social_category&gt;&lt;_url&gt;https://www.aeaweb.org/articles?id=10.1257/jel.20231736&lt;/_url&gt;&lt;_volume&gt;61&lt;/_volume&gt;&lt;/Details&gt;&lt;Extra&gt;&lt;DBUID&gt;{F96A950B-833F-4880-A151-76DA2D6A2879}&lt;/DBUID&gt;&lt;/Extra&gt;&lt;/Item&gt;&lt;/References&gt;&lt;/Group&gt;&lt;Group&gt;&lt;References&gt;&lt;Item&gt;&lt;ID&gt;753&lt;/ID&gt;&lt;UID&gt;{D9042732-5E79-499D-BD7C-7661A668B6F0}&lt;/UID&gt;&lt;Title&gt;GPT在文本分析中的应用：一个基于Stata的集成命令用法介绍&lt;/Title&gt;&lt;Template&gt;Journal Article&lt;/Template&gt;&lt;Star&gt;0&lt;/Star&gt;&lt;Tag&gt;0&lt;/Tag&gt;&lt;Author&gt;李春涛; 闫续文; 张学人&lt;/Author&gt;&lt;Year&gt;2024&lt;/Year&gt;&lt;Details&gt;&lt;_author_adr&gt;河南大学国际商学院;中南财经政法大学金融学院;河南豫能控股股份有限公司;武汉大学经济与管理学院;&lt;/_author_adr&gt;&lt;_collection_scope&gt;CSSCI;PKU;CSCD&lt;/_collection_scope&gt;&lt;_created&gt;65411484&lt;/_created&gt;&lt;_db_provider&gt;CNKI&lt;/_db_provider&gt;&lt;_doi&gt;10.13653/j.cnki.jqte.20240319.003&lt;/_doi&gt;&lt;_isbn&gt;1000-3894&lt;/_isbn&gt;&lt;_issue&gt;05&lt;/_issue&gt;&lt;_journal&gt;数量经济技术经济研究&lt;/_journal&gt;&lt;_keywords&gt;文本分析;GPT;大语言模型;自然语言处理;文本语调&lt;/_keywords&gt;&lt;_modified&gt;65411484&lt;/_modified&gt;&lt;_pages&gt;197-216&lt;/_pages&gt;&lt;_url&gt;https://link.cnki.net/doi/10.13653/j.cnki.jqte.20240319.003&lt;/_url&gt;&lt;_volume&gt;41&lt;/_volume&gt;&lt;_translated_author&gt;Li, Chun tao;Yan, Xu wen;Zhang, Xue ren&lt;/_translated_author&gt;&lt;/Details&gt;&lt;Extra&gt;&lt;DBUID&gt;{F96A950B-833F-4880-A151-76DA2D6A2879}&lt;/DBUID&gt;&lt;/Extra&gt;&lt;/Item&gt;&lt;/References&gt;&lt;/Group&gt;&lt;/Citation&gt;_x000a_"/>
    <w:docVar w:name="NE.Ref{7CDB9C44-210D-465D-BE44-74C5FA934596}" w:val=" ADDIN NE.Ref.{7CDB9C44-210D-465D-BE44-74C5FA934596}&lt;Citation&gt;&lt;Group&gt;&lt;References&gt;&lt;Item&gt;&lt;ID&gt;800&lt;/ID&gt;&lt;UID&gt;{64155F72-B6DE-4D67-A806-2F805C8B8EE8}&lt;/UID&gt;&lt;Title&gt;Gone with the big data: Institutional lender demand for private information&lt;/Title&gt;&lt;Template&gt;Journal Article&lt;/Template&gt;&lt;Star&gt;0&lt;/Star&gt;&lt;Tag&gt;0&lt;/Tag&gt;&lt;Author&gt;Kang, Jung Koo&lt;/Author&gt;&lt;Year&gt;2024&lt;/Year&gt;&lt;Details&gt;&lt;_alternate_title&gt;Journal of Accounting and Economics&lt;/_alternate_title&gt;&lt;_created&gt;65473449&lt;/_created&gt;&lt;_date&gt;2024-01-01&lt;/_date&gt;&lt;_date_display&gt;2024&lt;/_date_display&gt;&lt;_doi&gt;https://doi.org/10.1016/j.jacceco.2023.101663&lt;/_doi&gt;&lt;_impact_factor&gt;   5.900&lt;/_impact_factor&gt;&lt;_isbn&gt;0165-4101&lt;/_isbn&gt;&lt;_issue&gt;2&lt;/_issue&gt;&lt;_journal&gt;Journal of Accounting and Economics&lt;/_journal&gt;&lt;_keywords&gt;Debt contract; Relationship lending; Information asymmetries; Institutional investors; Informed trading; Big data; Satellite images; Alternative data; Fintech&lt;/_keywords&gt;&lt;_modified&gt;65473449&lt;/_modified&gt;&lt;_pages&gt;101663&lt;/_pages&gt;&lt;_social_category&gt;商业：财政与金融(1) &amp;amp; 经济学(1)&lt;/_social_category&gt;&lt;_url&gt;https://www.sciencedirect.com/science/article/pii/S0165410123000873&lt;/_url&gt;&lt;_volume&gt;77&lt;/_volume&gt;&lt;/Details&gt;&lt;Extra&gt;&lt;DBUID&gt;{F96A950B-833F-4880-A151-76DA2D6A2879}&lt;/DBUID&gt;&lt;/Extra&gt;&lt;/Item&gt;&lt;/References&gt;&lt;/Group&gt;&lt;/Citation&gt;_x000a_"/>
    <w:docVar w:name="NE.Ref{7E22FC9C-C7BC-468C-87DB-A2682723AD6A}" w:val=" ADDIN NE.Ref.{7E22FC9C-C7BC-468C-87DB-A2682723AD6A}&lt;Citation&gt;&lt;Group&gt;&lt;References&gt;&lt;Item&gt;&lt;ID&gt;801&lt;/ID&gt;&lt;UID&gt;{4A5F5674-488F-4609-8831-F6B5A974F02B}&lt;/UID&gt;&lt;Title&gt;Open government data and the cost of debt&lt;/Title&gt;&lt;Template&gt;Journal Article&lt;/Template&gt;&lt;Star&gt;0&lt;/Star&gt;&lt;Tag&gt;0&lt;/Tag&gt;&lt;Author&gt;Xing, Qiuhang; Xu, Gaoshuang; Wang, Yanping&lt;/Author&gt;&lt;Year&gt;2024&lt;/Year&gt;&lt;Details&gt;&lt;_alternate_title&gt;International Review of Financial Analysis&lt;/_alternate_title&gt;&lt;_collection_scope&gt;SSCI&lt;/_collection_scope&gt;&lt;_created&gt;65473462&lt;/_created&gt;&lt;_date&gt;2024-01-01&lt;/_date&gt;&lt;_date_display&gt;2024&lt;/_date_display&gt;&lt;_doi&gt;https://doi.org/10.1016/j.irfa.2024.103384&lt;/_doi&gt;&lt;_impact_factor&gt;   8.200&lt;/_impact_factor&gt;&lt;_isbn&gt;1057-5219&lt;/_isbn&gt;&lt;_journal&gt;International Review of Financial Analysis&lt;/_journal&gt;&lt;_keywords&gt;Open government data; Cost of debt; Information asymmetry&lt;/_keywords&gt;&lt;_modified&gt;65480656&lt;/_modified&gt;&lt;_pages&gt;103384&lt;/_pages&gt;&lt;_social_category&gt;商业：财政与金融(1)&lt;/_social_category&gt;&lt;_url&gt;https://www.sciencedirect.com/science/article/pii/S1057521924003168&lt;/_url&gt;&lt;_volume&gt;95&lt;/_volume&gt;&lt;/Details&gt;&lt;Extra&gt;&lt;DBUID&gt;{F96A950B-833F-4880-A151-76DA2D6A2879}&lt;/DBUID&gt;&lt;CitOmitAuthors&gt;1&lt;/CitOmitAuthors&gt;&lt;/Extra&gt;&lt;/Item&gt;&lt;/References&gt;&lt;/Group&gt;&lt;/Citation&gt;_x000a_"/>
    <w:docVar w:name="NE.Ref{81672309-964E-48EC-B566-F81C36EDF7F3}" w:val=" ADDIN NE.Ref.{81672309-964E-48EC-B566-F81C36EDF7F3}&lt;Citation&gt;&lt;Group&gt;&lt;References&gt;&lt;Item&gt;&lt;ID&gt;778&lt;/ID&gt;&lt;UID&gt;{CC030E73-DF49-414C-9361-D2ECB92AA209}&lt;/UID&gt;&lt;Title&gt;从分割走向整合：推进国内统一大市场建设的阻力与对策&lt;/Title&gt;&lt;Template&gt;Journal Article&lt;/Template&gt;&lt;Star&gt;0&lt;/Star&gt;&lt;Tag&gt;0&lt;/Tag&gt;&lt;Author&gt;刘志彪; 孔令池&lt;/Author&gt;&lt;Year&gt;2021&lt;/Year&gt;&lt;Details&gt;&lt;_author_adr&gt;南京大学长江产业经济研究院;&lt;/_author_adr&gt;&lt;_collection_scope&gt;PKU&lt;/_collection_scope&gt;&lt;_created&gt;65466457&lt;/_created&gt;&lt;_db_provider&gt;CNKI&lt;/_db_provider&gt;&lt;_doi&gt;10.19581/j.cnki.ciejournal.2021.08.002&lt;/_doi&gt;&lt;_isbn&gt;1006-480X&lt;/_isbn&gt;&lt;_issue&gt;08&lt;/_issue&gt;&lt;_journal&gt;中国工业经济&lt;/_journal&gt;&lt;_keywords&gt;市场分割;市场整合;统一大市场;赶超战略;体制改革&lt;/_keywords&gt;&lt;_modified&gt;65466457&lt;/_modified&gt;&lt;_pages&gt;20-36&lt;/_pages&gt;&lt;_url&gt;https://link.cnki.net/doi/10.19581/j.cnki.ciejournal.2021.08.002&lt;/_url&gt;&lt;_translated_author&gt;Liu, Zhi biao;Kong, Ling chi&lt;/_translated_author&gt;&lt;/Details&gt;&lt;Extra&gt;&lt;DBUID&gt;{F96A950B-833F-4880-A151-76DA2D6A2879}&lt;/DBUID&gt;&lt;/Extra&gt;&lt;/Item&gt;&lt;/References&gt;&lt;/Group&gt;&lt;Group&gt;&lt;References&gt;&lt;Item&gt;&lt;ID&gt;812&lt;/ID&gt;&lt;UID&gt;{F0FC151C-30A0-443C-B4EF-611D30D2371C}&lt;/UID&gt;&lt;Title&gt;Savings, investment, and capital mobility within China&lt;/Title&gt;&lt;Template&gt;Journal Article&lt;/Template&gt;&lt;Star&gt;0&lt;/Star&gt;&lt;Tag&gt;0&lt;/Tag&gt;&lt;Author&gt;Li, Cheng&lt;/Author&gt;&lt;Year&gt;2010&lt;/Year&gt;&lt;Details&gt;&lt;_alternate_title&gt;China Economic Review&lt;/_alternate_title&gt;&lt;_date_display&gt;2010&lt;/_date_display&gt;&lt;_date&gt;2010-01-01&lt;/_date&gt;&lt;_doi&gt;https://doi.org/10.1016/j.chieco.2009.08.005&lt;/_doi&gt;&lt;_isbn&gt;1043-951X&lt;/_isbn&gt;&lt;_issue&gt;1&lt;/_issue&gt;&lt;_journal&gt;China Economic Review&lt;/_journal&gt;&lt;_keywords&gt;Capital mobility; Market integration; Panel data; Capital allocation efficiency&lt;/_keywords&gt;&lt;_pages&gt;14-23&lt;/_pages&gt;&lt;_url&gt;https://www.sciencedirect.com/science/article/pii/S1043951X09001254&lt;/_url&gt;&lt;_volume&gt;21&lt;/_volume&gt;&lt;_created&gt;65479207&lt;/_created&gt;&lt;_modified&gt;65479207&lt;/_modified&gt;&lt;_impact_factor&gt;   6.800&lt;/_impact_factor&gt;&lt;_social_category&gt;经济学(1)&lt;/_social_category&gt;&lt;_collection_scope&gt;SSCI&lt;/_collection_scope&gt;&lt;/Details&gt;&lt;Extra&gt;&lt;DBUID&gt;{F96A950B-833F-4880-A151-76DA2D6A2879}&lt;/DBUID&gt;&lt;/Extra&gt;&lt;/Item&gt;&lt;/References&gt;&lt;/Group&gt;&lt;/Citation&gt;_x000a_"/>
    <w:docVar w:name="NE.Ref{8272A626-BC6C-4527-AC38-BFC2368F7F48}" w:val=" ADDIN NE.Ref.{8272A626-BC6C-4527-AC38-BFC2368F7F48}&lt;Citation&gt;&lt;Group&gt;&lt;References&gt;&lt;Item&gt;&lt;ID&gt;769&lt;/ID&gt;&lt;UID&gt;{62E35E6E-D0B5-4517-86F6-0F58C5F021E2}&lt;/UID&gt;&lt;Title&gt;经验学习与企业对外直接投资连续性&lt;/Title&gt;&lt;Template&gt;Journal Article&lt;/Template&gt;&lt;Star&gt;0&lt;/Star&gt;&lt;Tag&gt;0&lt;/Tag&gt;&lt;Author&gt;王珏; 黄怡; 丁飒飒; 朱章耀&lt;/Author&gt;&lt;Year&gt;2023&lt;/Year&gt;&lt;Details&gt;&lt;_author_adr&gt;西南财经大学工商管理学院;西南财经大学国际商学院;西南财经大学会计学院;&lt;/_author_adr&gt;&lt;_collection_scope&gt;PKU&lt;/_collection_scope&gt;&lt;_created&gt;65463368&lt;/_created&gt;&lt;_db_provider&gt;CNKI&lt;/_db_provider&gt;&lt;_doi&gt;10.19581/j.cnki.ciejournal.2023.01.013&lt;/_doi&gt;&lt;_isbn&gt;1006-480X&lt;/_isbn&gt;&lt;_issue&gt;01&lt;/_issue&gt;&lt;_journal&gt;中国工业经济&lt;/_journal&gt;&lt;_keywords&gt;连续性经验学习;间歇性经验学习;对外直接投资连续性&lt;/_keywords&gt;&lt;_modified&gt;65463368&lt;/_modified&gt;&lt;_pages&gt;76-94&lt;/_pages&gt;&lt;_url&gt;https://link.cnki.net/doi/10.19581/j.cnki.ciejournal.2023.01.013&lt;/_url&gt;&lt;_translated_author&gt;Wang, Jue;Huang, Yi;Ding, Sa sa;Zhu, Zhang yao&lt;/_translated_author&gt;&lt;/Details&gt;&lt;Extra&gt;&lt;DBUID&gt;{F96A950B-833F-4880-A151-76DA2D6A2879}&lt;/DBUID&gt;&lt;/Extra&gt;&lt;/Item&gt;&lt;/References&gt;&lt;/Group&gt;&lt;/Citation&gt;_x000a_"/>
    <w:docVar w:name="NE.Ref{83F630D8-0177-4EB7-B614-C3421B4E3693}" w:val=" ADDIN NE.Ref.{83F630D8-0177-4EB7-B614-C3421B4E3693}&lt;Citation&gt;&lt;Group&gt;&lt;References&gt;&lt;Item&gt;&lt;ID&gt;786&lt;/ID&gt;&lt;UID&gt;{787ECE96-D51D-4A7C-A5FD-97364B7AAB83}&lt;/UID&gt;&lt;Title&gt;The Sustainable Value of Open Government Data&lt;/Title&gt;&lt;Template&gt;Journal Article&lt;/Template&gt;&lt;Star&gt;0&lt;/Star&gt;&lt;Tag&gt;0&lt;/Tag&gt;&lt;Author&gt;Jetzek, Thorhildur; Avital, Michel; Rn-Andersen, Niels Bj O&lt;/Author&gt;&lt;Year&gt;2019&lt;/Year&gt;&lt;Details&gt;&lt;_collection_scope&gt;SCIE;SSCI&lt;/_collection_scope&gt;&lt;_created&gt;65470591&lt;/_created&gt;&lt;_impact_factor&gt;   5.800&lt;/_impact_factor&gt;&lt;_journal&gt;J. Assoc. Inf. Syst.&lt;/_journal&gt;&lt;_modified&gt;65470591&lt;/_modified&gt;&lt;_pages&gt;6&lt;/_pages&gt;&lt;_social_category&gt;计算机：信息系统(2) &amp;amp; 图书情报与档案管理(3)&lt;/_social_category&gt;&lt;_url&gt;https://api.semanticscholar.org/CorpusID:195891238&lt;/_url&gt;&lt;_volume&gt;20&lt;/_volume&gt;&lt;/Details&gt;&lt;Extra&gt;&lt;DBUID&gt;{F96A950B-833F-4880-A151-76DA2D6A2879}&lt;/DBUID&gt;&lt;/Extra&gt;&lt;/Item&gt;&lt;/References&gt;&lt;/Group&gt;&lt;/Citation&gt;_x000a_"/>
    <w:docVar w:name="NE.Ref{89606536-2C14-4BBA-9EBE-7DA0E7002504}" w:val=" ADDIN NE.Ref.{89606536-2C14-4BBA-9EBE-7DA0E7002504}&lt;Citation&gt;&lt;Group&gt;&lt;References&gt;&lt;Item&gt;&lt;ID&gt;782&lt;/ID&gt;&lt;UID&gt;{3C56DD6E-FD10-4A62-A9E9-814DDBD2D6A9}&lt;/UID&gt;&lt;Title&gt;高价值数据集开放与再利用的内涵边界与实践进路分析&lt;/Title&gt;&lt;Template&gt;Journal Article&lt;/Template&gt;&lt;Star&gt;0&lt;/Star&gt;&lt;Tag&gt;0&lt;/Tag&gt;&lt;Author&gt;夏义堃; 宋佳; 纪昌秀&lt;/Author&gt;&lt;Year&gt;2024&lt;/Year&gt;&lt;Details&gt;&lt;_author_adr&gt;南京大学数据管理创新研究中心;苏州大数据研究院有限公司;&lt;/_author_adr&gt;&lt;_collection_scope&gt;PKU&lt;/_collection_scope&gt;&lt;_created&gt;65467570&lt;/_created&gt;&lt;_db_provider&gt;CNKI&lt;/_db_provider&gt;&lt;_isbn&gt;1672-7223&lt;/_isbn&gt;&lt;_journal&gt;电子政务&lt;/_journal&gt;&lt;_keywords&gt;高价值数据集;数据开放;数据共享;信息再利用;数据治理&lt;/_keywords&gt;&lt;_modified&gt;65467572&lt;/_modified&gt;&lt;_pages&gt;1-15&lt;/_pages&gt;&lt;_url&gt;https://link.cnki.net/urlid/11.5181.TP.20240122.1128.006&lt;/_url&gt;&lt;_translated_author&gt;Xia, Yi kun;Song, Jia;Ji, Chang xiu&lt;/_translated_author&gt;&lt;/Details&gt;&lt;Extra&gt;&lt;DBUID&gt;{F96A950B-833F-4880-A151-76DA2D6A2879}&lt;/DBUID&gt;&lt;/Extra&gt;&lt;/Item&gt;&lt;/References&gt;&lt;/Group&gt;&lt;/Citation&gt;_x000a_"/>
    <w:docVar w:name="NE.Ref{8B0CB26F-53A9-4FE2-8636-FBDE3C8D4822}" w:val=" ADDIN NE.Ref.{8B0CB26F-53A9-4FE2-8636-FBDE3C8D4822}&lt;Citation&gt;&lt;Group&gt;&lt;References&gt;&lt;Item&gt;&lt;ID&gt;809&lt;/ID&gt;&lt;UID&gt;{6F3C67AE-1CB6-4BFE-95F4-1D79C23CED00}&lt;/UID&gt;&lt;Title&gt;Artificial Intelligence for data-driven decision-making and governance in public affairs&lt;/Title&gt;&lt;Template&gt;Journal Article&lt;/Template&gt;&lt;Star&gt;0&lt;/Star&gt;&lt;Tag&gt;0&lt;/Tag&gt;&lt;Author&gt;Charles, Vincent; Rana, Nripendra P; Carter, Lemuria&lt;/Author&gt;&lt;Year&gt;2022&lt;/Year&gt;&lt;Details&gt;&lt;_alternate_title&gt;Government Information Quarterly&lt;/_alternate_title&gt;&lt;_collection_scope&gt;SSCI&lt;/_collection_scope&gt;&lt;_created&gt;65475204&lt;/_created&gt;&lt;_date&gt;2022-01-01&lt;/_date&gt;&lt;_date_display&gt;2022&lt;/_date_display&gt;&lt;_doi&gt;https://doi.org/10.1016/j.giq.2022.101742&lt;/_doi&gt;&lt;_impact_factor&gt;   7.800&lt;/_impact_factor&gt;&lt;_isbn&gt;0740-624X&lt;/_isbn&gt;&lt;_issue&gt;4&lt;/_issue&gt;&lt;_journal&gt;Government Information Quarterly&lt;/_journal&gt;&lt;_keywords&gt;Artificial intelligence; Data-driven decision-making; Public governance; Public sector; Research agenda&lt;/_keywords&gt;&lt;_modified&gt;65475204&lt;/_modified&gt;&lt;_pages&gt;101742&lt;/_pages&gt;&lt;_social_category&gt;图书情报与档案管理(1)&lt;/_social_category&gt;&lt;_url&gt;https://www.sciencedirect.com/science/article/pii/S0740624X22000788&lt;/_url&gt;&lt;_volume&gt;39&lt;/_volume&gt;&lt;/Details&gt;&lt;Extra&gt;&lt;DBUID&gt;{F96A950B-833F-4880-A151-76DA2D6A2879}&lt;/DBUID&gt;&lt;/Extra&gt;&lt;/Item&gt;&lt;/References&gt;&lt;/Group&gt;&lt;Group&gt;&lt;References&gt;&lt;Item&gt;&lt;ID&gt;810&lt;/ID&gt;&lt;UID&gt;{890148FC-CB09-4398-A4A6-D69A9058A2F8}&lt;/UID&gt;&lt;Title&gt;Uncovering High-Level Corruption: Cross-National Objective Corruption Risk Indicators Using Public Procurement Data&lt;/Title&gt;&lt;Template&gt;Journal Article&lt;/Template&gt;&lt;Star&gt;0&lt;/Star&gt;&lt;Tag&gt;0&lt;/Tag&gt;&lt;Author&gt;Fazekas, Mihály; Kocsis, Gábor&lt;/Author&gt;&lt;Year&gt;2020&lt;/Year&gt;&lt;Details&gt;&lt;_alternate_title&gt;British Journal of Political Science&lt;/_alternate_title&gt;&lt;_collection_scope&gt;SSCI&lt;/_collection_scope&gt;&lt;_created&gt;65475976&lt;/_created&gt;&lt;_date&gt;2020-01-01&lt;/_date&gt;&lt;_date_display&gt;2020&lt;/_date_display&gt;&lt;_doi&gt;DOI: 10.1017/S0007123417000461&lt;/_doi&gt;&lt;_impact_factor&gt;   5.000&lt;/_impact_factor&gt;&lt;_isbn&gt;0007-1234&lt;/_isbn&gt;&lt;_issue&gt;1&lt;/_issue&gt;&lt;_journal&gt;British Journal of Political Science&lt;/_journal&gt;&lt;_keywords&gt;CRI; European Union; corruption; measurement; public procurement&lt;/_keywords&gt;&lt;_modified&gt;65475976&lt;/_modified&gt;&lt;_ori_publication&gt;Cambridge University Press&lt;/_ori_publication&gt;&lt;_pages&gt;155-164&lt;/_pages&gt;&lt;_social_category&gt;政治学(1)&lt;/_social_category&gt;&lt;_url&gt;https://www.cambridge.org/core/product/8A1742693965AA92BE4D2BA53EADFDF0&lt;/_url&gt;&lt;_volume&gt;50&lt;/_volume&gt;&lt;/Details&gt;&lt;Extra&gt;&lt;DBUID&gt;{F96A950B-833F-4880-A151-76DA2D6A2879}&lt;/DBUID&gt;&lt;/Extra&gt;&lt;/Item&gt;&lt;/References&gt;&lt;/Group&gt;&lt;/Citation&gt;_x000a_"/>
    <w:docVar w:name="NE.Ref{8D5379E3-6607-44B6-ABC2-701F0AA9E2FA}" w:val=" ADDIN NE.Ref.{8D5379E3-6607-44B6-ABC2-701F0AA9E2FA}&lt;Citation&gt;&lt;Group&gt;&lt;References&gt;&lt;Item&gt;&lt;ID&gt;777&lt;/ID&gt;&lt;UID&gt;{B348D70A-1BB2-4B64-A56C-AA3D881876D1}&lt;/UID&gt;&lt;Title&gt;The Razor&amp;apos;s Edge: Distortions and Incremental Reform in the People&amp;apos;s Republic of China&lt;/Title&gt;&lt;Template&gt;Journal Article&lt;/Template&gt;&lt;Star&gt;0&lt;/Star&gt;&lt;Tag&gt;0&lt;/Tag&gt;&lt;Author&gt;Young, Alwyn&lt;/Author&gt;&lt;Year&gt;2000&lt;/Year&gt;&lt;Details&gt;&lt;_alternate_title&gt;The Quarterly Journal of Economics&lt;/_alternate_title&gt;&lt;_created&gt;65466456&lt;/_created&gt;&lt;_date&gt;2000-01-01&lt;/_date&gt;&lt;_date_display&gt;2000&lt;/_date_display&gt;&lt;_isbn&gt;00335533, 15314650&lt;/_isbn&gt;&lt;_issue&gt;4&lt;/_issue&gt;&lt;_journal&gt;The Quarterly Journal of Economics&lt;/_journal&gt;&lt;_modified&gt;65466456&lt;/_modified&gt;&lt;_ori_publication&gt;Oxford University Press&lt;/_ori_publication&gt;&lt;_pages&gt;1091-1135&lt;/_pages&gt;&lt;_url&gt;http://www.jstor.org/stable/2586920&lt;/_url&gt;&lt;_volume&gt;115&lt;/_volume&gt;&lt;/Details&gt;&lt;Extra&gt;&lt;DBUID&gt;{F96A950B-833F-4880-A151-76DA2D6A2879}&lt;/DBUID&gt;&lt;/Extra&gt;&lt;/Item&gt;&lt;/References&gt;&lt;/Group&gt;&lt;Group&gt;&lt;References&gt;&lt;Item&gt;&lt;ID&gt;778&lt;/ID&gt;&lt;UID&gt;{CC030E73-DF49-414C-9361-D2ECB92AA209}&lt;/UID&gt;&lt;Title&gt;从分割走向整合：推进国内统一大市场建设的阻力与对策&lt;/Title&gt;&lt;Template&gt;Journal Article&lt;/Template&gt;&lt;Star&gt;0&lt;/Star&gt;&lt;Tag&gt;0&lt;/Tag&gt;&lt;Author&gt;刘志彪; 孔令池&lt;/Author&gt;&lt;Year&gt;2021&lt;/Year&gt;&lt;Details&gt;&lt;_author_adr&gt;南京大学长江产业经济研究院;&lt;/_author_adr&gt;&lt;_collection_scope&gt;PKU&lt;/_collection_scope&gt;&lt;_created&gt;65466457&lt;/_created&gt;&lt;_db_provider&gt;CNKI&lt;/_db_provider&gt;&lt;_doi&gt;10.19581/j.cnki.ciejournal.2021.08.002&lt;/_doi&gt;&lt;_isbn&gt;1006-480X&lt;/_isbn&gt;&lt;_issue&gt;08&lt;/_issue&gt;&lt;_journal&gt;中国工业经济&lt;/_journal&gt;&lt;_keywords&gt;市场分割;市场整合;统一大市场;赶超战略;体制改革&lt;/_keywords&gt;&lt;_modified&gt;65466457&lt;/_modified&gt;&lt;_pages&gt;20-36&lt;/_pages&gt;&lt;_url&gt;https://link.cnki.net/doi/10.19581/j.cnki.ciejournal.2021.08.002&lt;/_url&gt;&lt;_translated_author&gt;Liu, Zhi biao;Kong, Ling chi&lt;/_translated_author&gt;&lt;/Details&gt;&lt;Extra&gt;&lt;DBUID&gt;{F96A950B-833F-4880-A151-76DA2D6A2879}&lt;/DBUID&gt;&lt;/Extra&gt;&lt;/Item&gt;&lt;/References&gt;&lt;/Group&gt;&lt;/Citation&gt;_x000a_"/>
    <w:docVar w:name="NE.Ref{8EC0CA4E-C955-47CA-93A4-03620D064EF1}" w:val=" ADDIN NE.Ref.{8EC0CA4E-C955-47CA-93A4-03620D064EF1}&lt;Citation&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ccessed&gt;65480633&lt;/_accessed&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CitOmitAuthors&gt;1&lt;/CitOmitAuthors&gt;&lt;/Extra&gt;&lt;/Item&gt;&lt;/References&gt;&lt;/Group&gt;&lt;/Citation&gt;_x000a_"/>
    <w:docVar w:name="NE.Ref{9055F2F9-1C3C-4461-BAE9-E586E1B93514}" w:val=" ADDIN NE.Ref.{9055F2F9-1C3C-4461-BAE9-E586E1B93514}&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CitOmitAuthors&gt;1&lt;/CitOmitAuthors&gt;&lt;/Extra&gt;&lt;/Item&gt;&lt;/References&gt;&lt;/Group&gt;&lt;/Citation&gt;_x000a_"/>
    <w:docVar w:name="NE.Ref{91F9D852-B2F8-452D-A017-CDF3A3644D8D}" w:val=" ADDIN NE.Ref.{91F9D852-B2F8-452D-A017-CDF3A3644D8D}&lt;Citation&gt;&lt;Group&gt;&lt;References&gt;&lt;Item&gt;&lt;ID&gt;770&lt;/ID&gt;&lt;UID&gt;{A63F831B-65D1-413D-AB99-AE8640A56848}&lt;/UID&gt;&lt;Title&gt;CEOs&amp;apos; hometown connections and access to trade credit: Evidence from China&lt;/Title&gt;&lt;Template&gt;Journal Article&lt;/Template&gt;&lt;Star&gt;0&lt;/Star&gt;&lt;Tag&gt;0&lt;/Tag&gt;&lt;Author&gt;Kong, Dongmin; Pan, Yue; Tian, Gary Gang; Zhang, Pengdong&lt;/Author&gt;&lt;Year&gt;2020&lt;/Year&gt;&lt;Details&gt;&lt;_alternate_title&gt;Journal of Corporate Finance&lt;/_alternate_title&gt;&lt;_collection_scope&gt;SSCI&lt;/_collection_scope&gt;&lt;_created&gt;65463438&lt;/_created&gt;&lt;_date&gt;2020-01-01&lt;/_date&gt;&lt;_date_display&gt;2020&lt;/_date_display&gt;&lt;_doi&gt;https://doi.org/10.1016/j.jcorpfin.2020.101574&lt;/_doi&gt;&lt;_impact_factor&gt;   6.100&lt;/_impact_factor&gt;&lt;_isbn&gt;0929-1199&lt;/_isbn&gt;&lt;_journal&gt;Journal of Corporate Finance&lt;/_journal&gt;&lt;_keywords&gt;Hometown connections; Trade credit; CEOs; Suppliers&lt;/_keywords&gt;&lt;_modified&gt;65463438&lt;/_modified&gt;&lt;_pages&gt;101574&lt;/_pages&gt;&lt;_social_category&gt;商业：财政与金融(1)&lt;/_social_category&gt;&lt;_url&gt;https://www.sciencedirect.com/science/article/pii/S0929119920300183&lt;/_url&gt;&lt;_volume&gt;62&lt;/_volume&gt;&lt;/Details&gt;&lt;Extra&gt;&lt;DBUID&gt;{F96A950B-833F-4880-A151-76DA2D6A2879}&lt;/DBUID&gt;&lt;/Extra&gt;&lt;/Item&gt;&lt;/References&gt;&lt;/Group&gt;&lt;/Citation&gt;_x000a_"/>
    <w:docVar w:name="NE.Ref{946BFF8E-640A-4F8F-889E-3505356932EA}" w:val=" ADDIN NE.Ref.{946BFF8E-640A-4F8F-889E-3505356932EA}&lt;Citation&gt;&lt;Group&gt;&lt;References&gt;&lt;Item&gt;&lt;ID&gt;531&lt;/ID&gt;&lt;UID&gt;{91AAFB8C-3B58-4740-A15F-5C2E02DBA4A0}&lt;/UID&gt;&lt;Title&gt;支持之手、掠夺之手与异地并购&lt;/Title&gt;&lt;Template&gt;Journal Article&lt;/Template&gt;&lt;Star&gt;0&lt;/Star&gt;&lt;Tag&gt;0&lt;/Tag&gt;&lt;Author&gt;潘红波; 余明桂&lt;/Author&gt;&lt;Year&gt;2011&lt;/Year&gt;&lt;Details&gt;&lt;_accessed&gt;65349257&lt;/_accessed&gt;&lt;_author_adr&gt;武汉大学经济与管理学院;&lt;/_author_adr&gt;&lt;_collection_scope&gt;PKU&lt;/_collection_scope&gt;&lt;_created&gt;64999984&lt;/_created&gt;&lt;_db_provider&gt;CNKI&lt;/_db_provider&gt;&lt;_isbn&gt;0577-9154&lt;/_isbn&gt;&lt;_issue&gt;09&lt;/_issue&gt;&lt;_journal&gt;经济研究&lt;/_journal&gt;&lt;_keywords&gt;异地并购;并购绩效;支持之手;掠夺之手&lt;/_keywords&gt;&lt;_modified&gt;65349257&lt;/_modified&gt;&lt;_pages&gt;108-120&lt;/_pages&gt;&lt;_volume&gt;46&lt;/_volume&gt;&lt;_translated_author&gt;Pan, Hong bo;Yu, Ming gui&lt;/_translated_author&gt;&lt;/Details&gt;&lt;Extra&gt;&lt;DBUID&gt;{F96A950B-833F-4880-A151-76DA2D6A2879}&lt;/DBUID&gt;&lt;/Extra&gt;&lt;/Item&gt;&lt;/References&gt;&lt;/Group&gt;&lt;/Citation&gt;_x000a_"/>
    <w:docVar w:name="NE.Ref{949E149E-D6CA-432E-894B-11DB398FF0BE}" w:val=" ADDIN NE.Ref.{949E149E-D6CA-432E-894B-11DB398FF0BE}&lt;Citation&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ccessed&gt;65474591&lt;/_accessed&gt;&lt;_author_adr&gt;中山大学国际金融学院;中国人民大学国家发展与战略研究院;&lt;/_author_adr&gt;&lt;_collection_scope&gt;PKU&lt;/_collection_scope&gt;&lt;_created&gt;65474591&lt;/_created&gt;&lt;_db_provider&gt;CNKI&lt;/_db_provider&gt;&lt;_doi&gt;10.19985/j.cnki.cassjwe.2024.06.007&lt;/_doi&gt;&lt;_isbn&gt;1002-9621&lt;/_isbn&gt;&lt;_issue&gt;06&lt;/_issue&gt;&lt;_journal&gt;世界经济&lt;/_journal&gt;&lt;_keywords&gt;资本空间配置;信息成本;方言&lt;/_keywords&gt;&lt;_modified&gt;65474591&lt;/_modified&gt;&lt;_pages&gt;201-224&lt;/_pages&gt;&lt;_url&gt;https://link.cnki.net/doi/10.19985/j.cnki.cassjwe.2024.06.007&lt;/_url&gt;&lt;_translated_author&gt;Liu, Yu yun;Yan, Cui xin;Chen, Qiang yuan&lt;/_translated_author&gt;&lt;/Details&gt;&lt;Extra&gt;&lt;DBUID&gt;{F96A950B-833F-4880-A151-76DA2D6A2879}&lt;/DBUID&gt;&lt;/Extra&gt;&lt;/Item&gt;&lt;/References&gt;&lt;/Group&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Extra&gt;&lt;/Item&gt;&lt;/References&gt;&lt;/Group&gt;&lt;/Citation&gt;_x000a_"/>
    <w:docVar w:name="NE.Ref{94BA87D0-8AFE-4816-8EFD-4EAD72435AB7}" w:val=" ADDIN NE.Ref.{94BA87D0-8AFE-4816-8EFD-4EAD72435AB7}&lt;Citation&gt;&lt;Group&gt;&lt;References&gt;&lt;Item&gt;&lt;ID&gt;794&lt;/ID&gt;&lt;UID&gt;{8626B502-9687-4C8E-A42A-82C431B4E99F}&lt;/UID&gt;&lt;Title&gt;异地商会与企业跨地区发展&lt;/Title&gt;&lt;Template&gt;Journal Article&lt;/Template&gt;&lt;Star&gt;0&lt;/Star&gt;&lt;Tag&gt;0&lt;/Tag&gt;&lt;Author&gt;曹春方; 贾凡胜&lt;/Author&gt;&lt;Year&gt;2020&lt;/Year&gt;&lt;Details&gt;&lt;_author_adr&gt;中山大学现代会计与财务研究中心;中山大学管理学院;中国海洋大学管理学院;中国企业营运资金管理研究中心;&lt;/_author_adr&gt;&lt;_collection_scope&gt;PKU&lt;/_collection_scope&gt;&lt;_created&gt;65472200&lt;/_created&gt;&lt;_db_provider&gt;CNKI&lt;/_db_provider&gt;&lt;_isbn&gt;0577-9154&lt;/_isbn&gt;&lt;_issue&gt;04&lt;/_issue&gt;&lt;_journal&gt;经济研究&lt;/_journal&gt;&lt;_keywords&gt;异地商会;正式社会网络;非市场途径;跨地区发展&lt;/_keywords&gt;&lt;_modified&gt;65472200&lt;/_modified&gt;&lt;_pages&gt;150-166&lt;/_pages&gt;&lt;_url&gt;https://kns.cnki.net/kcms2/article/abstract?v=gR09I6yibQ742lgsl_TzDklH1_INGnVNJPOu0awa5JZfvR5DloYqGsVwRkI90FaLsT6j3GTWV8Z7GBQgHyxhuVja2tfLGawigEwJZewapBWYP_A-8HfqW3bADGs2yRwyxo9yBPhPypdBOiaoMSCTQFP9lr956DXV&amp;amp;uniplatform=NZKPT&amp;amp;language=CHS&lt;/_url&gt;&lt;_volume&gt;55&lt;/_volume&gt;&lt;_translated_author&gt;Cao, Chun fang;Jia, Fan sheng&lt;/_translated_author&gt;&lt;/Details&gt;&lt;Extra&gt;&lt;DBUID&gt;{F96A950B-833F-4880-A151-76DA2D6A2879}&lt;/DBUID&gt;&lt;/Extra&gt;&lt;/Item&gt;&lt;/References&gt;&lt;/Group&gt;&lt;Group&gt;&lt;References&gt;&lt;Item&gt;&lt;ID&gt;792&lt;/ID&gt;&lt;UID&gt;{7B2AEA22-D6B4-455F-8325-145B5ED7CEAD}&lt;/UID&gt;&lt;Title&gt;交通基础设施如何促进资本流动——基于高铁开通和上市公司异地投资的研究&lt;/Title&gt;&lt;Template&gt;Journal Article&lt;/Template&gt;&lt;Star&gt;0&lt;/Star&gt;&lt;Tag&gt;0&lt;/Tag&gt;&lt;Author&gt;马光荣; 程小萌; 杨恩艳&lt;/Author&gt;&lt;Year&gt;2020&lt;/Year&gt;&lt;Details&gt;&lt;_author_adr&gt;中国人民大学中国财政金融政策研究中心;中国人民大学财政金融学院;中国邮政储蓄银行战略发展部;&lt;/_author_adr&gt;&lt;_collection_scope&gt;PKU&lt;/_collection_scope&gt;&lt;_created&gt;65472176&lt;/_created&gt;&lt;_db_provider&gt;CNKI&lt;/_db_provider&gt;&lt;_doi&gt;10.19581/j.cnki.ciejournal.2020.06.001&lt;/_doi&gt;&lt;_isbn&gt;1006-480X&lt;/_isbn&gt;&lt;_issue&gt;06&lt;/_issue&gt;&lt;_journal&gt;中国工业经济&lt;/_journal&gt;&lt;_keywords&gt;高铁;上市公司;异地投资;虹吸效应;卢卡斯之谜&lt;/_keywords&gt;&lt;_modified&gt;65472176&lt;/_modified&gt;&lt;_pages&gt;5-23&lt;/_pages&gt;&lt;_url&gt;https://link.cnki.net/doi/10.19581/j.cnki.ciejournal.2020.06.001&lt;/_url&gt;&lt;_translated_author&gt;Ma, Guang rong;Cheng, Xiao meng;Yang, En yan&lt;/_translated_author&gt;&lt;/Details&gt;&lt;Extra&gt;&lt;DBUID&gt;{F96A950B-833F-4880-A151-76DA2D6A2879}&lt;/DBUID&gt;&lt;/Extra&gt;&lt;/Item&gt;&lt;/References&gt;&lt;/Group&gt;&lt;/Citation&gt;_x000a_"/>
    <w:docVar w:name="NE.Ref{9755656A-A50F-494E-89B9-5096039B72DF}" w:val=" ADDIN NE.Ref.{9755656A-A50F-494E-89B9-5096039B72DF}&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collection_scope&gt;PKU;CSCD&lt;/_collection_scope&gt;&lt;_created&gt;65470570&lt;/_created&gt;&lt;_db_provider&gt;CNKI&lt;/_db_provider&gt;&lt;_doi&gt;10.13653/j.cnki.jqte.20230725.001&lt;/_doi&gt;&lt;_isbn&gt;1000-3894&lt;/_isbn&gt;&lt;_issue&gt;09&lt;/_issue&gt;&lt;_journal&gt;数量经济技术经济研究&lt;/_journal&gt;&lt;_keywords&gt;政府数据开放;全要素生产率;价值创造;数字政府&lt;/_keywords&gt;&lt;_modified&gt;65470570&lt;/_modified&gt;&lt;_pages&gt;50-70&lt;/_pages&gt;&lt;_url&gt;https://link.cnki.net/doi/10.13653/j.cnki.jqte.20230725.001&lt;/_url&gt;&lt;_volume&gt;40&lt;/_volume&gt;&lt;_translated_author&gt;Peng, Yuan huai&lt;/_translated_author&gt;&lt;/Details&gt;&lt;Extra&gt;&lt;DBUID&gt;{F96A950B-833F-4880-A151-76DA2D6A2879}&lt;/DBUID&gt;&lt;CitOmitAuthors&gt;1&lt;/CitOmitAuthors&gt;&lt;/Extra&gt;&lt;/Item&gt;&lt;/References&gt;&lt;/Group&gt;&lt;/Citation&gt;_x000a_"/>
    <w:docVar w:name="NE.Ref{97819932-3B6F-402B-9A77-22C2D53836B6}" w:val=" ADDIN NE.Ref.{97819932-3B6F-402B-9A77-22C2D53836B6}&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collection_scope&gt;PKU;CSCD&lt;/_collection_scope&gt;&lt;_created&gt;65470570&lt;/_created&gt;&lt;_db_provider&gt;CNKI&lt;/_db_provider&gt;&lt;_doi&gt;10.13653/j.cnki.jqte.20230725.001&lt;/_doi&gt;&lt;_isbn&gt;1000-3894&lt;/_isbn&gt;&lt;_issue&gt;09&lt;/_issue&gt;&lt;_journal&gt;数量经济技术经济研究&lt;/_journal&gt;&lt;_keywords&gt;政府数据开放;全要素生产率;价值创造;数字政府&lt;/_keywords&gt;&lt;_modified&gt;65470570&lt;/_modified&gt;&lt;_pages&gt;50-70&lt;/_pages&gt;&lt;_url&gt;https://link.cnki.net/doi/10.13653/j.cnki.jqte.20230725.001&lt;/_url&gt;&lt;_volume&gt;40&lt;/_volume&gt;&lt;_translated_author&gt;Peng, Yuan huai&lt;/_translated_author&gt;&lt;/Details&gt;&lt;Extra&gt;&lt;DBUID&gt;{F96A950B-833F-4880-A151-76DA2D6A2879}&lt;/DBUID&gt;&lt;/Extra&gt;&lt;/Item&gt;&lt;/References&gt;&lt;/Group&gt;&lt;/Citation&gt;_x000a_"/>
    <w:docVar w:name="NE.Ref{99E707B1-D375-4B15-A833-B25AD9B0463F}" w:val=" ADDIN NE.Ref.{99E707B1-D375-4B15-A833-B25AD9B0463F}&lt;Citation&gt;&lt;Group&gt;&lt;References&gt;&lt;Item&gt;&lt;ID&gt;809&lt;/ID&gt;&lt;UID&gt;{6F3C67AE-1CB6-4BFE-95F4-1D79C23CED00}&lt;/UID&gt;&lt;Title&gt;Artificial Intelligence for data-driven decision-making and governance in public affairs&lt;/Title&gt;&lt;Template&gt;Journal Article&lt;/Template&gt;&lt;Star&gt;0&lt;/Star&gt;&lt;Tag&gt;0&lt;/Tag&gt;&lt;Author&gt;Charles, Vincent; Rana, Nripendra P; Carter, Lemuria&lt;/Author&gt;&lt;Year&gt;2022&lt;/Year&gt;&lt;Details&gt;&lt;_alternate_title&gt;Government Information Quarterly&lt;/_alternate_title&gt;&lt;_collection_scope&gt;SSCI&lt;/_collection_scope&gt;&lt;_created&gt;65475204&lt;/_created&gt;&lt;_date&gt;2022-01-01&lt;/_date&gt;&lt;_date_display&gt;2022&lt;/_date_display&gt;&lt;_doi&gt;https://doi.org/10.1016/j.giq.2022.101742&lt;/_doi&gt;&lt;_impact_factor&gt;   7.800&lt;/_impact_factor&gt;&lt;_isbn&gt;0740-624X&lt;/_isbn&gt;&lt;_issue&gt;4&lt;/_issue&gt;&lt;_journal&gt;Government Information Quarterly&lt;/_journal&gt;&lt;_keywords&gt;Artificial intelligence; Data-driven decision-making; Public governance; Public sector; Research agenda&lt;/_keywords&gt;&lt;_modified&gt;65475204&lt;/_modified&gt;&lt;_pages&gt;101742&lt;/_pages&gt;&lt;_social_category&gt;图书情报与档案管理(1)&lt;/_social_category&gt;&lt;_url&gt;https://www.sciencedirect.com/science/article/pii/S0740624X22000788&lt;/_url&gt;&lt;_volume&gt;39&lt;/_volume&gt;&lt;/Details&gt;&lt;Extra&gt;&lt;DBUID&gt;{F96A950B-833F-4880-A151-76DA2D6A2879}&lt;/DBUID&gt;&lt;/Extra&gt;&lt;/Item&gt;&lt;/References&gt;&lt;/Group&gt;&lt;/Citation&gt;_x000a_"/>
    <w:docVar w:name="NE.Ref{9AF4641E-E426-4D5D-88E4-3AE37A4904E6}" w:val=" ADDIN NE.Ref.{9AF4641E-E426-4D5D-88E4-3AE37A4904E6}&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CitOmitAuthors&gt;1&lt;/CitOmitAuthors&gt;&lt;/Extra&gt;&lt;/Item&gt;&lt;/References&gt;&lt;/Group&gt;&lt;/Citation&gt;_x000a_"/>
    <w:docVar w:name="NE.Ref{9BE272FD-1A00-49C7-92FB-F80176C9B8FD}" w:val=" ADDIN NE.Ref.{9BE272FD-1A00-49C7-92FB-F80176C9B8FD}&lt;Citation&gt;&lt;Group&gt;&lt;References&gt;&lt;Item&gt;&lt;ID&gt;694&lt;/ID&gt;&lt;UID&gt;{D0CE83EB-3E22-44DC-A901-0FC25736E246}&lt;/UID&gt;&lt;Title&gt;大数据时代的政府治理：数字政府与企业研发操纵&lt;/Title&gt;&lt;Template&gt;Journal Article&lt;/Template&gt;&lt;Star&gt;0&lt;/Star&gt;&lt;Tag&gt;0&lt;/Tag&gt;&lt;Author&gt;孟元; 杨蓉&lt;/Author&gt;&lt;Year&gt;2024&lt;/Year&gt;&lt;Details&gt;&lt;_accessed&gt;65298987&lt;/_accessed&gt;&lt;_collection_scope&gt;CSSCI;PKU&lt;/_collection_scope&gt;&lt;_created&gt;65270426&lt;/_created&gt;&lt;_issue&gt;1&lt;/_issue&gt;&lt;_journal&gt;世界经济&lt;/_journal&gt;&lt;_keywords&gt;数字政府; 研发操纵; 产业政策; 大数据管理机构改革&lt;/_keywords&gt;&lt;_modified&gt;65298987&lt;/_modified&gt;&lt;_pages&gt;118-149&lt;/_pages&gt;&lt;_volume&gt;47&lt;/_volume&gt;&lt;_translated_author&gt;Meng, Yuan;Yang, Rong&lt;/_translated_author&gt;&lt;/Details&gt;&lt;Extra&gt;&lt;DBUID&gt;{F96A950B-833F-4880-A151-76DA2D6A2879}&lt;/DBUID&gt;&lt;/Extra&gt;&lt;/Item&gt;&lt;/References&gt;&lt;/Group&gt;&lt;Group&gt;&lt;References&gt;&lt;Item&gt;&lt;ID&gt;685&lt;/ID&gt;&lt;UID&gt;{41DC8344-FE68-48FA-91C1-E8162E027CD5}&lt;/UID&gt;&lt;Title&gt;大数据时代的政府管理与服务:提升能力及应对挑战&lt;/Title&gt;&lt;Template&gt;Journal Article&lt;/Template&gt;&lt;Star&gt;0&lt;/Star&gt;&lt;Tag&gt;0&lt;/Tag&gt;&lt;Author&gt;江小涓&lt;/Author&gt;&lt;Year&gt;2018&lt;/Year&gt;&lt;Details&gt;&lt;_accessed&gt;65343498&lt;/_accessed&gt;&lt;_author_adr&gt;中国社会科学院;中国行政管理学会;&lt;/_author_adr&gt;&lt;_collection_scope&gt;CSSCI;PKU&lt;/_collection_scope&gt;&lt;_created&gt;65269210&lt;/_created&gt;&lt;_db_provider&gt;CNKI&lt;/_db_provider&gt;&lt;_doi&gt;10.19735/j.issn.1006-0863.2018.09.01&lt;/_doi&gt;&lt;_isbn&gt;1006-0863&lt;/_isbn&gt;&lt;_issue&gt;09&lt;/_issue&gt;&lt;_journal&gt;中国行政管理&lt;/_journal&gt;&lt;_keywords&gt;公共管理;政府职能;互联网;大数据&lt;/_keywords&gt;&lt;_modified&gt;65343499&lt;/_modified&gt;&lt;_pages&gt;6-11&lt;/_pages&gt;&lt;_url&gt;https://link.cnki.net/doi/10.19735/j.issn.1006-0863.2018.09.01&lt;/_url&gt;&lt;_translated_author&gt;Jiang, Xiao juan&lt;/_translated_author&gt;&lt;/Details&gt;&lt;Extra&gt;&lt;DBUID&gt;{F96A950B-833F-4880-A151-76DA2D6A2879}&lt;/DBUID&gt;&lt;/Extra&gt;&lt;/Item&gt;&lt;/References&gt;&lt;/Group&gt;&lt;/Citation&gt;_x000a_"/>
    <w:docVar w:name="NE.Ref{9F16B6AD-C332-4602-9841-8C01D6D7C3DC}" w:val=" ADDIN NE.Ref.{9F16B6AD-C332-4602-9841-8C01D6D7C3DC}&lt;Citation&gt;&lt;Group&gt;&lt;References&gt;&lt;Item&gt;&lt;ID&gt;812&lt;/ID&gt;&lt;UID&gt;{F0FC151C-30A0-443C-B4EF-611D30D2371C}&lt;/UID&gt;&lt;Title&gt;Savings, investment, and capital mobility within China&lt;/Title&gt;&lt;Template&gt;Journal Article&lt;/Template&gt;&lt;Star&gt;0&lt;/Star&gt;&lt;Tag&gt;0&lt;/Tag&gt;&lt;Author&gt;Li, Cheng&lt;/Author&gt;&lt;Year&gt;2010&lt;/Year&gt;&lt;Details&gt;&lt;_alternate_title&gt;China Economic Review&lt;/_alternate_title&gt;&lt;_collection_scope&gt;SSCI&lt;/_collection_scope&gt;&lt;_created&gt;65479207&lt;/_created&gt;&lt;_date&gt;2010-01-01&lt;/_date&gt;&lt;_date_display&gt;2010&lt;/_date_display&gt;&lt;_doi&gt;https://doi.org/10.1016/j.chieco.2009.08.005&lt;/_doi&gt;&lt;_impact_factor&gt;   6.800&lt;/_impact_factor&gt;&lt;_isbn&gt;1043-951X&lt;/_isbn&gt;&lt;_issue&gt;1&lt;/_issue&gt;&lt;_journal&gt;China Economic Review&lt;/_journal&gt;&lt;_keywords&gt;Capital mobility; Market integration; Panel data; Capital allocation efficiency&lt;/_keywords&gt;&lt;_modified&gt;65479207&lt;/_modified&gt;&lt;_pages&gt;14-23&lt;/_pages&gt;&lt;_social_category&gt;经济学(1)&lt;/_social_category&gt;&lt;_url&gt;https://www.sciencedirect.com/science/article/pii/S1043951X09001254&lt;/_url&gt;&lt;_volume&gt;21&lt;/_volume&gt;&lt;/Details&gt;&lt;Extra&gt;&lt;DBUID&gt;{F96A950B-833F-4880-A151-76DA2D6A2879}&lt;/DBUID&gt;&lt;/Extra&gt;&lt;/Item&gt;&lt;/References&gt;&lt;/Group&gt;&lt;Group&gt;&lt;References&gt;&lt;Item&gt;&lt;ID&gt;813&lt;/ID&gt;&lt;UID&gt;{ED93E982-8CC2-4B91-8271-AEE1B075D09F}&lt;/UID&gt;&lt;Title&gt;资本配置效率、城市规模分布与福利分析&lt;/Title&gt;&lt;Template&gt;Journal Article&lt;/Template&gt;&lt;Star&gt;0&lt;/Star&gt;&lt;Tag&gt;0&lt;/Tag&gt;&lt;Author&gt;陈诗一; 刘朝良; 冯博&lt;/Author&gt;&lt;Year&gt;2019&lt;/Year&gt;&lt;Details&gt;&lt;_author_adr&gt;复旦大学经济学院;复旦大学泛海国际金融学院;&lt;/_author_adr&gt;&lt;_collection_scope&gt;PKU&lt;/_collection_scope&gt;&lt;_created&gt;65479382&lt;/_created&gt;&lt;_db_provider&gt;CNKI&lt;/_db_provider&gt;&lt;_isbn&gt;0577-9154&lt;/_isbn&gt;&lt;_issue&gt;02&lt;/_issue&gt;&lt;_journal&gt;经济研究&lt;/_journal&gt;&lt;_keywords&gt;资本配置效率;空间一般均衡;城市规模分布;结构模型&lt;/_keywords&gt;&lt;_modified&gt;65479382&lt;/_modified&gt;&lt;_pages&gt;133-147&lt;/_pages&gt;&lt;_url&gt;https://kns.cnki.net/kcms2/article/abstract?v=LAPUTnZ325f4QZM6oKxBjtBQ12DpftAE6SUSTUBtRlaveLmzwXgB5IIf9ehLHeZ52bcjq_ZoTQAOZgVg21CLwinsfqLPSVTwV0mv3ueLIySvphy40jcMcAOSfYmzY3oeL4zgbb09vZ3nRBLnJ8xI_Q_Crz8ZJOq6&amp;amp;uniplatform=NZKPT&amp;amp;language=CHS&lt;/_url&gt;&lt;_volume&gt;54&lt;/_volume&gt;&lt;_translated_author&gt;Chen, Shi yi;Liu, Chao liang;Feng, Bo&lt;/_translated_author&gt;&lt;/Details&gt;&lt;Extra&gt;&lt;DBUID&gt;{F96A950B-833F-4880-A151-76DA2D6A2879}&lt;/DBUID&gt;&lt;/Extra&gt;&lt;/Item&gt;&lt;/References&gt;&lt;/Group&gt;&lt;/Citation&gt;_x000a_"/>
    <w:docVar w:name="NE.Ref{9F6884F5-AF49-4A76-92CE-9D4DFB9DA000}" w:val=" ADDIN NE.Ref.{9F6884F5-AF49-4A76-92CE-9D4DFB9DA000}&lt;Citation&gt;&lt;Group&gt;&lt;References&gt;&lt;Item&gt;&lt;ID&gt;794&lt;/ID&gt;&lt;UID&gt;{8626B502-9687-4C8E-A42A-82C431B4E99F}&lt;/UID&gt;&lt;Title&gt;异地商会与企业跨地区发展&lt;/Title&gt;&lt;Template&gt;Journal Article&lt;/Template&gt;&lt;Star&gt;0&lt;/Star&gt;&lt;Tag&gt;0&lt;/Tag&gt;&lt;Author&gt;曹春方; 贾凡胜&lt;/Author&gt;&lt;Year&gt;2020&lt;/Year&gt;&lt;Details&gt;&lt;_author_adr&gt;中山大学现代会计与财务研究中心;中山大学管理学院;中国海洋大学管理学院;中国企业营运资金管理研究中心;&lt;/_author_adr&gt;&lt;_collection_scope&gt;PKU&lt;/_collection_scope&gt;&lt;_created&gt;65472200&lt;/_created&gt;&lt;_db_provider&gt;CNKI&lt;/_db_provider&gt;&lt;_isbn&gt;0577-9154&lt;/_isbn&gt;&lt;_issue&gt;04&lt;/_issue&gt;&lt;_journal&gt;经济研究&lt;/_journal&gt;&lt;_keywords&gt;异地商会;正式社会网络;非市场途径;跨地区发展&lt;/_keywords&gt;&lt;_modified&gt;65472200&lt;/_modified&gt;&lt;_pages&gt;150-166&lt;/_pages&gt;&lt;_url&gt;https://kns.cnki.net/kcms2/article/abstract?v=gR09I6yibQ742lgsl_TzDklH1_INGnVNJPOu0awa5JZfvR5DloYqGsVwRkI90FaLsT6j3GTWV8Z7GBQgHyxhuVja2tfLGawigEwJZewapBWYP_A-8HfqW3bADGs2yRwyxo9yBPhPypdBOiaoMSCTQFP9lr956DXV&amp;amp;uniplatform=NZKPT&amp;amp;language=CHS&lt;/_url&gt;&lt;_volume&gt;55&lt;/_volume&gt;&lt;_translated_author&gt;Cao, Chun fang;Jia, Fan sheng&lt;/_translated_author&gt;&lt;/Details&gt;&lt;Extra&gt;&lt;DBUID&gt;{F96A950B-833F-4880-A151-76DA2D6A2879}&lt;/DBUID&gt;&lt;/Extra&gt;&lt;/Item&gt;&lt;/References&gt;&lt;/Group&gt;&lt;/Citation&gt;_x000a_"/>
    <w:docVar w:name="NE.Ref{9FA38CF7-42CF-40A3-86B3-F0A273F98805}" w:val=" ADDIN NE.Ref.{9FA38CF7-42CF-40A3-86B3-F0A273F98805}&lt;Citation&gt;&lt;Group&gt;&lt;References&gt;&lt;Item&gt;&lt;ID&gt;785&lt;/ID&gt;&lt;UID&gt;{63835D68-ADDF-4EC5-B9F5-6FD096350EA0}&lt;/UID&gt;&lt;Title&gt;政府数据开放是升级版的政府信息公开吗?——基于制度框架的比较&lt;/Title&gt;&lt;Template&gt;Journal Article&lt;/Template&gt;&lt;Star&gt;0&lt;/Star&gt;&lt;Tag&gt;0&lt;/Tag&gt;&lt;Author&gt;宋烁&lt;/Author&gt;&lt;Year&gt;2021&lt;/Year&gt;&lt;Details&gt;&lt;_author_adr&gt;北京科技大学文法学院;&lt;/_author_adr&gt;&lt;_collection_scope&gt;PKU&lt;/_collection_scope&gt;&lt;_created&gt;65470582&lt;/_created&gt;&lt;_db_provider&gt;CNKI&lt;/_db_provider&gt;&lt;_isbn&gt;1009-6728&lt;/_isbn&gt;&lt;_issue&gt;05&lt;/_issue&gt;&lt;_journal&gt;环球法律评论&lt;/_journal&gt;&lt;_keywords&gt;政府数据;数据开放;政府信息公开;政府治理;数据治理&lt;/_keywords&gt;&lt;_modified&gt;65470582&lt;/_modified&gt;&lt;_pages&gt;52-66&lt;/_pages&gt;&lt;_url&gt;https://kns.cnki.net/kcms2/article/abstract?v=z-1yOu6aphPRexEqdbW8B5cfbQx-6h8oxYl7SjumN2aaLYCsnq7f3lYgB9RQMBK89mfBDc5tZPA9f9J6ISJXx9WRpNRv8UiVIHvohYy5s0lcC9MZ0CX2iYAtV8VDhrgXE_sL5hmzmKKSWRvVTwwhlhkf4-BKXpw4&amp;amp;uniplatform=NZKPT&amp;amp;language=CHS&lt;/_url&gt;&lt;_volume&gt;43&lt;/_volume&gt;&lt;_translated_author&gt;Song, Shuo&lt;/_translated_author&gt;&lt;/Details&gt;&lt;Extra&gt;&lt;DBUID&gt;{F96A950B-833F-4880-A151-76DA2D6A2879}&lt;/DBUID&gt;&lt;/Extra&gt;&lt;/Item&gt;&lt;/References&gt;&lt;/Group&gt;&lt;/Citation&gt;_x000a_"/>
    <w:docVar w:name="NE.Ref{9FBE6DC9-E2A7-49D5-A0F0-2E788C094E9F}" w:val=" ADDIN NE.Ref.{9FBE6DC9-E2A7-49D5-A0F0-2E788C094E9F}&lt;Citation&gt;&lt;Group&gt;&lt;References&gt;&lt;Item&gt;&lt;ID&gt;766&lt;/ID&gt;&lt;UID&gt;{64C91717-81F3-4421-81D3-8F21A9BAAE9C}&lt;/UID&gt;&lt;Title&gt;政务新媒体与地方政府信任：来自开通政务微博的证据&lt;/Title&gt;&lt;Template&gt;Journal Article&lt;/Template&gt;&lt;Star&gt;0&lt;/Star&gt;&lt;Tag&gt;0&lt;/Tag&gt;&lt;Author&gt;刘伯凡; 赵玉兰; 梁平汉; 张军&lt;/Author&gt;&lt;Year&gt;2023&lt;/Year&gt;&lt;Details&gt;&lt;_accessed&gt;65462237&lt;/_accessed&gt;&lt;_author_adr&gt;安徽财经大学国际经济贸易学院;中山大学政治与公共事务管理学院;中山大学中国公共管理研究中心;湖南大学马克思主义学院廉政研究中心;&lt;/_author_adr&gt;&lt;_collection_scope&gt;PKU&lt;/_collection_scope&gt;&lt;_created&gt;65462225&lt;/_created&gt;&lt;_db_provider&gt;CNKI&lt;/_db_provider&gt;&lt;_doi&gt;10.19985/j.cnki.cassjwe.2023.05.007&lt;/_doi&gt;&lt;_isbn&gt;1002-9621&lt;/_isbn&gt;&lt;_issue&gt;05&lt;/_issue&gt;&lt;_journal&gt;世界经济&lt;/_journal&gt;&lt;_keywords&gt;政务微博;政府信任;政务信息公开;机器学习;双重差分模型&lt;/_keywords&gt;&lt;_modified&gt;65462225&lt;/_modified&gt;&lt;_pages&gt;177-200&lt;/_pages&gt;&lt;_url&gt;https://link.cnki.net/doi/10.19985/j.cnki.cassjwe.2023.05.007&lt;/_url&gt;&lt;_volume&gt;46&lt;/_volume&gt;&lt;_translated_author&gt;Liu, Bo fan;Zhao, Yu lan;Liang, Ping han;Zhang, Jun&lt;/_translated_author&gt;&lt;/Details&gt;&lt;Extra&gt;&lt;DBUID&gt;{F96A950B-833F-4880-A151-76DA2D6A2879}&lt;/DBUID&gt;&lt;CitOmitAuthors&gt;1&lt;/CitOmitAuthors&gt;&lt;/Extra&gt;&lt;/Item&gt;&lt;/References&gt;&lt;/Group&gt;&lt;/Citation&gt;_x000a_"/>
    <w:docVar w:name="NE.Ref{A1CFBF65-2D0C-4F7E-9CD1-5B9769C350C7}" w:val=" ADDIN NE.Ref.{A1CFBF65-2D0C-4F7E-9CD1-5B9769C350C7}&lt;Citation&gt;&lt;Group&gt;&lt;References&gt;&lt;Item&gt;&lt;ID&gt;775&lt;/ID&gt;&lt;UID&gt;{EA6CEC9B-69A7-4A2E-95C3-5D1003164049}&lt;/UID&gt;&lt;Title&gt;政策赋能、数字生态与企业数字化转型——基于国家大数据综合试验区的准自然实验&lt;/Title&gt;&lt;Template&gt;Journal Article&lt;/Template&gt;&lt;Star&gt;0&lt;/Star&gt;&lt;Tag&gt;0&lt;/Tag&gt;&lt;Author&gt;孙伟增; 毛宁; 兰峰; 王立&lt;/Author&gt;&lt;Year&gt;2023&lt;/Year&gt;&lt;Details&gt;&lt;_author_adr&gt;中央财经大学经济学院;中国兵器工业集团人才研究中心;西安建筑科技大学管理学院;&lt;/_author_adr&gt;&lt;_collection_scope&gt;PKU&lt;/_collection_scope&gt;&lt;_created&gt;65466136&lt;/_created&gt;&lt;_db_provider&gt;CNKI&lt;/_db_provider&gt;&lt;_doi&gt;10.19581/j.cnki.ciejournal.2023.09.007&lt;/_doi&gt;&lt;_isbn&gt;1006-480X&lt;/_isbn&gt;&lt;_issue&gt;09&lt;/_issue&gt;&lt;_journal&gt;中国工业经济&lt;/_journal&gt;&lt;_keywords&gt;企业数字化;国家大数据综合试验区;数字生态;数字经济&lt;/_keywords&gt;&lt;_modified&gt;65466136&lt;/_modified&gt;&lt;_pages&gt;117-135&lt;/_pages&gt;&lt;_url&gt;https://link.cnki.net/doi/10.19581/j.cnki.ciejournal.2023.09.007&lt;/_url&gt;&lt;_translated_author&gt;Sun, Wei zeng;Mao, Ning;Lan, Feng;Wang, Li&lt;/_translated_author&gt;&lt;/Details&gt;&lt;Extra&gt;&lt;DBUID&gt;{F96A950B-833F-4880-A151-76DA2D6A2879}&lt;/DBUID&gt;&lt;CitOmitAuthors&gt;1&lt;/CitOmitAuthors&gt;&lt;/Extra&gt;&lt;/Item&gt;&lt;/References&gt;&lt;/Group&gt;&lt;/Citation&gt;_x000a_"/>
    <w:docVar w:name="NE.Ref{A44E2D4B-458C-4FE1-ACF7-7F916B16B483}" w:val=" ADDIN NE.Ref.{A44E2D4B-458C-4FE1-ACF7-7F916B16B483}&lt;Citation&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ccessed&gt;65474591&lt;/_accessed&gt;&lt;_author_adr&gt;中山大学国际金融学院;中国人民大学国家发展与战略研究院;&lt;/_author_adr&gt;&lt;_collection_scope&gt;PKU&lt;/_collection_scope&gt;&lt;_created&gt;65474591&lt;/_created&gt;&lt;_db_provider&gt;CNKI&lt;/_db_provider&gt;&lt;_doi&gt;10.19985/j.cnki.cassjwe.2024.06.007&lt;/_doi&gt;&lt;_isbn&gt;1002-9621&lt;/_isbn&gt;&lt;_issue&gt;06&lt;/_issue&gt;&lt;_journal&gt;世界经济&lt;/_journal&gt;&lt;_keywords&gt;资本空间配置;信息成本;方言&lt;/_keywords&gt;&lt;_modified&gt;65474591&lt;/_modified&gt;&lt;_pages&gt;201-224&lt;/_pages&gt;&lt;_url&gt;https://link.cnki.net/doi/10.19985/j.cnki.cassjwe.2024.06.007&lt;/_url&gt;&lt;_translated_author&gt;Liu, Yu yun;Yan, Cui xin;Chen, Qiang yuan&lt;/_translated_author&gt;&lt;/Details&gt;&lt;Extra&gt;&lt;DBUID&gt;{F96A950B-833F-4880-A151-76DA2D6A2879}&lt;/DBUID&gt;&lt;/Extra&gt;&lt;/Item&gt;&lt;/References&gt;&lt;/Group&gt;&lt;Group&gt;&lt;References&gt;&lt;Item&gt;&lt;ID&gt;700&lt;/ID&gt;&lt;UID&gt;{8E3F6ABD-7DEB-4446-B0B1-4557AFA37307}&lt;/UID&gt;&lt;Title&gt;“一带一路”倡议与企业跨区域并购&lt;/Title&gt;&lt;Template&gt;Journal Article&lt;/Template&gt;&lt;Star&gt;0&lt;/Star&gt;&lt;Tag&gt;0&lt;/Tag&gt;&lt;Author&gt;吴育辉; 刘晓玲; 吴世农&lt;/Author&gt;&lt;Year&gt;2023&lt;/Year&gt;&lt;Details&gt;&lt;_accessed&gt;65389965&lt;/_accessed&gt;&lt;_author_adr&gt;厦门大学管理学院;&lt;/_author_adr&gt;&lt;_collection_scope&gt;CSSCI;PKU;CSCD&lt;/_collection_scope&gt;&lt;_created&gt;65293315&lt;/_created&gt;&lt;_db_provider&gt;CNKI&lt;/_db_provider&gt;&lt;_doi&gt;10.19920/j.cnki.jmsc.2023.01.004&lt;/_doi&gt;&lt;_isbn&gt;1007-9807&lt;/_isbn&gt;&lt;_issue&gt;01&lt;/_issue&gt;&lt;_journal&gt;管理科学学报&lt;/_journal&gt;&lt;_keywords&gt;“一带一路”倡议;比较优势;融资;对外直接投资;跨区域并购&lt;/_keywords&gt;&lt;_modified&gt;65389965&lt;/_modified&gt;&lt;_pages&gt;55-82&lt;/_pages&gt;&lt;_url&gt;https://link.cnki.net/doi/10.19920/j.cnki.jmsc.2023.01.004&lt;/_url&gt;&lt;_volume&gt;26&lt;/_volume&gt;&lt;_translated_author&gt;Wu, Yu hui;Liu, Xiao ling;Wu, Shi nong&lt;/_translated_author&gt;&lt;/Details&gt;&lt;Extra&gt;&lt;DBUID&gt;{F96A950B-833F-4880-A151-76DA2D6A2879}&lt;/DBUID&gt;&lt;/Extra&gt;&lt;/Item&gt;&lt;/References&gt;&lt;/Group&gt;&lt;Group&gt;&lt;References&gt;&lt;Item&gt;&lt;ID&gt;761&lt;/ID&gt;&lt;UID&gt;{3B8E59FF-6DD0-46CD-AEAB-3C4FA5A16DA5}&lt;/UID&gt;&lt;Title&gt;经济增长目标调整促进了资本流动吗——基于企业跨地区投资的视角&lt;/Title&gt;&lt;Template&gt;Journal Article&lt;/Template&gt;&lt;Star&gt;0&lt;/Star&gt;&lt;Tag&gt;0&lt;/Tag&gt;&lt;Author&gt;周泽将; 雷玲&lt;/Author&gt;&lt;Year&gt;2024&lt;/Year&gt;&lt;Details&gt;&lt;_accessed&gt;65474591&lt;/_accessed&gt;&lt;_author_adr&gt;安徽大学商学院;安徽大学经济学院;&lt;/_author_adr&gt;&lt;_collection_scope&gt;PKU&lt;/_collection_scope&gt;&lt;_created&gt;65461542&lt;/_created&gt;&lt;_db_provider&gt;CNKI&lt;/_db_provider&gt;&lt;_isbn&gt;1008-3448&lt;/_isbn&gt;&lt;_issue&gt;01&lt;/_issue&gt;&lt;_journal&gt;南开管理评论&lt;/_journal&gt;&lt;_keywords&gt;经济增长目标;目标调整;资本流动;跨地区投资&lt;/_keywords&gt;&lt;_modified&gt;65489574&lt;/_modified&gt;&lt;_pages&gt;168-180&lt;/_pages&gt;&lt;_url&gt;https://link.cnki.net/urlid/12.1288.F.20230809.1353&lt;/_url&gt;&lt;_volume&gt;27&lt;/_volume&gt;&lt;_translated_author&gt;Zhou, Ze jiang;Lei, Ling&lt;/_translated_author&gt;&lt;/Details&gt;&lt;Extra&gt;&lt;DBUID&gt;{F96A950B-833F-4880-A151-76DA2D6A2879}&lt;/DBUID&gt;&lt;/Extra&gt;&lt;/Item&gt;&lt;/References&gt;&lt;/Group&gt;&lt;/Citation&gt;_x000a_"/>
    <w:docVar w:name="NE.Ref{AA72EC06-CF17-4CF3-A48A-A6A9165F48DD}" w:val=" ADDIN NE.Ref.{AA72EC06-CF17-4CF3-A48A-A6A9165F48DD}&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collection_scope&gt;PKU;CSCD&lt;/_collection_scope&gt;&lt;_created&gt;65470570&lt;/_created&gt;&lt;_db_provider&gt;CNKI&lt;/_db_provider&gt;&lt;_doi&gt;10.13653/j.cnki.jqte.20230725.001&lt;/_doi&gt;&lt;_isbn&gt;1000-3894&lt;/_isbn&gt;&lt;_issue&gt;09&lt;/_issue&gt;&lt;_journal&gt;数量经济技术经济研究&lt;/_journal&gt;&lt;_keywords&gt;政府数据开放;全要素生产率;价值创造;数字政府&lt;/_keywords&gt;&lt;_modified&gt;65470570&lt;/_modified&gt;&lt;_pages&gt;50-70&lt;/_pages&gt;&lt;_url&gt;https://link.cnki.net/doi/10.13653/j.cnki.jqte.20230725.001&lt;/_url&gt;&lt;_volume&gt;40&lt;/_volume&gt;&lt;_translated_author&gt;Peng, Yuan huai&lt;/_translated_author&gt;&lt;/Details&gt;&lt;Extra&gt;&lt;DBUID&gt;{F96A950B-833F-4880-A151-76DA2D6A2879}&lt;/DBUID&gt;&lt;CitOmitAuthors&gt;1&lt;/CitOmitAuthors&gt;&lt;/Extra&gt;&lt;/Item&gt;&lt;/References&gt;&lt;/Group&gt;&lt;/Citation&gt;_x000a_"/>
    <w:docVar w:name="NE.Ref{AB15AA09-8A43-4BD3-AFE6-2315FF22AB39}" w:val=" ADDIN NE.Ref.{AB15AA09-8A43-4BD3-AFE6-2315FF22AB39}&lt;Citation&gt;&lt;Group&gt;&lt;References&gt;&lt;Item&gt;&lt;ID&gt;810&lt;/ID&gt;&lt;UID&gt;{890148FC-CB09-4398-A4A6-D69A9058A2F8}&lt;/UID&gt;&lt;Title&gt;Uncovering High-Level Corruption: Cross-National Objective Corruption Risk Indicators Using Public Procurement Data&lt;/Title&gt;&lt;Template&gt;Journal Article&lt;/Template&gt;&lt;Star&gt;0&lt;/Star&gt;&lt;Tag&gt;0&lt;/Tag&gt;&lt;Author&gt;Fazekas, Mihály; Kocsis, Gábor&lt;/Author&gt;&lt;Year&gt;2020&lt;/Year&gt;&lt;Details&gt;&lt;_alternate_title&gt;British Journal of Political Science&lt;/_alternate_title&gt;&lt;_collection_scope&gt;SSCI&lt;/_collection_scope&gt;&lt;_created&gt;65475976&lt;/_created&gt;&lt;_date&gt;2020-01-01&lt;/_date&gt;&lt;_date_display&gt;2020&lt;/_date_display&gt;&lt;_doi&gt;DOI: 10.1017/S0007123417000461&lt;/_doi&gt;&lt;_impact_factor&gt;   5.000&lt;/_impact_factor&gt;&lt;_isbn&gt;0007-1234&lt;/_isbn&gt;&lt;_issue&gt;1&lt;/_issue&gt;&lt;_journal&gt;British Journal of Political Science&lt;/_journal&gt;&lt;_keywords&gt;CRI; European Union; corruption; measurement; public procurement&lt;/_keywords&gt;&lt;_modified&gt;65475976&lt;/_modified&gt;&lt;_ori_publication&gt;Cambridge University Press&lt;/_ori_publication&gt;&lt;_pages&gt;155-164&lt;/_pages&gt;&lt;_social_category&gt;政治学(1)&lt;/_social_category&gt;&lt;_url&gt;https://www.cambridge.org/core/product/8A1742693965AA92BE4D2BA53EADFDF0&lt;/_url&gt;&lt;_volume&gt;50&lt;/_volume&gt;&lt;/Details&gt;&lt;Extra&gt;&lt;DBUID&gt;{F96A950B-833F-4880-A151-76DA2D6A2879}&lt;/DBUID&gt;&lt;/Extra&gt;&lt;/Item&gt;&lt;/References&gt;&lt;/Group&gt;&lt;/Citation&gt;_x000a_"/>
    <w:docVar w:name="NE.Ref{AC50A9DB-0241-4026-89BD-4859995466D9}" w:val=" ADDIN NE.Ref.{AC50A9DB-0241-4026-89BD-4859995466D9}&lt;Citation&gt;&lt;Group&gt;&lt;References&gt;&lt;Item&gt;&lt;ID&gt;792&lt;/ID&gt;&lt;UID&gt;{7B2AEA22-D6B4-455F-8325-145B5ED7CEAD}&lt;/UID&gt;&lt;Title&gt;交通基础设施如何促进资本流动——基于高铁开通和上市公司异地投资的研究&lt;/Title&gt;&lt;Template&gt;Journal Article&lt;/Template&gt;&lt;Star&gt;0&lt;/Star&gt;&lt;Tag&gt;0&lt;/Tag&gt;&lt;Author&gt;马光荣; 程小萌; 杨恩艳&lt;/Author&gt;&lt;Year&gt;2020&lt;/Year&gt;&lt;Details&gt;&lt;_author_adr&gt;中国人民大学中国财政金融政策研究中心;中国人民大学财政金融学院;中国邮政储蓄银行战略发展部;&lt;/_author_adr&gt;&lt;_collection_scope&gt;PKU&lt;/_collection_scope&gt;&lt;_created&gt;65472176&lt;/_created&gt;&lt;_db_provider&gt;CNKI&lt;/_db_provider&gt;&lt;_doi&gt;10.19581/j.cnki.ciejournal.2020.06.001&lt;/_doi&gt;&lt;_isbn&gt;1006-480X&lt;/_isbn&gt;&lt;_issue&gt;06&lt;/_issue&gt;&lt;_journal&gt;中国工业经济&lt;/_journal&gt;&lt;_keywords&gt;高铁;上市公司;异地投资;虹吸效应;卢卡斯之谜&lt;/_keywords&gt;&lt;_modified&gt;65472176&lt;/_modified&gt;&lt;_pages&gt;5-23&lt;/_pages&gt;&lt;_url&gt;https://link.cnki.net/doi/10.19581/j.cnki.ciejournal.2020.06.001&lt;/_url&gt;&lt;_translated_author&gt;Ma, Guang rong;Cheng, Xiao meng;Yang, En yan&lt;/_translated_author&gt;&lt;/Details&gt;&lt;Extra&gt;&lt;DBUID&gt;{F96A950B-833F-4880-A151-76DA2D6A2879}&lt;/DBUID&gt;&lt;/Extra&gt;&lt;/Item&gt;&lt;/References&gt;&lt;/Group&gt;&lt;Group&gt;&lt;References&gt;&lt;Item&gt;&lt;ID&gt;793&lt;/ID&gt;&lt;UID&gt;{AD938A70-1098-4A01-8CFB-DA5E662B66E9}&lt;/UID&gt;&lt;Title&gt;交通网络、行政边界与要素市场一体化——来自上市公司异地投资的证据&lt;/Title&gt;&lt;Template&gt;Journal Article&lt;/Template&gt;&lt;Star&gt;0&lt;/Star&gt;&lt;Tag&gt;0&lt;/Tag&gt;&lt;Author&gt;王媛; 唐为&lt;/Author&gt;&lt;Year&gt;2023&lt;/Year&gt;&lt;Details&gt;&lt;_author_adr&gt;华东师范大学经济与管理学部经济学院;上海财经大学公共经济与管理学院;&lt;/_author_adr&gt;&lt;_collection_scope&gt;PKU&lt;/_collection_scope&gt;&lt;_created&gt;65472176&lt;/_created&gt;&lt;_db_provider&gt;CNKI&lt;/_db_provider&gt;&lt;_doi&gt;10.13821/j.cnki.ceq.2023.04.13&lt;/_doi&gt;&lt;_isbn&gt;2095-1086&lt;/_isbn&gt;&lt;_issue&gt;04&lt;/_issue&gt;&lt;_journal&gt;经济学(季刊)&lt;/_journal&gt;&lt;_keywords&gt;交通网络;边界效应;异地投资&lt;/_keywords&gt;&lt;_modified&gt;65472176&lt;/_modified&gt;&lt;_pages&gt;1461-1476&lt;/_pages&gt;&lt;_url&gt;https://link.cnki.net/doi/10.13821/j.cnki.ceq.2023.04.13&lt;/_url&gt;&lt;_volume&gt;23&lt;/_volume&gt;&lt;_translated_author&gt;Wang, Yuan;Tang, Wei&lt;/_translated_author&gt;&lt;/Details&gt;&lt;Extra&gt;&lt;DBUID&gt;{F96A950B-833F-4880-A151-76DA2D6A2879}&lt;/DBUID&gt;&lt;/Extra&gt;&lt;/Item&gt;&lt;/References&gt;&lt;/Group&gt;&lt;/Citation&gt;_x000a_"/>
    <w:docVar w:name="NE.Ref{AC7DB5FA-F13A-4C43-A058-85D864E067BA}" w:val=" ADDIN NE.Ref.{AC7DB5FA-F13A-4C43-A058-85D864E067BA}&lt;Citation&gt;&lt;Group&gt;&lt;References&gt;&lt;Item&gt;&lt;ID&gt;785&lt;/ID&gt;&lt;UID&gt;{63835D68-ADDF-4EC5-B9F5-6FD096350EA0}&lt;/UID&gt;&lt;Title&gt;政府数据开放是升级版的政府信息公开吗?——基于制度框架的比较&lt;/Title&gt;&lt;Template&gt;Journal Article&lt;/Template&gt;&lt;Star&gt;0&lt;/Star&gt;&lt;Tag&gt;0&lt;/Tag&gt;&lt;Author&gt;宋烁&lt;/Author&gt;&lt;Year&gt;2021&lt;/Year&gt;&lt;Details&gt;&lt;_author_adr&gt;北京科技大学文法学院;&lt;/_author_adr&gt;&lt;_collection_scope&gt;PKU&lt;/_collection_scope&gt;&lt;_created&gt;65470582&lt;/_created&gt;&lt;_db_provider&gt;CNKI&lt;/_db_provider&gt;&lt;_isbn&gt;1009-6728&lt;/_isbn&gt;&lt;_issue&gt;05&lt;/_issue&gt;&lt;_journal&gt;环球法律评论&lt;/_journal&gt;&lt;_keywords&gt;政府数据;数据开放;政府信息公开;政府治理;数据治理&lt;/_keywords&gt;&lt;_modified&gt;65470582&lt;/_modified&gt;&lt;_pages&gt;52-66&lt;/_pages&gt;&lt;_url&gt;https://kns.cnki.net/kcms2/article/abstract?v=z-1yOu6aphPRexEqdbW8B5cfbQx-6h8oxYl7SjumN2aaLYCsnq7f3lYgB9RQMBK89mfBDc5tZPA9f9J6ISJXx9WRpNRv8UiVIHvohYy5s0lcC9MZ0CX2iYAtV8VDhrgXE_sL5hmzmKKSWRvVTwwhlhkf4-BKXpw4&amp;amp;uniplatform=NZKPT&amp;amp;language=CHS&lt;/_url&gt;&lt;_volume&gt;43&lt;/_volume&gt;&lt;_translated_author&gt;Song, Shuo&lt;/_translated_author&gt;&lt;/Details&gt;&lt;Extra&gt;&lt;DBUID&gt;{F96A950B-833F-4880-A151-76DA2D6A2879}&lt;/DBUID&gt;&lt;/Extra&gt;&lt;/Item&gt;&lt;/References&gt;&lt;/Group&gt;&lt;/Citation&gt;_x000a_"/>
    <w:docVar w:name="NE.Ref{ACFC92F0-80E8-4AC6-827E-2B7D38F1937A}" w:val=" ADDIN NE.Ref.{ACFC92F0-80E8-4AC6-827E-2B7D38F1937A}&lt;Citation&gt;&lt;Group&gt;&lt;References&gt;&lt;Item&gt;&lt;ID&gt;773&lt;/ID&gt;&lt;UID&gt;{3564AC1B-2139-4B9B-B833-0C6547155005}&lt;/UID&gt;&lt;Title&gt;The Synergy Trap: How Companies Lose the Acquisition Game&lt;/Title&gt;&lt;Template&gt;Conference Paper&lt;/Template&gt;&lt;Star&gt;0&lt;/Star&gt;&lt;Tag&gt;0&lt;/Tag&gt;&lt;Author&gt;Sirower, Mark L&lt;/Author&gt;&lt;Year&gt;2000&lt;/Year&gt;&lt;Details&gt;&lt;_created&gt;65464421&lt;/_created&gt;&lt;_modified&gt;65464421&lt;/_modified&gt;&lt;_url&gt;https://api.semanticscholar.org/CorpusID:166466636&lt;/_url&gt;&lt;/Details&gt;&lt;Extra&gt;&lt;DBUID&gt;{F96A950B-833F-4880-A151-76DA2D6A2879}&lt;/DBUID&gt;&lt;/Extra&gt;&lt;/Item&gt;&lt;/References&gt;&lt;/Group&gt;&lt;Group&gt;&lt;References&gt;&lt;Item&gt;&lt;ID&gt;774&lt;/ID&gt;&lt;UID&gt;{7D6E7CE2-CD50-4912-8F26-9D5BAE7A9914}&lt;/UID&gt;&lt;Title&gt;业绩对赌协议对并购溢价和市场反应的影响&lt;/Title&gt;&lt;Template&gt;Journal Article&lt;/Template&gt;&lt;Star&gt;0&lt;/Star&gt;&lt;Tag&gt;0&lt;/Tag&gt;&lt;Author&gt;冯科; 邢晓旭; 何理&lt;/Author&gt;&lt;Year&gt;2023&lt;/Year&gt;&lt;Details&gt;&lt;_author_adr&gt;北京大学经济学院;中国人民大学应用经济学院;中国社会科学院大学应用经济学院;&lt;/_author_adr&gt;&lt;_collection_scope&gt;PKU&lt;/_collection_scope&gt;&lt;_created&gt;65464421&lt;/_created&gt;&lt;_db_provider&gt;CNKI&lt;/_db_provider&gt;&lt;_isbn&gt;1002-7246&lt;/_isbn&gt;&lt;_issue&gt;01&lt;/_issue&gt;&lt;_journal&gt;金融研究&lt;/_journal&gt;&lt;_keywords&gt;业绩对赌协议;并购溢价;市场反应&lt;/_keywords&gt;&lt;_modified&gt;65464421&lt;/_modified&gt;&lt;_pages&gt;188-206&lt;/_pages&gt;&lt;_url&gt;https://kns.cnki.net/kcms2/article/abstract?v=f1ZyUc11mdq6leIMpXI5jDa0N5FBGgdZOGMGXAoOIU-e5pIeznGms4uwcSGyB2-Os7WcY67jLcbRs2dqw49IVgB_eg3IFz6t0uzHiFJIBneJA-sO0JR0GJP2UkW8UamKRZ0W95ryC6GIJZKV5-seOLPsTl970iAh&amp;amp;uniplatform=NZKPT&amp;amp;language=CHS&lt;/_url&gt;&lt;_translated_author&gt;Feng, Ke;Xing, Xiao xu;He, Li&lt;/_translated_author&gt;&lt;/Details&gt;&lt;Extra&gt;&lt;DBUID&gt;{F96A950B-833F-4880-A151-76DA2D6A2879}&lt;/DBUID&gt;&lt;/Extra&gt;&lt;/Item&gt;&lt;/References&gt;&lt;/Group&gt;&lt;/Citation&gt;_x000a_"/>
    <w:docVar w:name="NE.Ref{AE13F7E2-4242-4438-9D88-37E7CD459E99}" w:val=" ADDIN NE.Ref.{AE13F7E2-4242-4438-9D88-37E7CD459E99}&lt;Citation&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ccessed&gt;65480633&lt;/_accessed&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Extra&gt;&lt;/Item&gt;&lt;/References&gt;&lt;/Group&gt;&lt;/Citation&gt;_x000a_"/>
    <w:docVar w:name="NE.Ref{AFEC0026-98B5-4AE8-9B17-144A6B96073F}" w:val=" ADDIN NE.Ref.{AFEC0026-98B5-4AE8-9B17-144A6B96073F}&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Extra&gt;&lt;/Item&gt;&lt;/References&gt;&lt;/Group&gt;&lt;Group&gt;&lt;References&gt;&lt;Item&gt;&lt;ID&gt;742&lt;/ID&gt;&lt;UID&gt;{D1374F4D-8633-497E-8BE6-FE8237C49A83}&lt;/UID&gt;&lt;Title&gt;激励与能动性：非对称财政收支分权与企业资本跨区域流动&lt;/Title&gt;&lt;Template&gt;Journal Article&lt;/Template&gt;&lt;Star&gt;0&lt;/Star&gt;&lt;Tag&gt;5&lt;/Tag&gt;&lt;Author&gt;谢贞发; 陈芳敏; 陈卓恒&lt;/Author&gt;&lt;Year&gt;2023&lt;/Year&gt;&lt;Details&gt;&lt;_accessed&gt;65386746&lt;/_accessed&gt;&lt;_author_adr&gt;厦门大学经济学院财政系;&lt;/_author_adr&gt;&lt;_collection_scope&gt;CSSCI;PKU;CSCD&lt;/_collection_scope&gt;&lt;_created&gt;65346744&lt;/_created&gt;&lt;_db_provider&gt;CNKI&lt;/_db_provider&gt;&lt;_doi&gt;10.13653/j.cnki.jqte.2023.01.004&lt;/_doi&gt;&lt;_isbn&gt;1000-3894&lt;/_isbn&gt;&lt;_issue&gt;01&lt;/_issue&gt;&lt;_journal&gt;数量经济技术经济研究&lt;/_journal&gt;&lt;_keywords&gt;非对称财政收支分权;政府与市场;资本跨区域流动&lt;/_keywords&gt;&lt;_modified&gt;65411482&lt;/_modified&gt;&lt;_pages&gt;87-108&lt;/_pages&gt;&lt;_url&gt;https://link.cnki.net/doi/10.13653/j.cnki.jqte.2023.01.004&lt;/_url&gt;&lt;_volume&gt;40&lt;/_volume&gt;&lt;_translated_author&gt;Xie, Zhen fa;Chen, Fang min;Chen, Zhuo heng&lt;/_translated_author&gt;&lt;/Details&gt;&lt;Extra&gt;&lt;DBUID&gt;{F96A950B-833F-4880-A151-76DA2D6A2879}&lt;/DBUID&gt;&lt;/Extra&gt;&lt;/Item&gt;&lt;/References&gt;&lt;/Group&gt;&lt;/Citation&gt;_x000a_"/>
    <w:docVar w:name="NE.Ref{B1FD608A-9D4C-46AB-B05C-36D85468F5D3}" w:val=" ADDIN NE.Ref.{B1FD608A-9D4C-46AB-B05C-36D85468F5D3}&lt;Citation&gt;&lt;Group&gt;&lt;References&gt;&lt;Item&gt;&lt;ID&gt;700&lt;/ID&gt;&lt;UID&gt;{8E3F6ABD-7DEB-4446-B0B1-4557AFA37307}&lt;/UID&gt;&lt;Title&gt;“一带一路”倡议与企业跨区域并购&lt;/Title&gt;&lt;Template&gt;Journal Article&lt;/Template&gt;&lt;Star&gt;0&lt;/Star&gt;&lt;Tag&gt;0&lt;/Tag&gt;&lt;Author&gt;吴育辉; 刘晓玲; 吴世农&lt;/Author&gt;&lt;Year&gt;2023&lt;/Year&gt;&lt;Details&gt;&lt;_accessed&gt;65389965&lt;/_accessed&gt;&lt;_author_adr&gt;厦门大学管理学院;&lt;/_author_adr&gt;&lt;_collection_scope&gt;CSSCI;PKU;CSCD&lt;/_collection_scope&gt;&lt;_created&gt;65293315&lt;/_created&gt;&lt;_db_provider&gt;CNKI&lt;/_db_provider&gt;&lt;_doi&gt;10.19920/j.cnki.jmsc.2023.01.004&lt;/_doi&gt;&lt;_isbn&gt;1007-9807&lt;/_isbn&gt;&lt;_issue&gt;01&lt;/_issue&gt;&lt;_journal&gt;管理科学学报&lt;/_journal&gt;&lt;_keywords&gt;“一带一路”倡议;比较优势;融资;对外直接投资;跨区域并购&lt;/_keywords&gt;&lt;_modified&gt;65389965&lt;/_modified&gt;&lt;_pages&gt;55-82&lt;/_pages&gt;&lt;_url&gt;https://link.cnki.net/doi/10.19920/j.cnki.jmsc.2023.01.004&lt;/_url&gt;&lt;_volume&gt;26&lt;/_volume&gt;&lt;_translated_author&gt;Wu, Yu hui;Liu, Xiao ling;Wu, Shi nong&lt;/_translated_author&gt;&lt;/Details&gt;&lt;Extra&gt;&lt;DBUID&gt;{F96A950B-833F-4880-A151-76DA2D6A2879}&lt;/DBUID&gt;&lt;CitOmitAuthors&gt;1&lt;/CitOmitAuthors&gt;&lt;/Extra&gt;&lt;/Item&gt;&lt;/References&gt;&lt;/Group&gt;&lt;/Citation&gt;_x000a_"/>
    <w:docVar w:name="NE.Ref{B250CE9E-7664-46EE-8159-834898B40BD9}" w:val=" ADDIN NE.Ref.{B250CE9E-7664-46EE-8159-834898B40BD9}&lt;Citation&gt;&lt;Group&gt;&lt;References&gt;&lt;Item&gt;&lt;ID&gt;700&lt;/ID&gt;&lt;UID&gt;{8E3F6ABD-7DEB-4446-B0B1-4557AFA37307}&lt;/UID&gt;&lt;Title&gt;“一带一路”倡议与企业跨区域并购&lt;/Title&gt;&lt;Template&gt;Journal Article&lt;/Template&gt;&lt;Star&gt;0&lt;/Star&gt;&lt;Tag&gt;0&lt;/Tag&gt;&lt;Author&gt;吴育辉; 刘晓玲; 吴世农&lt;/Author&gt;&lt;Year&gt;2023&lt;/Year&gt;&lt;Details&gt;&lt;_accessed&gt;65389965&lt;/_accessed&gt;&lt;_author_adr&gt;厦门大学管理学院;&lt;/_author_adr&gt;&lt;_collection_scope&gt;CSSCI;PKU;CSCD&lt;/_collection_scope&gt;&lt;_created&gt;65293315&lt;/_created&gt;&lt;_db_provider&gt;CNKI&lt;/_db_provider&gt;&lt;_doi&gt;10.19920/j.cnki.jmsc.2023.01.004&lt;/_doi&gt;&lt;_isbn&gt;1007-9807&lt;/_isbn&gt;&lt;_issue&gt;01&lt;/_issue&gt;&lt;_journal&gt;管理科学学报&lt;/_journal&gt;&lt;_keywords&gt;“一带一路”倡议;比较优势;融资;对外直接投资;跨区域并购&lt;/_keywords&gt;&lt;_modified&gt;65389965&lt;/_modified&gt;&lt;_pages&gt;55-82&lt;/_pages&gt;&lt;_url&gt;https://link.cnki.net/doi/10.19920/j.cnki.jmsc.2023.01.004&lt;/_url&gt;&lt;_volume&gt;26&lt;/_volume&gt;&lt;_translated_author&gt;Wu, Yu hui;Liu, Xiao ling;Wu, Shi nong&lt;/_translated_author&gt;&lt;/Details&gt;&lt;Extra&gt;&lt;DBUID&gt;{F96A950B-833F-4880-A151-76DA2D6A2879}&lt;/DBUID&gt;&lt;CitOmitAuthors&gt;1&lt;/CitOmitAuthors&gt;&lt;/Extra&gt;&lt;/Item&gt;&lt;/References&gt;&lt;/Group&gt;&lt;/Citation&gt;_x000a_"/>
    <w:docVar w:name="NE.Ref{B2D3E6C0-9FB6-4542-8564-A505ECBF218A}" w:val=" ADDIN NE.Ref.{B2D3E6C0-9FB6-4542-8564-A505ECBF218A}&lt;Citation&gt;&lt;Group&gt;&lt;References&gt;&lt;Item&gt;&lt;ID&gt;525&lt;/ID&gt;&lt;UID&gt;{A0144A27-E5BB-41AA-8CF9-7E4455535F2C}&lt;/UID&gt;&lt;Title&gt;独立董事具有咨询功能吗?——异地独董在异地并购中功能的经验研究&lt;/Title&gt;&lt;Template&gt;Journal Article&lt;/Template&gt;&lt;Star&gt;0&lt;/Star&gt;&lt;Tag&gt;0&lt;/Tag&gt;&lt;Author&gt;刘春; 李善民; 孙亮&lt;/Author&gt;&lt;Year&gt;2015&lt;/Year&gt;&lt;Details&gt;&lt;_accessed&gt;65346744&lt;/_accessed&gt;&lt;_author_adr&gt;中山大学国际商学院;中山大学管理学院;中山大学并购重组研究中心;&lt;/_author_adr&gt;&lt;_collection_scope&gt;PKU&lt;/_collection_scope&gt;&lt;_created&gt;64999981&lt;/_created&gt;&lt;_db_provider&gt;CNKI&lt;/_db_provider&gt;&lt;_doi&gt;10.19744/j.cnki.11-1235/f.2015.03.012&lt;/_doi&gt;&lt;_isbn&gt;1002-5502&lt;/_isbn&gt;&lt;_issue&gt;03&lt;/_issue&gt;&lt;_journal&gt;管理世界&lt;/_journal&gt;&lt;_keywords&gt;地方保护主义;异地独董;异地并购&lt;/_keywords&gt;&lt;_modified&gt;65346744&lt;/_modified&gt;&lt;_pages&gt;124-136+188&lt;/_pages&gt;&lt;_translated_author&gt;Liu, Chun;Li, Shan min;Sun, Liang&lt;/_translated_author&gt;&lt;/Details&gt;&lt;Extra&gt;&lt;DBUID&gt;{F96A950B-833F-4880-A151-76DA2D6A2879}&lt;/DBUID&gt;&lt;CitOmitAuthors&gt;1&lt;/CitOmitAuthors&gt;&lt;/Extra&gt;&lt;/Item&gt;&lt;/References&gt;&lt;/Group&gt;&lt;/Citation&gt;_x000a_"/>
    <w:docVar w:name="NE.Ref{B360BDDB-66FE-4AA1-A50B-1DFEC7DF1ED7}" w:val=" ADDIN NE.Ref.{B360BDDB-66FE-4AA1-A50B-1DFEC7DF1ED7}&lt;Citation&gt;&lt;Group&gt;&lt;References&gt;&lt;Item&gt;&lt;ID&gt;764&lt;/ID&gt;&lt;UID&gt;{E987411E-2715-4891-85CC-7E2EC5F770A3}&lt;/UID&gt;&lt;Title&gt;数据跨境流动能否抑制国际贸易逃税——来自海关信息交换的证据&lt;/Title&gt;&lt;Template&gt;Journal Article&lt;/Template&gt;&lt;Star&gt;0&lt;/Star&gt;&lt;Tag&gt;0&lt;/Tag&gt;&lt;Author&gt;房超; 沈雨婷&lt;/Author&gt;&lt;Year&gt;2024&lt;/Year&gt;&lt;Details&gt;&lt;_author_adr&gt;浙江工商大学现代商贸研究中心;浙江工商大学经济学院;浙江大学中国数字贸易研究院;&lt;/_author_adr&gt;&lt;_collection_scope&gt;PKU;CSCD&lt;/_collection_scope&gt;&lt;_created&gt;65461908&lt;/_created&gt;&lt;_db_provider&gt;CNKI&lt;/_db_provider&gt;&lt;_isbn&gt;1000-3894&lt;/_isbn&gt;&lt;_issue&gt;03&lt;/_issue&gt;&lt;_journal&gt;数量经济技术经济研究&lt;/_journal&gt;&lt;_keywords&gt;数据跨境流动;海关信息交换;增值税边境失效问题;逃税;原产地证书&lt;/_keywords&gt;&lt;_modified&gt;65461908&lt;/_modified&gt;&lt;_pages&gt;89-111&lt;/_pages&gt;&lt;_url&gt;https://link.cnki.net/urlid/11.1087.f.20240104.1447.008&lt;/_url&gt;&lt;_volume&gt;41&lt;/_volume&gt;&lt;_translated_author&gt;Fang, Chao;Shen, Yu ting&lt;/_translated_author&gt;&lt;/Details&gt;&lt;Extra&gt;&lt;DBUID&gt;{F96A950B-833F-4880-A151-76DA2D6A2879}&lt;/DBUID&gt;&lt;CitOmitAuthors&gt;1&lt;/CitOmitAuthors&gt;&lt;/Extra&gt;&lt;/Item&gt;&lt;/References&gt;&lt;/Group&gt;&lt;/Citation&gt;_x000a_"/>
    <w:docVar w:name="NE.Ref{B3FF1D8E-0994-4E6A-8B10-E3DD9AAB87AF}" w:val=" ADDIN NE.Ref.{B3FF1D8E-0994-4E6A-8B10-E3DD9AAB87AF}&lt;Citation&gt;&lt;Group&gt;&lt;References&gt;&lt;Item&gt;&lt;ID&gt;767&lt;/ID&gt;&lt;UID&gt;{FDB50FAE-198C-4763-B1D1-FB6B05457EC2}&lt;/UID&gt;&lt;Title&gt;数据要素与城投债定价：基于公共数据开放的准自然实验&lt;/Title&gt;&lt;Template&gt;Journal Article&lt;/Template&gt;&lt;Star&gt;0&lt;/Star&gt;&lt;Tag&gt;0&lt;/Tag&gt;&lt;Author&gt;欧阳伊玲; 王愉靖; 李平; 高昊宇&lt;/Author&gt;&lt;Year&gt;2024&lt;/Year&gt;&lt;Details&gt;&lt;_author_adr&gt;上海对外经贸大学金融管理学院;北京航空航天大学经济管理学院;北京航空航天大学低碳治理与政策智能实验室;中国人民大学财政金融学院;&lt;/_author_adr&gt;&lt;_collection_scope&gt;PKU&lt;/_collection_scope&gt;&lt;_created&gt;65462226&lt;/_created&gt;&lt;_db_provider&gt;CNKI&lt;/_db_provider&gt;&lt;_doi&gt;10.19985/j.cnki.cassjwe.2024.02.007&lt;/_doi&gt;&lt;_isbn&gt;1002-9621&lt;/_isbn&gt;&lt;_issue&gt;02&lt;/_issue&gt;&lt;_journal&gt;世界经济&lt;/_journal&gt;&lt;_keywords&gt;公共数据开放;数据要素;城投债;信用利差&lt;/_keywords&gt;&lt;_modified&gt;65462226&lt;/_modified&gt;&lt;_pages&gt;174-203&lt;/_pages&gt;&lt;_url&gt;https://link.cnki.net/doi/10.19985/j.cnki.cassjwe.2024.02.007&lt;/_url&gt;&lt;_translated_author&gt;Ou, Yang yi ling;Wang, Yu jing;Li, Ping;Gao, Hao yu&lt;/_translated_author&gt;&lt;/Details&gt;&lt;Extra&gt;&lt;DBUID&gt;{F96A950B-833F-4880-A151-76DA2D6A2879}&lt;/DBUID&gt;&lt;/Extra&gt;&lt;/Item&gt;&lt;/References&gt;&lt;/Group&gt;&lt;/Citation&gt;_x000a_"/>
    <w:docVar w:name="NE.Ref{B5002160-1F2C-4D36-A5E6-F26A27BA58BD}" w:val=" ADDIN NE.Ref.{B5002160-1F2C-4D36-A5E6-F26A27BA58BD}&lt;Citation&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ccessed&gt;65474591&lt;/_accessed&gt;&lt;_author_adr&gt;中山大学国际金融学院;中国人民大学国家发展与战略研究院;&lt;/_author_adr&gt;&lt;_collection_scope&gt;PKU&lt;/_collection_scope&gt;&lt;_created&gt;65474591&lt;/_created&gt;&lt;_db_provider&gt;CNKI&lt;/_db_provider&gt;&lt;_doi&gt;10.19985/j.cnki.cassjwe.2024.06.007&lt;/_doi&gt;&lt;_isbn&gt;1002-9621&lt;/_isbn&gt;&lt;_issue&gt;06&lt;/_issue&gt;&lt;_journal&gt;世界经济&lt;/_journal&gt;&lt;_keywords&gt;资本空间配置;信息成本;方言&lt;/_keywords&gt;&lt;_modified&gt;65474591&lt;/_modified&gt;&lt;_pages&gt;201-224&lt;/_pages&gt;&lt;_url&gt;https://link.cnki.net/doi/10.19985/j.cnki.cassjwe.2024.06.007&lt;/_url&gt;&lt;_translated_author&gt;Liu, Yu yun;Yan, Cui xin;Chen, Qiang yuan&lt;/_translated_author&gt;&lt;/Details&gt;&lt;Extra&gt;&lt;DBUID&gt;{F96A950B-833F-4880-A151-76DA2D6A2879}&lt;/DBUID&gt;&lt;/Extra&gt;&lt;/Item&gt;&lt;/References&gt;&lt;/Group&gt;&lt;Group&gt;&lt;References&gt;&lt;Item&gt;&lt;ID&gt;793&lt;/ID&gt;&lt;UID&gt;{AD938A70-1098-4A01-8CFB-DA5E662B66E9}&lt;/UID&gt;&lt;Title&gt;交通网络、行政边界与要素市场一体化——来自上市公司异地投资的证据&lt;/Title&gt;&lt;Template&gt;Journal Article&lt;/Template&gt;&lt;Star&gt;0&lt;/Star&gt;&lt;Tag&gt;0&lt;/Tag&gt;&lt;Author&gt;王媛; 唐为&lt;/Author&gt;&lt;Year&gt;2023&lt;/Year&gt;&lt;Details&gt;&lt;_author_adr&gt;华东师范大学经济与管理学部经济学院;上海财经大学公共经济与管理学院;&lt;/_author_adr&gt;&lt;_collection_scope&gt;PKU&lt;/_collection_scope&gt;&lt;_created&gt;65472176&lt;/_created&gt;&lt;_db_provider&gt;CNKI&lt;/_db_provider&gt;&lt;_doi&gt;10.13821/j.cnki.ceq.2023.04.13&lt;/_doi&gt;&lt;_isbn&gt;2095-1086&lt;/_isbn&gt;&lt;_issue&gt;04&lt;/_issue&gt;&lt;_journal&gt;经济学(季刊)&lt;/_journal&gt;&lt;_keywords&gt;交通网络;边界效应;异地投资&lt;/_keywords&gt;&lt;_modified&gt;65472176&lt;/_modified&gt;&lt;_pages&gt;1461-1476&lt;/_pages&gt;&lt;_url&gt;https://link.cnki.net/doi/10.13821/j.cnki.ceq.2023.04.13&lt;/_url&gt;&lt;_volume&gt;23&lt;/_volume&gt;&lt;_translated_author&gt;Wang, Yuan;Tang, Wei&lt;/_translated_author&gt;&lt;/Details&gt;&lt;Extra&gt;&lt;DBUID&gt;{F96A950B-833F-4880-A151-76DA2D6A2879}&lt;/DBUID&gt;&lt;/Extra&gt;&lt;/Item&gt;&lt;/References&gt;&lt;/Group&gt;&lt;/Citation&gt;_x000a_"/>
    <w:docVar w:name="NE.Ref{BFCAEB09-C21C-432F-8A97-287A217B8EA3}" w:val=" ADDIN NE.Ref.{BFCAEB09-C21C-432F-8A97-287A217B8EA3}&lt;Citation&gt;&lt;Group&gt;&lt;References&gt;&lt;Item&gt;&lt;ID&gt;547&lt;/ID&gt;&lt;UID&gt;{FAE1D79C-2AA5-4D0E-9BE8-1BD279B8405B}&lt;/UID&gt;&lt;Title&gt;税收竞争、区域环境与资本跨区流动——基于企业异地并购视角的实证研究&lt;/Title&gt;&lt;Template&gt;Journal Article&lt;/Template&gt;&lt;Star&gt;0&lt;/Star&gt;&lt;Tag&gt;0&lt;/Tag&gt;&lt;Author&gt;王凤荣; 苗妙&lt;/Author&gt;&lt;Year&gt;2015&lt;/Year&gt;&lt;Details&gt;&lt;_accessed&gt;65386739&lt;/_accessed&gt;&lt;_author_adr&gt;山东大学经济研究院;&lt;/_author_adr&gt;&lt;_collection_scope&gt;PKU&lt;/_collection_scope&gt;&lt;_created&gt;64999990&lt;/_created&gt;&lt;_db_provider&gt;CNKI&lt;/_db_provider&gt;&lt;_isbn&gt;0577-9154&lt;/_isbn&gt;&lt;_issue&gt;02&lt;/_issue&gt;&lt;_journal&gt;经济研究&lt;/_journal&gt;&lt;_keywords&gt;税收竞争;区域环境;资本跨区流动;企业异地并购&lt;/_keywords&gt;&lt;_modified&gt;65386739&lt;/_modified&gt;&lt;_pages&gt;16-30&lt;/_pages&gt;&lt;_volume&gt;50&lt;/_volume&gt;&lt;_translated_author&gt;Wang, Feng rong;Miao, Miao&lt;/_translated_author&gt;&lt;/Details&gt;&lt;Extra&gt;&lt;DBUID&gt;{F96A950B-833F-4880-A151-76DA2D6A2879}&lt;/DBUID&gt;&lt;/Extra&gt;&lt;/Item&gt;&lt;/References&gt;&lt;/Group&gt;&lt;/Citation&gt;_x000a_"/>
    <w:docVar w:name="NE.Ref{C0844252-21C5-4C55-A11B-FE0C49F0D581}" w:val=" ADDIN NE.Ref.{C0844252-21C5-4C55-A11B-FE0C49F0D581}&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collection_scope&gt;PKU;CSCD&lt;/_collection_scope&gt;&lt;_created&gt;65470570&lt;/_created&gt;&lt;_db_provider&gt;CNKI&lt;/_db_provider&gt;&lt;_doi&gt;10.13653/j.cnki.jqte.20230725.001&lt;/_doi&gt;&lt;_isbn&gt;1000-3894&lt;/_isbn&gt;&lt;_issue&gt;09&lt;/_issue&gt;&lt;_journal&gt;数量经济技术经济研究&lt;/_journal&gt;&lt;_keywords&gt;政府数据开放;全要素生产率;价值创造;数字政府&lt;/_keywords&gt;&lt;_modified&gt;65470570&lt;/_modified&gt;&lt;_pages&gt;50-70&lt;/_pages&gt;&lt;_url&gt;https://link.cnki.net/doi/10.13653/j.cnki.jqte.20230725.001&lt;/_url&gt;&lt;_volume&gt;40&lt;/_volume&gt;&lt;_translated_author&gt;Peng, Yuan huai&lt;/_translated_author&gt;&lt;/Details&gt;&lt;Extra&gt;&lt;DBUID&gt;{F96A950B-833F-4880-A151-76DA2D6A2879}&lt;/DBUID&gt;&lt;/Extra&gt;&lt;/Item&gt;&lt;/References&gt;&lt;/Group&gt;&lt;/Citation&gt;_x000a_"/>
    <w:docVar w:name="NE.Ref{C446F270-D437-4FE5-8E0C-36EF3693E173}" w:val=" ADDIN NE.Ref.{C446F270-D437-4FE5-8E0C-36EF3693E173}&lt;Citation&gt;&lt;Group&gt;&lt;References&gt;&lt;Item&gt;&lt;ID&gt;793&lt;/ID&gt;&lt;UID&gt;{AD938A70-1098-4A01-8CFB-DA5E662B66E9}&lt;/UID&gt;&lt;Title&gt;交通网络、行政边界与要素市场一体化——来自上市公司异地投资的证据&lt;/Title&gt;&lt;Template&gt;Journal Article&lt;/Template&gt;&lt;Star&gt;0&lt;/Star&gt;&lt;Tag&gt;0&lt;/Tag&gt;&lt;Author&gt;王媛; 唐为&lt;/Author&gt;&lt;Year&gt;2023&lt;/Year&gt;&lt;Details&gt;&lt;_author_adr&gt;华东师范大学经济与管理学部经济学院;上海财经大学公共经济与管理学院;&lt;/_author_adr&gt;&lt;_collection_scope&gt;PKU&lt;/_collection_scope&gt;&lt;_created&gt;65472176&lt;/_created&gt;&lt;_db_provider&gt;CNKI&lt;/_db_provider&gt;&lt;_doi&gt;10.13821/j.cnki.ceq.2023.04.13&lt;/_doi&gt;&lt;_isbn&gt;2095-1086&lt;/_isbn&gt;&lt;_issue&gt;04&lt;/_issue&gt;&lt;_journal&gt;经济学(季刊)&lt;/_journal&gt;&lt;_keywords&gt;交通网络;边界效应;异地投资&lt;/_keywords&gt;&lt;_modified&gt;65472176&lt;/_modified&gt;&lt;_pages&gt;1461-1476&lt;/_pages&gt;&lt;_url&gt;https://link.cnki.net/doi/10.13821/j.cnki.ceq.2023.04.13&lt;/_url&gt;&lt;_volume&gt;23&lt;/_volume&gt;&lt;_translated_author&gt;Wang, Yuan;Tang, Wei&lt;/_translated_author&gt;&lt;/Details&gt;&lt;Extra&gt;&lt;DBUID&gt;{F96A950B-833F-4880-A151-76DA2D6A2879}&lt;/DBUID&gt;&lt;/Extra&gt;&lt;/Item&gt;&lt;/References&gt;&lt;/Group&gt;&lt;/Citation&gt;_x000a_"/>
    <w:docVar w:name="NE.Ref{C8BE94F9-7153-4DC4-827D-2242E7F6F49D}" w:val=" ADDIN NE.Ref.{C8BE94F9-7153-4DC4-827D-2242E7F6F49D}&lt;Citation&gt;&lt;Group&gt;&lt;References&gt;&lt;Item&gt;&lt;ID&gt;814&lt;/ID&gt;&lt;UID&gt;{E7DAA589-9E2E-4976-9C73-C7C4909F9164}&lt;/UID&gt;&lt;Title&gt;数据要素共享与城市创业活力——来自公共数据开放的经验证据&lt;/Title&gt;&lt;Template&gt;Journal Article&lt;/Template&gt;&lt;Star&gt;1&lt;/Star&gt;&lt;Tag&gt;0&lt;/Tag&gt;&lt;Author&gt;蔡运坤; 周京奎; 袁旺平&lt;/Author&gt;&lt;Year&gt;2024&lt;/Year&gt;&lt;Details&gt;&lt;_author_adr&gt;南开大学经济学院;南开大学经济行为与政策模拟实验室;&lt;/_author_adr&gt;&lt;_db_provider&gt;CNKI&lt;/_db_provider&gt;&lt;_doi&gt;10.13653/j.cnki.jqte.20240619.004&lt;/_doi&gt;&lt;_isbn&gt;1000-3894&lt;/_isbn&gt;&lt;_journal&gt;数量经济技术经济研究&lt;/_journal&gt;&lt;_keywords&gt;公共数据开放;城市创业活力;制度性交易成本;信息搜寻匹配效率&lt;/_keywords&gt;&lt;_pages&gt;1-22&lt;/_pages&gt;&lt;_url&gt;https://link.cnki.net/doi/10.13653/j.cnki.jqte.20240619.004&lt;/_url&gt;&lt;_created&gt;65480594&lt;/_created&gt;&lt;_modified&gt;65480594&lt;/_modified&gt;&lt;_collection_scope&gt;PKU;CSCD&lt;/_collection_scope&gt;&lt;_translated_author&gt;Cai, Yun kun;Zhou, Jing kui;Yuan, Wang ping&lt;/_translated_author&gt;&lt;/Details&gt;&lt;Extra&gt;&lt;DBUID&gt;{F96A950B-833F-4880-A151-76DA2D6A2879}&lt;/DBUID&gt;&lt;CitOmitAuthors&gt;1&lt;/CitOmitAuthors&gt;&lt;/Extra&gt;&lt;/Item&gt;&lt;/References&gt;&lt;/Group&gt;&lt;/Citation&gt;_x000a_"/>
    <w:docVar w:name="NE.Ref{C8EA6EFB-9580-45A0-84FA-BEC023C07C16}" w:val=" ADDIN NE.Ref.{C8EA6EFB-9580-45A0-84FA-BEC023C07C16}&lt;Citation&gt;&lt;Group&gt;&lt;References&gt;&lt;Item&gt;&lt;ID&gt;742&lt;/ID&gt;&lt;UID&gt;{D1374F4D-8633-497E-8BE6-FE8237C49A83}&lt;/UID&gt;&lt;Title&gt;激励与能动性：非对称财政收支分权与企业资本跨区域流动&lt;/Title&gt;&lt;Template&gt;Journal Article&lt;/Template&gt;&lt;Star&gt;0&lt;/Star&gt;&lt;Tag&gt;5&lt;/Tag&gt;&lt;Author&gt;谢贞发; 陈芳敏; 陈卓恒&lt;/Author&gt;&lt;Year&gt;2023&lt;/Year&gt;&lt;Details&gt;&lt;_accessed&gt;65386746&lt;/_accessed&gt;&lt;_author_adr&gt;厦门大学经济学院财政系;&lt;/_author_adr&gt;&lt;_collection_scope&gt;CSSCI;PKU;CSCD&lt;/_collection_scope&gt;&lt;_created&gt;65346744&lt;/_created&gt;&lt;_db_provider&gt;CNKI&lt;/_db_provider&gt;&lt;_doi&gt;10.13653/j.cnki.jqte.2023.01.004&lt;/_doi&gt;&lt;_isbn&gt;1000-3894&lt;/_isbn&gt;&lt;_issue&gt;01&lt;/_issue&gt;&lt;_journal&gt;数量经济技术经济研究&lt;/_journal&gt;&lt;_keywords&gt;非对称财政收支分权;政府与市场;资本跨区域流动&lt;/_keywords&gt;&lt;_modified&gt;65411482&lt;/_modified&gt;&lt;_pages&gt;87-108&lt;/_pages&gt;&lt;_url&gt;https://link.cnki.net/doi/10.13653/j.cnki.jqte.2023.01.004&lt;/_url&gt;&lt;_volume&gt;40&lt;/_volume&gt;&lt;_translated_author&gt;Xie, Zhen fa;Chen, Fang min;Chen, Zhuo heng&lt;/_translated_author&gt;&lt;/Details&gt;&lt;Extra&gt;&lt;DBUID&gt;{F96A950B-833F-4880-A151-76DA2D6A2879}&lt;/DBUID&gt;&lt;/Extra&gt;&lt;/Item&gt;&lt;/References&gt;&lt;/Group&gt;&lt;/Citation&gt;_x000a_"/>
    <w:docVar w:name="NE.Ref{CF96A82B-6F0D-4FDC-A8F2-C034BB66BF97}" w:val=" ADDIN NE.Ref.{CF96A82B-6F0D-4FDC-A8F2-C034BB66BF97}&lt;Citation&gt;&lt;Group&gt;&lt;References&gt;&lt;Item&gt;&lt;ID&gt;814&lt;/ID&gt;&lt;UID&gt;{E7DAA589-9E2E-4976-9C73-C7C4909F9164}&lt;/UID&gt;&lt;Title&gt;数据要素共享与城市创业活力——来自公共数据开放的经验证据&lt;/Title&gt;&lt;Template&gt;Journal Article&lt;/Template&gt;&lt;Star&gt;1&lt;/Star&gt;&lt;Tag&gt;0&lt;/Tag&gt;&lt;Author&gt;蔡运坤; 周京奎; 袁旺平&lt;/Author&gt;&lt;Year&gt;2024&lt;/Year&gt;&lt;Details&gt;&lt;_author_adr&gt;南开大学经济学院;南开大学经济行为与政策模拟实验室;&lt;/_author_adr&gt;&lt;_db_provider&gt;CNKI&lt;/_db_provider&gt;&lt;_doi&gt;10.13653/j.cnki.jqte.20240619.004&lt;/_doi&gt;&lt;_isbn&gt;1000-3894&lt;/_isbn&gt;&lt;_journal&gt;数量经济技术经济研究&lt;/_journal&gt;&lt;_keywords&gt;公共数据开放;城市创业活力;制度性交易成本;信息搜寻匹配效率&lt;/_keywords&gt;&lt;_pages&gt;1-22&lt;/_pages&gt;&lt;_url&gt;https://link.cnki.net/doi/10.13653/j.cnki.jqte.20240619.004&lt;/_url&gt;&lt;_created&gt;65480594&lt;/_created&gt;&lt;_modified&gt;65480594&lt;/_modified&gt;&lt;_collection_scope&gt;PKU;CSCD&lt;/_collection_scope&gt;&lt;_translated_author&gt;Cai, Yun kun;Zhou, Jing kui;Yuan, Wang ping&lt;/_translated_author&gt;&lt;/Details&gt;&lt;Extra&gt;&lt;DBUID&gt;{F96A950B-833F-4880-A151-76DA2D6A2879}&lt;/DBUID&gt;&lt;/Extra&gt;&lt;/Item&gt;&lt;/References&gt;&lt;/Group&gt;&lt;/Citation&gt;_x000a_"/>
    <w:docVar w:name="NE.Ref{D2BA15F9-6DFA-4993-9664-7900CE8C7154}" w:val=" ADDIN NE.Ref.{D2BA15F9-6DFA-4993-9664-7900CE8C7154}&lt;Citation&gt;&lt;Group&gt;&lt;References&gt;&lt;Item&gt;&lt;ID&gt;811&lt;/ID&gt;&lt;UID&gt;{14DE47C1-B7F9-444A-8054-3747DFD7E7DD}&lt;/UID&gt;&lt;Title&gt;内循环为主、外循环赋能与更高水平双循环——国际经验与中国实践&lt;/Title&gt;&lt;Template&gt;Journal Article&lt;/Template&gt;&lt;Star&gt;0&lt;/Star&gt;&lt;Tag&gt;0&lt;/Tag&gt;&lt;Author&gt;江小涓; 孟丽君&lt;/Author&gt;&lt;Year&gt;2021&lt;/Year&gt;&lt;Details&gt;&lt;_author_adr&gt;清华大学公共管理学院;&lt;/_author_adr&gt;&lt;_collection_scope&gt;PKU&lt;/_collection_scope&gt;&lt;_created&gt;65479158&lt;/_created&gt;&lt;_db_provider&gt;CNKI&lt;/_db_provider&gt;&lt;_doi&gt;10.19744/j.cnki.11-1235/f.2021.0001&lt;/_doi&gt;&lt;_isbn&gt;1002-5502&lt;/_isbn&gt;&lt;_issue&gt;01&lt;/_issue&gt;&lt;_journal&gt;管理世界&lt;/_journal&gt;&lt;_keywords&gt;新发展格局;双循环;内循环;外循环;全球产业链;高水平开放&lt;/_keywords&gt;&lt;_modified&gt;65479158&lt;/_modified&gt;&lt;_pages&gt;1-19&lt;/_pages&gt;&lt;_url&gt;https://link.cnki.net/doi/10.19744/j.cnki.11-1235/f.2021.0001&lt;/_url&gt;&lt;_volume&gt;37&lt;/_volume&gt;&lt;_translated_author&gt;Jiang, Xiao juan;Meng, Li jun&lt;/_translated_author&gt;&lt;/Details&gt;&lt;Extra&gt;&lt;DBUID&gt;{F96A950B-833F-4880-A151-76DA2D6A2879}&lt;/DBUID&gt;&lt;/Extra&gt;&lt;/Item&gt;&lt;/References&gt;&lt;/Group&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ccessed&gt;65474591&lt;/_accessed&gt;&lt;_author_adr&gt;中山大学国际金融学院;中国人民大学国家发展与战略研究院;&lt;/_author_adr&gt;&lt;_collection_scope&gt;PKU&lt;/_collection_scope&gt;&lt;_created&gt;65474591&lt;/_created&gt;&lt;_db_provider&gt;CNKI&lt;/_db_provider&gt;&lt;_doi&gt;10.19985/j.cnki.cassjwe.2024.06.007&lt;/_doi&gt;&lt;_isbn&gt;1002-9621&lt;/_isbn&gt;&lt;_issue&gt;06&lt;/_issue&gt;&lt;_journal&gt;世界经济&lt;/_journal&gt;&lt;_keywords&gt;资本空间配置;信息成本;方言&lt;/_keywords&gt;&lt;_modified&gt;65474591&lt;/_modified&gt;&lt;_pages&gt;201-224&lt;/_pages&gt;&lt;_url&gt;https://link.cnki.net/doi/10.19985/j.cnki.cassjwe.2024.06.007&lt;/_url&gt;&lt;_translated_author&gt;Liu, Yu yun;Yan, Cui xin;Chen, Qiang yuan&lt;/_translated_author&gt;&lt;/Details&gt;&lt;Extra&gt;&lt;DBUID&gt;{F96A950B-833F-4880-A151-76DA2D6A2879}&lt;/DBUID&gt;&lt;/Extra&gt;&lt;/Item&gt;&lt;/References&gt;&lt;/Group&gt;&lt;/Citation&gt;_x000a_"/>
    <w:docVar w:name="NE.Ref{D3F9C753-90EB-4BB1-AC09-63E2AF1D3A8C}" w:val=" ADDIN NE.Ref.{D3F9C753-90EB-4BB1-AC09-63E2AF1D3A8C}&lt;Citation&gt;&lt;Group&gt;&lt;References&gt;&lt;Item&gt;&lt;ID&gt;779&lt;/ID&gt;&lt;UID&gt;{3AD6B1E4-3674-4589-94CA-1D24F2B6E10A}&lt;/UID&gt;&lt;Title&gt;为什么中国企业难以国内跨地区经营?&lt;/Title&gt;&lt;Template&gt;Journal Article&lt;/Template&gt;&lt;Star&gt;0&lt;/Star&gt;&lt;Tag&gt;0&lt;/Tag&gt;&lt;Author&gt;宋渊洋; 黄礼伟&lt;/Author&gt;&lt;Year&gt;2014&lt;/Year&gt;&lt;Details&gt;&lt;_author_adr&gt;华东理工大学商学院;&lt;/_author_adr&gt;&lt;_collection_scope&gt;PKU&lt;/_collection_scope&gt;&lt;_created&gt;65466457&lt;/_created&gt;&lt;_db_provider&gt;CNKI&lt;/_db_provider&gt;&lt;_doi&gt;10.19744/j.cnki.11-1235/f.2014.12.010&lt;/_doi&gt;&lt;_isbn&gt;1002-5502&lt;/_isbn&gt;&lt;_issue&gt;12&lt;/_issue&gt;&lt;_journal&gt;管理世界&lt;/_journal&gt;&lt;_keywords&gt;跨地区经营;制度性障碍;制度环境;制度距离;市场分割&lt;/_keywords&gt;&lt;_modified&gt;65466457&lt;/_modified&gt;&lt;_pages&gt;115-133&lt;/_pages&gt;&lt;_translated_author&gt;Song, Yuan yang;Huang, Li wei&lt;/_translated_author&gt;&lt;/Details&gt;&lt;Extra&gt;&lt;DBUID&gt;{F96A950B-833F-4880-A151-76DA2D6A2879}&lt;/DBUID&gt;&lt;/Extra&gt;&lt;/Item&gt;&lt;/References&gt;&lt;/Group&gt;&lt;/Citation&gt;_x000a_"/>
    <w:docVar w:name="NE.Ref{D45AE763-3FCF-40BC-A939-570C9A93D7EA}" w:val=" ADDIN NE.Ref.{D45AE763-3FCF-40BC-A939-570C9A93D7EA}&lt;Citation&gt;&lt;Group&gt;&lt;References&gt;&lt;Item&gt;&lt;ID&gt;768&lt;/ID&gt;&lt;UID&gt;{D4150423-CB5E-45A6-A1D6-4D11E0D2ED8B}&lt;/UID&gt;&lt;Title&gt;国际海底光缆、双边信息流与中国跨境并购&lt;/Title&gt;&lt;Template&gt;Journal Article&lt;/Template&gt;&lt;Star&gt;0&lt;/Star&gt;&lt;Tag&gt;0&lt;/Tag&gt;&lt;Author&gt;马述忠; 吴鹏; 房超&lt;/Author&gt;&lt;Year&gt;2024&lt;/Year&gt;&lt;Details&gt;&lt;_author_adr&gt;浙江大学中国数字贸易研究院;浙江财经大学经济学院;浙江工商大学经济学院;&lt;/_author_adr&gt;&lt;_collection_scope&gt;PKU&lt;/_collection_scope&gt;&lt;_created&gt;65463304&lt;/_created&gt;&lt;_db_provider&gt;CNKI&lt;/_db_provider&gt;&lt;_doi&gt;10.19985/j.cnki.cassjwe.2024.04.001&lt;/_doi&gt;&lt;_isbn&gt;1002-9621&lt;/_isbn&gt;&lt;_issue&gt;04&lt;/_issue&gt;&lt;_journal&gt;世界经济&lt;/_journal&gt;&lt;_keywords&gt;跨境并购;信息不对称;海底光缆&lt;/_keywords&gt;&lt;_modified&gt;65463304&lt;/_modified&gt;&lt;_pages&gt;3-30&lt;/_pages&gt;&lt;_url&gt;https://link.cnki.net/doi/10.19985/j.cnki.cassjwe.2024.04.001&lt;/_url&gt;&lt;_translated_author&gt;Ma, Shu zhong;Wu, Peng;Fang, Chao&lt;/_translated_author&gt;&lt;/Details&gt;&lt;Extra&gt;&lt;DBUID&gt;{F96A950B-833F-4880-A151-76DA2D6A2879}&lt;/DBUID&gt;&lt;CitOmitAuthors&gt;1&lt;/CitOmitAuthors&gt;&lt;/Extra&gt;&lt;/Item&gt;&lt;/References&gt;&lt;/Group&gt;&lt;/Citation&gt;_x000a_"/>
    <w:docVar w:name="NE.Ref{D5447965-F663-4336-9EAE-4C407822A12A}" w:val=" ADDIN NE.Ref.{D5447965-F663-4336-9EAE-4C407822A12A}&lt;Citation&gt;&lt;Group&gt;&lt;References&gt;&lt;Item&gt;&lt;ID&gt;778&lt;/ID&gt;&lt;UID&gt;{CC030E73-DF49-414C-9361-D2ECB92AA209}&lt;/UID&gt;&lt;Title&gt;从分割走向整合：推进国内统一大市场建设的阻力与对策&lt;/Title&gt;&lt;Template&gt;Journal Article&lt;/Template&gt;&lt;Star&gt;0&lt;/Star&gt;&lt;Tag&gt;0&lt;/Tag&gt;&lt;Author&gt;刘志彪; 孔令池&lt;/Author&gt;&lt;Year&gt;2021&lt;/Year&gt;&lt;Details&gt;&lt;_author_adr&gt;南京大学长江产业经济研究院;&lt;/_author_adr&gt;&lt;_collection_scope&gt;PKU&lt;/_collection_scope&gt;&lt;_created&gt;65466457&lt;/_created&gt;&lt;_db_provider&gt;CNKI&lt;/_db_provider&gt;&lt;_doi&gt;10.19581/j.cnki.ciejournal.2021.08.002&lt;/_doi&gt;&lt;_isbn&gt;1006-480X&lt;/_isbn&gt;&lt;_issue&gt;08&lt;/_issue&gt;&lt;_journal&gt;中国工业经济&lt;/_journal&gt;&lt;_keywords&gt;市场分割;市场整合;统一大市场;赶超战略;体制改革&lt;/_keywords&gt;&lt;_modified&gt;65466457&lt;/_modified&gt;&lt;_pages&gt;20-36&lt;/_pages&gt;&lt;_url&gt;https://link.cnki.net/doi/10.19581/j.cnki.ciejournal.2021.08.002&lt;/_url&gt;&lt;_translated_author&gt;Liu, Zhi biao;Kong, Ling chi&lt;/_translated_author&gt;&lt;/Details&gt;&lt;Extra&gt;&lt;DBUID&gt;{F96A950B-833F-4880-A151-76DA2D6A2879}&lt;/DBUID&gt;&lt;CitOmitAuthors&gt;1&lt;/CitOmitAuthors&gt;&lt;/Extra&gt;&lt;/Item&gt;&lt;/References&gt;&lt;/Group&gt;&lt;/Citation&gt;_x000a_"/>
    <w:docVar w:name="NE.Ref{DCC100F1-4EE8-4565-80E9-7C34A6A2D1F6}" w:val=" ADDIN NE.Ref.{DCC100F1-4EE8-4565-80E9-7C34A6A2D1F6}&lt;Citation&gt;&lt;Group&gt;&lt;References&gt;&lt;Item&gt;&lt;ID&gt;547&lt;/ID&gt;&lt;UID&gt;{FAE1D79C-2AA5-4D0E-9BE8-1BD279B8405B}&lt;/UID&gt;&lt;Title&gt;税收竞争、区域环境与资本跨区流动——基于企业异地并购视角的实证研究&lt;/Title&gt;&lt;Template&gt;Journal Article&lt;/Template&gt;&lt;Star&gt;0&lt;/Star&gt;&lt;Tag&gt;0&lt;/Tag&gt;&lt;Author&gt;王凤荣; 苗妙&lt;/Author&gt;&lt;Year&gt;2015&lt;/Year&gt;&lt;Details&gt;&lt;_accessed&gt;65386739&lt;/_accessed&gt;&lt;_author_adr&gt;山东大学经济研究院;&lt;/_author_adr&gt;&lt;_collection_scope&gt;PKU&lt;/_collection_scope&gt;&lt;_created&gt;64999990&lt;/_created&gt;&lt;_db_provider&gt;CNKI&lt;/_db_provider&gt;&lt;_isbn&gt;0577-9154&lt;/_isbn&gt;&lt;_issue&gt;02&lt;/_issue&gt;&lt;_journal&gt;经济研究&lt;/_journal&gt;&lt;_keywords&gt;税收竞争;区域环境;资本跨区流动;企业异地并购&lt;/_keywords&gt;&lt;_modified&gt;65386739&lt;/_modified&gt;&lt;_pages&gt;16-30&lt;/_pages&gt;&lt;_volume&gt;50&lt;/_volume&gt;&lt;_translated_author&gt;Wang, Feng rong;Miao, Miao&lt;/_translated_author&gt;&lt;/Details&gt;&lt;Extra&gt;&lt;DBUID&gt;{F96A950B-833F-4880-A151-76DA2D6A2879}&lt;/DBUID&gt;&lt;/Extra&gt;&lt;/Item&gt;&lt;/References&gt;&lt;/Group&gt;&lt;Group&gt;&lt;References&gt;&lt;Item&gt;&lt;ID&gt;795&lt;/ID&gt;&lt;UID&gt;{ABB51575-B1F9-466A-B52E-417AC36D1EE5}&lt;/UID&gt;&lt;Title&gt;区域性税收优惠政策、企业异地发展与避税&lt;/Title&gt;&lt;Template&gt;Journal Article&lt;/Template&gt;&lt;Star&gt;0&lt;/Star&gt;&lt;Tag&gt;0&lt;/Tag&gt;&lt;Author&gt;马光荣; 程小萌&lt;/Author&gt;&lt;Year&gt;2022&lt;/Year&gt;&lt;Details&gt;&lt;_author_adr&gt;中国人民大学财政金融学院中国财政金融政策研究中心;首都经济贸易大学财政税务学院;&lt;/_author_adr&gt;&lt;_db_provider&gt;CNKI&lt;/_db_provider&gt;&lt;_doi&gt;10.19985/j.cnki.cassjwe.2022.12.008&lt;/_doi&gt;&lt;_isbn&gt;1002-9621&lt;/_isbn&gt;&lt;_issue&gt;12&lt;/_issue&gt;&lt;_journal&gt;世界经济&lt;/_journal&gt;&lt;_keywords&gt;区域性税收优惠;异地发展;集聚经济;公司避税&lt;/_keywords&gt;&lt;_pages&gt;129-152&lt;/_pages&gt;&lt;_url&gt;https://link.cnki.net/doi/10.19985/j.cnki.cassjwe.2022.12.008&lt;/_url&gt;&lt;_volume&gt;45&lt;/_volume&gt;&lt;_created&gt;65472206&lt;/_created&gt;&lt;_modified&gt;65472206&lt;/_modified&gt;&lt;_collection_scope&gt;PKU&lt;/_collection_scope&gt;&lt;_translated_author&gt;Ma, Guang rong;Cheng, Xiao meng&lt;/_translated_author&gt;&lt;/Details&gt;&lt;Extra&gt;&lt;DBUID&gt;{F96A950B-833F-4880-A151-76DA2D6A2879}&lt;/DBUID&gt;&lt;/Extra&gt;&lt;/Item&gt;&lt;/References&gt;&lt;/Group&gt;&lt;/Citation&gt;_x000a_"/>
    <w:docVar w:name="NE.Ref{DD636893-0309-49EF-8BB9-DD691201A329}" w:val=" ADDIN NE.Ref.{DD636893-0309-49EF-8BB9-DD691201A329}&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db_provider&gt;CNKI&lt;/_db_provider&gt;&lt;_doi&gt;10.13653/j.cnki.jqte.20230725.001&lt;/_doi&gt;&lt;_isbn&gt;1000-3894&lt;/_isbn&gt;&lt;_issue&gt;09&lt;/_issue&gt;&lt;_journal&gt;数量经济技术经济研究&lt;/_journal&gt;&lt;_keywords&gt;政府数据开放;全要素生产率;价值创造;数字政府&lt;/_keywords&gt;&lt;_pages&gt;50-70&lt;/_pages&gt;&lt;_url&gt;https://link.cnki.net/doi/10.13653/j.cnki.jqte.20230725.001&lt;/_url&gt;&lt;_volume&gt;40&lt;/_volume&gt;&lt;_created&gt;65470570&lt;/_created&gt;&lt;_modified&gt;65470570&lt;/_modified&gt;&lt;_collection_scope&gt;PKU;CSCD&lt;/_collection_scope&gt;&lt;_translated_author&gt;Peng, Yuan huai&lt;/_translated_author&gt;&lt;/Details&gt;&lt;Extra&gt;&lt;DBUID&gt;{F96A950B-833F-4880-A151-76DA2D6A2879}&lt;/DBUID&gt;&lt;/Extra&gt;&lt;/Item&gt;&lt;/References&gt;&lt;/Group&gt;&lt;Group&gt;&lt;References&gt;&lt;Item&gt;&lt;ID&gt;767&lt;/ID&gt;&lt;UID&gt;{FDB50FAE-198C-4763-B1D1-FB6B05457EC2}&lt;/UID&gt;&lt;Title&gt;数据要素与城投债定价：基于公共数据开放的准自然实验&lt;/Title&gt;&lt;Template&gt;Journal Article&lt;/Template&gt;&lt;Star&gt;0&lt;/Star&gt;&lt;Tag&gt;0&lt;/Tag&gt;&lt;Author&gt;欧阳伊玲; 王愉靖; 李平; 高昊宇&lt;/Author&gt;&lt;Year&gt;2024&lt;/Year&gt;&lt;Details&gt;&lt;_author_adr&gt;上海对外经贸大学金融管理学院;北京航空航天大学经济管理学院;北京航空航天大学低碳治理与政策智能实验室;中国人民大学财政金融学院;&lt;/_author_adr&gt;&lt;_collection_scope&gt;PKU&lt;/_collection_scope&gt;&lt;_created&gt;65462226&lt;/_created&gt;&lt;_db_provider&gt;CNKI&lt;/_db_provider&gt;&lt;_doi&gt;10.19985/j.cnki.cassjwe.2024.02.007&lt;/_doi&gt;&lt;_isbn&gt;1002-9621&lt;/_isbn&gt;&lt;_issue&gt;02&lt;/_issue&gt;&lt;_journal&gt;世界经济&lt;/_journal&gt;&lt;_keywords&gt;公共数据开放;数据要素;城投债;信用利差&lt;/_keywords&gt;&lt;_modified&gt;65462226&lt;/_modified&gt;&lt;_pages&gt;174-203&lt;/_pages&gt;&lt;_url&gt;https://link.cnki.net/doi/10.19985/j.cnki.cassjwe.2024.02.007&lt;/_url&gt;&lt;_translated_author&gt;Ou, Yang yi ling;Wang, Yu jing;Li, Ping;Gao, Hao yu&lt;/_translated_author&gt;&lt;/Details&gt;&lt;Extra&gt;&lt;DBUID&gt;{F96A950B-833F-4880-A151-76DA2D6A2879}&lt;/DBUID&gt;&lt;/Extra&gt;&lt;/Item&gt;&lt;/References&gt;&lt;/Group&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Extra&gt;&lt;/Item&gt;&lt;/References&gt;&lt;/Group&gt;&lt;/Citation&gt;_x000a_"/>
    <w:docVar w:name="NE.Ref{E7F57C25-1806-4BFC-8EDC-454E5F7CFD26}" w:val=" ADDIN NE.Ref.{E7F57C25-1806-4BFC-8EDC-454E5F7CFD26}&lt;Citation&gt;&lt;Group&gt;&lt;References&gt;&lt;Item&gt;&lt;ID&gt;767&lt;/ID&gt;&lt;UID&gt;{FDB50FAE-198C-4763-B1D1-FB6B05457EC2}&lt;/UID&gt;&lt;Title&gt;数据要素与城投债定价：基于公共数据开放的准自然实验&lt;/Title&gt;&lt;Template&gt;Journal Article&lt;/Template&gt;&lt;Star&gt;0&lt;/Star&gt;&lt;Tag&gt;0&lt;/Tag&gt;&lt;Author&gt;欧阳伊玲; 王愉靖; 李平; 高昊宇&lt;/Author&gt;&lt;Year&gt;2024&lt;/Year&gt;&lt;Details&gt;&lt;_author_adr&gt;上海对外经贸大学金融管理学院;北京航空航天大学经济管理学院;北京航空航天大学低碳治理与政策智能实验室;中国人民大学财政金融学院;&lt;/_author_adr&gt;&lt;_db_provider&gt;CNKI&lt;/_db_provider&gt;&lt;_doi&gt;10.19985/j.cnki.cassjwe.2024.02.007&lt;/_doi&gt;&lt;_isbn&gt;1002-9621&lt;/_isbn&gt;&lt;_issue&gt;02&lt;/_issue&gt;&lt;_journal&gt;世界经济&lt;/_journal&gt;&lt;_keywords&gt;公共数据开放;数据要素;城投债;信用利差&lt;/_keywords&gt;&lt;_pages&gt;174-203&lt;/_pages&gt;&lt;_url&gt;https://link.cnki.net/doi/10.19985/j.cnki.cassjwe.2024.02.007&lt;/_url&gt;&lt;_created&gt;65462226&lt;/_created&gt;&lt;_modified&gt;65462226&lt;/_modified&gt;&lt;_collection_scope&gt;PKU&lt;/_collection_scope&gt;&lt;_translated_author&gt;Ou, Yang yi ling;Wang, Yu jing;Li, Ping;Gao, Hao yu&lt;/_translated_author&gt;&lt;/Details&gt;&lt;Extra&gt;&lt;DBUID&gt;{F96A950B-833F-4880-A151-76DA2D6A2879}&lt;/DBUID&gt;&lt;CitOmitAuthors&gt;1&lt;/CitOmitAuthors&gt;&lt;/Extra&gt;&lt;/Item&gt;&lt;/References&gt;&lt;/Group&gt;&lt;/Citation&gt;_x000a_"/>
    <w:docVar w:name="NE.Ref{E913A569-3DE3-4E0C-99BB-DA31E426F36F}" w:val=" ADDIN NE.Ref.{E913A569-3DE3-4E0C-99BB-DA31E426F36F}&lt;Citation&gt;&lt;Group&gt;&lt;References&gt;&lt;Item&gt;&lt;ID&gt;547&lt;/ID&gt;&lt;UID&gt;{FAE1D79C-2AA5-4D0E-9BE8-1BD279B8405B}&lt;/UID&gt;&lt;Title&gt;税收竞争、区域环境与资本跨区流动——基于企业异地并购视角的实证研究&lt;/Title&gt;&lt;Template&gt;Journal Article&lt;/Template&gt;&lt;Star&gt;0&lt;/Star&gt;&lt;Tag&gt;0&lt;/Tag&gt;&lt;Author&gt;王凤荣; 苗妙&lt;/Author&gt;&lt;Year&gt;2015&lt;/Year&gt;&lt;Details&gt;&lt;_accessed&gt;65386739&lt;/_accessed&gt;&lt;_author_adr&gt;山东大学经济研究院;&lt;/_author_adr&gt;&lt;_collection_scope&gt;PKU&lt;/_collection_scope&gt;&lt;_created&gt;64999990&lt;/_created&gt;&lt;_db_provider&gt;CNKI&lt;/_db_provider&gt;&lt;_isbn&gt;0577-9154&lt;/_isbn&gt;&lt;_issue&gt;02&lt;/_issue&gt;&lt;_journal&gt;经济研究&lt;/_journal&gt;&lt;_keywords&gt;税收竞争;区域环境;资本跨区流动;企业异地并购&lt;/_keywords&gt;&lt;_modified&gt;65386739&lt;/_modified&gt;&lt;_pages&gt;16-30&lt;/_pages&gt;&lt;_volume&gt;50&lt;/_volume&gt;&lt;_translated_author&gt;Wang, Feng rong;Miao, Miao&lt;/_translated_author&gt;&lt;/Details&gt;&lt;Extra&gt;&lt;DBUID&gt;{F96A950B-833F-4880-A151-76DA2D6A2879}&lt;/DBUID&gt;&lt;/Extra&gt;&lt;/Item&gt;&lt;/References&gt;&lt;/Group&gt;&lt;/Citation&gt;_x000a_"/>
    <w:docVar w:name="NE.Ref{E92137FF-DFDD-4137-A5EC-4AA683CCBF8A}" w:val=" ADDIN NE.Ref.{E92137FF-DFDD-4137-A5EC-4AA683CCBF8A}&lt;Citation&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ccessed&gt;65474591&lt;/_accessed&gt;&lt;_author_adr&gt;中山大学国际金融学院;中国人民大学国家发展与战略研究院;&lt;/_author_adr&gt;&lt;_collection_scope&gt;PKU&lt;/_collection_scope&gt;&lt;_created&gt;65474591&lt;/_created&gt;&lt;_db_provider&gt;CNKI&lt;/_db_provider&gt;&lt;_doi&gt;10.19985/j.cnki.cassjwe.2024.06.007&lt;/_doi&gt;&lt;_isbn&gt;1002-9621&lt;/_isbn&gt;&lt;_issue&gt;06&lt;/_issue&gt;&lt;_journal&gt;世界经济&lt;/_journal&gt;&lt;_keywords&gt;资本空间配置;信息成本;方言&lt;/_keywords&gt;&lt;_modified&gt;65474591&lt;/_modified&gt;&lt;_pages&gt;201-224&lt;/_pages&gt;&lt;_url&gt;https://link.cnki.net/doi/10.19985/j.cnki.cassjwe.2024.06.007&lt;/_url&gt;&lt;_translated_author&gt;Liu, Yu yun;Yan, Cui xin;Chen, Qiang yuan&lt;/_translated_author&gt;&lt;/Details&gt;&lt;Extra&gt;&lt;DBUID&gt;{F96A950B-833F-4880-A151-76DA2D6A2879}&lt;/DBUID&gt;&lt;/Extra&gt;&lt;/Item&gt;&lt;/References&gt;&lt;/Group&gt;&lt;Group&gt;&lt;References&gt;&lt;Item&gt;&lt;ID&gt;793&lt;/ID&gt;&lt;UID&gt;{AD938A70-1098-4A01-8CFB-DA5E662B66E9}&lt;/UID&gt;&lt;Title&gt;交通网络、行政边界与要素市场一体化——来自上市公司异地投资的证据&lt;/Title&gt;&lt;Template&gt;Journal Article&lt;/Template&gt;&lt;Star&gt;0&lt;/Star&gt;&lt;Tag&gt;0&lt;/Tag&gt;&lt;Author&gt;王媛; 唐为&lt;/Author&gt;&lt;Year&gt;2023&lt;/Year&gt;&lt;Details&gt;&lt;_author_adr&gt;华东师范大学经济与管理学部经济学院;上海财经大学公共经济与管理学院;&lt;/_author_adr&gt;&lt;_collection_scope&gt;PKU&lt;/_collection_scope&gt;&lt;_created&gt;65472176&lt;/_created&gt;&lt;_db_provider&gt;CNKI&lt;/_db_provider&gt;&lt;_doi&gt;10.13821/j.cnki.ceq.2023.04.13&lt;/_doi&gt;&lt;_isbn&gt;2095-1086&lt;/_isbn&gt;&lt;_issue&gt;04&lt;/_issue&gt;&lt;_journal&gt;经济学(季刊)&lt;/_journal&gt;&lt;_keywords&gt;交通网络;边界效应;异地投资&lt;/_keywords&gt;&lt;_modified&gt;65472176&lt;/_modified&gt;&lt;_pages&gt;1461-1476&lt;/_pages&gt;&lt;_url&gt;https://link.cnki.net/doi/10.13821/j.cnki.ceq.2023.04.13&lt;/_url&gt;&lt;_volume&gt;23&lt;/_volume&gt;&lt;_translated_author&gt;Wang, Yuan;Tang, Wei&lt;/_translated_author&gt;&lt;/Details&gt;&lt;Extra&gt;&lt;DBUID&gt;{F96A950B-833F-4880-A151-76DA2D6A2879}&lt;/DBUID&gt;&lt;/Extra&gt;&lt;/Item&gt;&lt;/References&gt;&lt;/Group&gt;&lt;/Citation&gt;_x000a_"/>
    <w:docVar w:name="NE.Ref{EBA496A7-8F83-463F-B743-596471AEC1C7}" w:val=" ADDIN NE.Ref.{EBA496A7-8F83-463F-B743-596471AEC1C7}&lt;Citation&gt;&lt;Group&gt;&lt;References&gt;&lt;Item&gt;&lt;ID&gt;778&lt;/ID&gt;&lt;UID&gt;{CC030E73-DF49-414C-9361-D2ECB92AA209}&lt;/UID&gt;&lt;Title&gt;从分割走向整合：推进国内统一大市场建设的阻力与对策&lt;/Title&gt;&lt;Template&gt;Journal Article&lt;/Template&gt;&lt;Star&gt;0&lt;/Star&gt;&lt;Tag&gt;0&lt;/Tag&gt;&lt;Author&gt;刘志彪; 孔令池&lt;/Author&gt;&lt;Year&gt;2021&lt;/Year&gt;&lt;Details&gt;&lt;_author_adr&gt;南京大学长江产业经济研究院;&lt;/_author_adr&gt;&lt;_collection_scope&gt;PKU&lt;/_collection_scope&gt;&lt;_created&gt;65466457&lt;/_created&gt;&lt;_db_provider&gt;CNKI&lt;/_db_provider&gt;&lt;_doi&gt;10.19581/j.cnki.ciejournal.2021.08.002&lt;/_doi&gt;&lt;_isbn&gt;1006-480X&lt;/_isbn&gt;&lt;_issue&gt;08&lt;/_issue&gt;&lt;_journal&gt;中国工业经济&lt;/_journal&gt;&lt;_keywords&gt;市场分割;市场整合;统一大市场;赶超战略;体制改革&lt;/_keywords&gt;&lt;_modified&gt;65466457&lt;/_modified&gt;&lt;_pages&gt;20-36&lt;/_pages&gt;&lt;_url&gt;https://link.cnki.net/doi/10.19581/j.cnki.ciejournal.2021.08.002&lt;/_url&gt;&lt;_translated_author&gt;Liu, Zhi biao;Kong, Ling chi&lt;/_translated_author&gt;&lt;/Details&gt;&lt;Extra&gt;&lt;DBUID&gt;{F96A950B-833F-4880-A151-76DA2D6A2879}&lt;/DBUID&gt;&lt;/Extra&gt;&lt;/Item&gt;&lt;/References&gt;&lt;/Group&gt;&lt;Group&gt;&lt;References&gt;&lt;Item&gt;&lt;ID&gt;547&lt;/ID&gt;&lt;UID&gt;{FAE1D79C-2AA5-4D0E-9BE8-1BD279B8405B}&lt;/UID&gt;&lt;Title&gt;税收竞争、区域环境与资本跨区流动——基于企业异地并购视角的实证研究&lt;/Title&gt;&lt;Template&gt;Journal Article&lt;/Template&gt;&lt;Star&gt;0&lt;/Star&gt;&lt;Tag&gt;0&lt;/Tag&gt;&lt;Author&gt;王凤荣; 苗妙&lt;/Author&gt;&lt;Year&gt;2015&lt;/Year&gt;&lt;Details&gt;&lt;_accessed&gt;65386739&lt;/_accessed&gt;&lt;_author_adr&gt;山东大学经济研究院;&lt;/_author_adr&gt;&lt;_collection_scope&gt;PKU&lt;/_collection_scope&gt;&lt;_created&gt;64999990&lt;/_created&gt;&lt;_db_provider&gt;CNKI&lt;/_db_provider&gt;&lt;_isbn&gt;0577-9154&lt;/_isbn&gt;&lt;_issue&gt;02&lt;/_issue&gt;&lt;_journal&gt;经济研究&lt;/_journal&gt;&lt;_keywords&gt;税收竞争;区域环境;资本跨区流动;企业异地并购&lt;/_keywords&gt;&lt;_modified&gt;65386739&lt;/_modified&gt;&lt;_pages&gt;16-30&lt;/_pages&gt;&lt;_volume&gt;50&lt;/_volume&gt;&lt;_translated_author&gt;Wang, Feng rong;Miao, Miao&lt;/_translated_author&gt;&lt;/Details&gt;&lt;Extra&gt;&lt;DBUID&gt;{F96A950B-833F-4880-A151-76DA2D6A2879}&lt;/DBUID&gt;&lt;/Extra&gt;&lt;/Item&gt;&lt;/References&gt;&lt;/Group&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Extra&gt;&lt;/Item&gt;&lt;/References&gt;&lt;/Group&gt;&lt;/Citation&gt;_x000a_"/>
    <w:docVar w:name="NE.Ref{ED8AD834-4A78-41B7-9FA7-DE0647FAA208}" w:val=" ADDIN NE.Ref.{ED8AD834-4A78-41B7-9FA7-DE0647FAA208}&lt;Citation&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Extra&gt;&lt;/Item&gt;&lt;/References&gt;&lt;/Group&gt;&lt;/Citation&gt;_x000a_"/>
    <w:docVar w:name="NE.Ref{F1B7C7E7-B4E1-46C5-9C7C-AB2C0424FFA8}" w:val=" ADDIN NE.Ref.{F1B7C7E7-B4E1-46C5-9C7C-AB2C0424FFA8}&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Extra&gt;&lt;/Item&gt;&lt;/References&gt;&lt;/Group&gt;&lt;Group&gt;&lt;References&gt;&lt;Item&gt;&lt;ID&gt;793&lt;/ID&gt;&lt;UID&gt;{AD938A70-1098-4A01-8CFB-DA5E662B66E9}&lt;/UID&gt;&lt;Title&gt;交通网络、行政边界与要素市场一体化——来自上市公司异地投资的证据&lt;/Title&gt;&lt;Template&gt;Journal Article&lt;/Template&gt;&lt;Star&gt;0&lt;/Star&gt;&lt;Tag&gt;0&lt;/Tag&gt;&lt;Author&gt;王媛; 唐为&lt;/Author&gt;&lt;Year&gt;2023&lt;/Year&gt;&lt;Details&gt;&lt;_author_adr&gt;华东师范大学经济与管理学部经济学院;上海财经大学公共经济与管理学院;&lt;/_author_adr&gt;&lt;_collection_scope&gt;PKU&lt;/_collection_scope&gt;&lt;_created&gt;65472176&lt;/_created&gt;&lt;_db_provider&gt;CNKI&lt;/_db_provider&gt;&lt;_doi&gt;10.13821/j.cnki.ceq.2023.04.13&lt;/_doi&gt;&lt;_isbn&gt;2095-1086&lt;/_isbn&gt;&lt;_issue&gt;04&lt;/_issue&gt;&lt;_journal&gt;经济学(季刊)&lt;/_journal&gt;&lt;_keywords&gt;交通网络;边界效应;异地投资&lt;/_keywords&gt;&lt;_modified&gt;65472176&lt;/_modified&gt;&lt;_pages&gt;1461-1476&lt;/_pages&gt;&lt;_url&gt;https://link.cnki.net/doi/10.13821/j.cnki.ceq.2023.04.13&lt;/_url&gt;&lt;_volume&gt;23&lt;/_volume&gt;&lt;_translated_author&gt;Wang, Yuan;Tang, Wei&lt;/_translated_author&gt;&lt;/Details&gt;&lt;Extra&gt;&lt;DBUID&gt;{F96A950B-833F-4880-A151-76DA2D6A2879}&lt;/DBUID&gt;&lt;/Extra&gt;&lt;/Item&gt;&lt;/References&gt;&lt;/Group&gt;&lt;/Citation&gt;_x000a_"/>
    <w:docVar w:name="NE.Ref{F41C21D3-5BB5-4EDF-B00C-728C5CA2B1C6}" w:val=" ADDIN NE.Ref.{F41C21D3-5BB5-4EDF-B00C-728C5CA2B1C6}&lt;Citation&gt;&lt;Group&gt;&lt;References&gt;&lt;Item&gt;&lt;ID&gt;800&lt;/ID&gt;&lt;UID&gt;{64155F72-B6DE-4D67-A806-2F805C8B8EE8}&lt;/UID&gt;&lt;Title&gt;Gone with the big data: Institutional lender demand for private information&lt;/Title&gt;&lt;Template&gt;Journal Article&lt;/Template&gt;&lt;Star&gt;0&lt;/Star&gt;&lt;Tag&gt;0&lt;/Tag&gt;&lt;Author&gt;Kang, Jung Koo&lt;/Author&gt;&lt;Year&gt;2024&lt;/Year&gt;&lt;Details&gt;&lt;_alternate_title&gt;Journal of Accounting and Economics&lt;/_alternate_title&gt;&lt;_created&gt;65473449&lt;/_created&gt;&lt;_date&gt;2024-01-01&lt;/_date&gt;&lt;_date_display&gt;2024&lt;/_date_display&gt;&lt;_doi&gt;https://doi.org/10.1016/j.jacceco.2023.101663&lt;/_doi&gt;&lt;_impact_factor&gt;   5.900&lt;/_impact_factor&gt;&lt;_isbn&gt;0165-4101&lt;/_isbn&gt;&lt;_issue&gt;2&lt;/_issue&gt;&lt;_journal&gt;Journal of Accounting and Economics&lt;/_journal&gt;&lt;_keywords&gt;Debt contract; Relationship lending; Information asymmetries; Institutional investors; Informed trading; Big data; Satellite images; Alternative data; Fintech&lt;/_keywords&gt;&lt;_modified&gt;65473449&lt;/_modified&gt;&lt;_pages&gt;101663&lt;/_pages&gt;&lt;_social_category&gt;商业：财政与金融(1) &amp;amp; 经济学(1)&lt;/_social_category&gt;&lt;_url&gt;https://www.sciencedirect.com/science/article/pii/S0165410123000873&lt;/_url&gt;&lt;_volume&gt;77&lt;/_volume&gt;&lt;/Details&gt;&lt;Extra&gt;&lt;DBUID&gt;{F96A950B-833F-4880-A151-76DA2D6A2879}&lt;/DBUID&gt;&lt;CitOmitAuthors&gt;1&lt;/CitOmitAuthors&gt;&lt;/Extra&gt;&lt;/Item&gt;&lt;/References&gt;&lt;/Group&gt;&lt;/Citation&gt;_x000a_"/>
    <w:docVar w:name="NE.Ref{F43BB660-C22C-4F93-A050-189A76C5A4DF}" w:val=" ADDIN NE.Ref.{F43BB660-C22C-4F93-A050-189A76C5A4DF}&lt;Citation&gt;&lt;Group&gt;&lt;References&gt;&lt;Item&gt;&lt;ID&gt;771&lt;/ID&gt;&lt;UID&gt;{6114EF47-B288-46AC-8E93-92CC3C50A6EC}&lt;/UID&gt;&lt;Title&gt;企业不确定性感知、投资决策和金融资产配置&lt;/Title&gt;&lt;Template&gt;Journal Article&lt;/Template&gt;&lt;Star&gt;0&lt;/Star&gt;&lt;Tag&gt;0&lt;/Tag&gt;&lt;Author&gt;聂辉华; 阮睿; 沈吉&lt;/Author&gt;&lt;Year&gt;2020&lt;/Year&gt;&lt;Details&gt;&lt;_author_adr&gt;中国人民大学经济学院;北京大学光华管理学院;&lt;/_author_adr&gt;&lt;_collection_scope&gt;PKU&lt;/_collection_scope&gt;&lt;_created&gt;65463568&lt;/_created&gt;&lt;_db_provider&gt;CNKI&lt;/_db_provider&gt;&lt;_doi&gt;10.19985/j.cnki.cassjwe.2020.06.005&lt;/_doi&gt;&lt;_isbn&gt;1002-9621&lt;/_isbn&gt;&lt;_issue&gt;06&lt;/_issue&gt;&lt;_journal&gt;世界经济&lt;/_journal&gt;&lt;_keywords&gt;企业不确定性感知;企业投资;金融资产配置&lt;/_keywords&gt;&lt;_modified&gt;65463568&lt;/_modified&gt;&lt;_pages&gt;77-98&lt;/_pages&gt;&lt;_url&gt;https://link.cnki.net/doi/10.19985/j.cnki.cassjwe.2020.06.005&lt;/_url&gt;&lt;_volume&gt;43&lt;/_volume&gt;&lt;_translated_author&gt;Nie, Hui hua;Ruan, Rui;Shen, Ji&lt;/_translated_author&gt;&lt;/Details&gt;&lt;Extra&gt;&lt;DBUID&gt;{F96A950B-833F-4880-A151-76DA2D6A2879}&lt;/DBUID&gt;&lt;CitOmitAuthors&gt;1&lt;/CitOmitAuthors&gt;&lt;/Extra&gt;&lt;/Item&gt;&lt;/References&gt;&lt;/Group&gt;&lt;/Citation&gt;_x000a_"/>
    <w:docVar w:name="NE.Ref{F5405893-76AF-42AE-BCED-C60B31F46929}" w:val=" ADDIN NE.Ref.{F5405893-76AF-42AE-BCED-C60B31F46929}&lt;Citation&gt;&lt;Group&gt;&lt;References&gt;&lt;Item&gt;&lt;ID&gt;787&lt;/ID&gt;&lt;UID&gt;{8AED8E54-883E-4696-867D-614F319000E1}&lt;/UID&gt;&lt;Title&gt;Nearby or faraway? Determinants of target selection in family firm acquisitions&lt;/Title&gt;&lt;Template&gt;Journal Article&lt;/Template&gt;&lt;Star&gt;0&lt;/Star&gt;&lt;Tag&gt;0&lt;/Tag&gt;&lt;Author&gt;Calabrò, Andrea; Requejo, Ignacio; Reyes-Reina, Fernando; Sanchez-Bueno, Maria J; Suárez-González, Isabel&lt;/Author&gt;&lt;Year&gt;2024&lt;/Year&gt;&lt;Details&gt;&lt;_alternate_title&gt;International Business Review&lt;/_alternate_title&gt;&lt;_collection_scope&gt;SSCI&lt;/_collection_scope&gt;&lt;_created&gt;65471704&lt;/_created&gt;&lt;_date&gt;2024-01-01&lt;/_date&gt;&lt;_date_display&gt;2024&lt;/_date_display&gt;&lt;_doi&gt;https://doi.org/10.1016/j.ibusrev.2024.102295&lt;/_doi&gt;&lt;_impact_factor&gt;   8.700&lt;/_impact_factor&gt;&lt;_isbn&gt;0969-5931&lt;/_isbn&gt;&lt;_issue&gt;4&lt;/_issue&gt;&lt;_journal&gt;International Business Review&lt;/_journal&gt;&lt;_keywords&gt;Family firms; Acquisitions; Target selection; Distance; Performance aspirations&lt;/_keywords&gt;&lt;_modified&gt;65471704&lt;/_modified&gt;&lt;_pages&gt;102295&lt;/_pages&gt;&lt;_social_category&gt;商业：管理(2)&lt;/_social_category&gt;&lt;_url&gt;https://www.sciencedirect.com/science/article/pii/S0969593124000428&lt;/_url&gt;&lt;_volume&gt;33&lt;/_volume&gt;&lt;/Details&gt;&lt;Extra&gt;&lt;DBUID&gt;{F96A950B-833F-4880-A151-76DA2D6A2879}&lt;/DBUID&gt;&lt;/Extra&gt;&lt;/Item&gt;&lt;/References&gt;&lt;/Group&gt;&lt;/Citation&gt;_x000a_"/>
    <w:docVar w:name="NE.Ref{F54AD6E1-4113-4C1C-9E65-4CEE9FD0DC78}" w:val=" ADDIN NE.Ref.{F54AD6E1-4113-4C1C-9E65-4CEE9FD0DC78}&lt;Citation&gt;&lt;Group&gt;&lt;References&gt;&lt;Item&gt;&lt;ID&gt;785&lt;/ID&gt;&lt;UID&gt;{63835D68-ADDF-4EC5-B9F5-6FD096350EA0}&lt;/UID&gt;&lt;Title&gt;政府数据开放是升级版的政府信息公开吗?——基于制度框架的比较&lt;/Title&gt;&lt;Template&gt;Journal Article&lt;/Template&gt;&lt;Star&gt;0&lt;/Star&gt;&lt;Tag&gt;0&lt;/Tag&gt;&lt;Author&gt;宋烁&lt;/Author&gt;&lt;Year&gt;2021&lt;/Year&gt;&lt;Details&gt;&lt;_author_adr&gt;北京科技大学文法学院;&lt;/_author_adr&gt;&lt;_collection_scope&gt;PKU&lt;/_collection_scope&gt;&lt;_created&gt;65470582&lt;/_created&gt;&lt;_db_provider&gt;CNKI&lt;/_db_provider&gt;&lt;_isbn&gt;1009-6728&lt;/_isbn&gt;&lt;_issue&gt;05&lt;/_issue&gt;&lt;_journal&gt;环球法律评论&lt;/_journal&gt;&lt;_keywords&gt;政府数据;数据开放;政府信息公开;政府治理;数据治理&lt;/_keywords&gt;&lt;_modified&gt;65470582&lt;/_modified&gt;&lt;_pages&gt;52-66&lt;/_pages&gt;&lt;_url&gt;https://kns.cnki.net/kcms2/article/abstract?v=z-1yOu6aphPRexEqdbW8B5cfbQx-6h8oxYl7SjumN2aaLYCsnq7f3lYgB9RQMBK89mfBDc5tZPA9f9J6ISJXx9WRpNRv8UiVIHvohYy5s0lcC9MZ0CX2iYAtV8VDhrgXE_sL5hmzmKKSWRvVTwwhlhkf4-BKXpw4&amp;amp;uniplatform=NZKPT&amp;amp;language=CHS&lt;/_url&gt;&lt;_volume&gt;43&lt;/_volume&gt;&lt;_translated_author&gt;Song, Shuo&lt;/_translated_author&gt;&lt;/Details&gt;&lt;Extra&gt;&lt;DBUID&gt;{F96A950B-833F-4880-A151-76DA2D6A2879}&lt;/DBUID&gt;&lt;/Extra&gt;&lt;/Item&gt;&lt;/References&gt;&lt;/Group&gt;&lt;/Citation&gt;_x000a_"/>
    <w:docVar w:name="NE.Ref{F8EA65C6-0A3D-4D2C-A255-FC2ADDA696AF}" w:val=" ADDIN NE.Ref.{F8EA65C6-0A3D-4D2C-A255-FC2ADDA696AF}&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collection_scope&gt;PKU;CSCD&lt;/_collection_scope&gt;&lt;_created&gt;65470570&lt;/_created&gt;&lt;_db_provider&gt;CNKI&lt;/_db_provider&gt;&lt;_doi&gt;10.13653/j.cnki.jqte.20230725.001&lt;/_doi&gt;&lt;_isbn&gt;1000-3894&lt;/_isbn&gt;&lt;_issue&gt;09&lt;/_issue&gt;&lt;_journal&gt;数量经济技术经济研究&lt;/_journal&gt;&lt;_keywords&gt;政府数据开放;全要素生产率;价值创造;数字政府&lt;/_keywords&gt;&lt;_modified&gt;65470570&lt;/_modified&gt;&lt;_pages&gt;50-70&lt;/_pages&gt;&lt;_url&gt;https://link.cnki.net/doi/10.13653/j.cnki.jqte.20230725.001&lt;/_url&gt;&lt;_volume&gt;40&lt;/_volume&gt;&lt;_translated_author&gt;Peng, Yuan huai&lt;/_translated_author&gt;&lt;/Details&gt;&lt;Extra&gt;&lt;DBUID&gt;{F96A950B-833F-4880-A151-76DA2D6A2879}&lt;/DBUID&gt;&lt;/Extra&gt;&lt;/Item&gt;&lt;/References&gt;&lt;/Group&gt;&lt;/Citation&gt;_x000a_"/>
    <w:docVar w:name="NE.Ref{FB44EBBF-6283-4B2A-B2B3-820371F6F294}" w:val=" ADDIN NE.Ref.{FB44EBBF-6283-4B2A-B2B3-820371F6F294}&lt;Citation&gt;&lt;Group&gt;&lt;References&gt;&lt;Item&gt;&lt;ID&gt;767&lt;/ID&gt;&lt;UID&gt;{FDB50FAE-198C-4763-B1D1-FB6B05457EC2}&lt;/UID&gt;&lt;Title&gt;数据要素与城投债定价：基于公共数据开放的准自然实验&lt;/Title&gt;&lt;Template&gt;Journal Article&lt;/Template&gt;&lt;Star&gt;0&lt;/Star&gt;&lt;Tag&gt;0&lt;/Tag&gt;&lt;Author&gt;欧阳伊玲; 王愉靖; 李平; 高昊宇&lt;/Author&gt;&lt;Year&gt;2024&lt;/Year&gt;&lt;Details&gt;&lt;_author_adr&gt;上海对外经贸大学金融管理学院;北京航空航天大学经济管理学院;北京航空航天大学低碳治理与政策智能实验室;中国人民大学财政金融学院;&lt;/_author_adr&gt;&lt;_collection_scope&gt;PKU&lt;/_collection_scope&gt;&lt;_created&gt;65462226&lt;/_created&gt;&lt;_db_provider&gt;CNKI&lt;/_db_provider&gt;&lt;_doi&gt;10.19985/j.cnki.cassjwe.2024.02.007&lt;/_doi&gt;&lt;_isbn&gt;1002-9621&lt;/_isbn&gt;&lt;_issue&gt;02&lt;/_issue&gt;&lt;_journal&gt;世界经济&lt;/_journal&gt;&lt;_keywords&gt;公共数据开放;数据要素;城投债;信用利差&lt;/_keywords&gt;&lt;_modified&gt;65462226&lt;/_modified&gt;&lt;_pages&gt;174-203&lt;/_pages&gt;&lt;_url&gt;https://link.cnki.net/doi/10.19985/j.cnki.cassjwe.2024.02.007&lt;/_url&gt;&lt;_translated_author&gt;Ou, Yang yi ling;Wang, Yu jing;Li, Ping;Gao, Hao yu&lt;/_translated_author&gt;&lt;/Details&gt;&lt;Extra&gt;&lt;DBUID&gt;{F96A950B-833F-4880-A151-76DA2D6A2879}&lt;/DBUID&gt;&lt;CitOmitAuthors&gt;1&lt;/CitOmitAuthors&gt;&lt;/Extra&gt;&lt;/Item&gt;&lt;/References&gt;&lt;/Group&gt;&lt;/Citation&gt;_x000a_"/>
    <w:docVar w:name="NE.Ref{FE3FD2B7-4684-45DC-827C-6ECB83F2001C}" w:val=" ADDIN NE.Ref.{FE3FD2B7-4684-45DC-827C-6ECB83F2001C}&lt;Citation&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ccessed&gt;65480633&lt;/_accessed&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CitOmitAuthors&gt;1&lt;/CitOmitAuthors&gt;&lt;/Extra&gt;&lt;/Item&gt;&lt;/References&gt;&lt;/Group&gt;&lt;/Citation&gt;_x000a_"/>
    <w:docVar w:name="NE.Ref{FF3005D7-9F11-45FE-B06C-FC709D76FBB6}" w:val=" ADDIN NE.Ref.{FF3005D7-9F11-45FE-B06C-FC709D76FBB6}&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CitOmitAuthors&gt;1&lt;/CitOmitAuthors&gt;&lt;/Extra&gt;&lt;/Item&gt;&lt;/References&gt;&lt;/Group&gt;&lt;/Citation&gt;_x000a_"/>
    <w:docVar w:name="NE.Ref{FF7BCF5E-3659-4916-9A6A-0D9103E28757}" w:val=" ADDIN NE.Ref.{FF7BCF5E-3659-4916-9A6A-0D9103E28757}&lt;Citation&gt;&lt;Group&gt;&lt;References&gt;&lt;Item&gt;&lt;ID&gt;787&lt;/ID&gt;&lt;UID&gt;{8AED8E54-883E-4696-867D-614F319000E1}&lt;/UID&gt;&lt;Title&gt;Nearby or faraway? Determinants of target selection in family firm acquisitions&lt;/Title&gt;&lt;Template&gt;Journal Article&lt;/Template&gt;&lt;Star&gt;0&lt;/Star&gt;&lt;Tag&gt;0&lt;/Tag&gt;&lt;Author&gt;Calabrò, Andrea; Requejo, Ignacio; Reyes-Reina, Fernando; Sanchez-Bueno, Maria J; Suárez-González, Isabel&lt;/Author&gt;&lt;Year&gt;2024&lt;/Year&gt;&lt;Details&gt;&lt;_alternate_title&gt;International Business Review&lt;/_alternate_title&gt;&lt;_collection_scope&gt;SSCI&lt;/_collection_scope&gt;&lt;_created&gt;65471704&lt;/_created&gt;&lt;_date&gt;2024-01-01&lt;/_date&gt;&lt;_date_display&gt;2024&lt;/_date_display&gt;&lt;_doi&gt;https://doi.org/10.1016/j.ibusrev.2024.102295&lt;/_doi&gt;&lt;_impact_factor&gt;   8.700&lt;/_impact_factor&gt;&lt;_isbn&gt;0969-5931&lt;/_isbn&gt;&lt;_issue&gt;4&lt;/_issue&gt;&lt;_journal&gt;International Business Review&lt;/_journal&gt;&lt;_keywords&gt;Family firms; Acquisitions; Target selection; Distance; Performance aspirations&lt;/_keywords&gt;&lt;_modified&gt;65471704&lt;/_modified&gt;&lt;_pages&gt;102295&lt;/_pages&gt;&lt;_social_category&gt;商业：管理(2)&lt;/_social_category&gt;&lt;_url&gt;https://www.sciencedirect.com/science/article/pii/S0969593124000428&lt;/_url&gt;&lt;_volume&gt;33&lt;/_volume&gt;&lt;/Details&gt;&lt;Extra&gt;&lt;DBUID&gt;{F96A950B-833F-4880-A151-76DA2D6A2879}&lt;/DBUID&gt;&lt;/Extra&gt;&lt;/Item&gt;&lt;/References&gt;&lt;/Group&gt;&lt;Group&gt;&lt;References&gt;&lt;Item&gt;&lt;ID&gt;788&lt;/ID&gt;&lt;UID&gt;{82DC2ED0-09D9-4860-9268-64BD01AF978C}&lt;/UID&gt;&lt;Title&gt;The antecedents of psychic distance&lt;/Title&gt;&lt;Template&gt;Journal Article&lt;/Template&gt;&lt;Star&gt;0&lt;/Star&gt;&lt;Tag&gt;0&lt;/Tag&gt;&lt;Author&gt;Hakanson, Lars; Ambos, Bjorn&lt;/Author&gt;&lt;Year&gt;2010&lt;/Year&gt;&lt;Details&gt;&lt;_alternate_title&gt;Journal of International Management&lt;/_alternate_title&gt;&lt;_collection_scope&gt;SSCI&lt;/_collection_scope&gt;&lt;_created&gt;65471883&lt;/_created&gt;&lt;_date&gt;2010-01-01&lt;/_date&gt;&lt;_date_display&gt;2010&lt;/_date_display&gt;&lt;_doi&gt;https://doi.org/10.1016/j.intman.2010.06.001&lt;/_doi&gt;&lt;_impact_factor&gt;   6.100&lt;/_impact_factor&gt;&lt;_isbn&gt;1075-4253&lt;/_isbn&gt;&lt;_issue&gt;3&lt;/_issue&gt;&lt;_journal&gt;Journal of International Management&lt;/_journal&gt;&lt;_keywords&gt;Cultural distance; Geographic distance; Institutional distance; Cross-cultural research/measurement issues; Psychic distance&lt;/_keywords&gt;&lt;_modified&gt;65473488&lt;/_modified&gt;&lt;_pages&gt;195-210&lt;/_pages&gt;&lt;_social_category&gt;管理学(2)&lt;/_social_category&gt;&lt;_url&gt;https://www.sciencedirect.com/science/article/pii/S1075425310000360&lt;/_url&gt;&lt;_volume&gt;16&lt;/_volume&gt;&lt;/Details&gt;&lt;Extra&gt;&lt;DBUID&gt;{F96A950B-833F-4880-A151-76DA2D6A2879}&lt;/DBUID&gt;&lt;/Extra&gt;&lt;/Item&gt;&lt;/References&gt;&lt;/Group&gt;&lt;/Citation&gt;_x000a_"/>
    <w:docVar w:name="NE.Ref{FFC8E556-943E-4E13-9423-B0AD7BBE35A7}" w:val=" ADDIN NE.Ref.{FFC8E556-943E-4E13-9423-B0AD7BBE35A7}&lt;Citation&gt;&lt;Group&gt;&lt;References&gt;&lt;Item&gt;&lt;ID&gt;772&lt;/ID&gt;&lt;UID&gt;{2930BEFA-A6B6-475D-BFE7-AF584278789D}&lt;/UID&gt;&lt;Title&gt;Evaluation of Doing Business in Chinese Cities&lt;/Title&gt;&lt;Template&gt;Generic&lt;/Template&gt;&lt;Star&gt;0&lt;/Star&gt;&lt;Tag&gt;0&lt;/Tag&gt;&lt;Author&gt;Zhang, Sanbao; Zhang, Zhixue Correspondent; Huang, Minxue&lt;/Author&gt;&lt;Year&gt;2023&lt;/Year&gt;&lt;Details&gt;&lt;_date_display&gt;2023&lt;/_date_display&gt;&lt;_date&gt;2023-01-01&lt;/_date&gt;&lt;_doi&gt;doi:10.18170/DVN/9NJDWE&lt;/_doi&gt;&lt;_keywords&gt;doing business; indicator system; quantitative evaluation; Chinese city&lt;/_keywords&gt;&lt;_publisher&gt;Peking University Open Research Data Platform&lt;/_publisher&gt;&lt;_tertiary_title&gt;Evaluation of Doing Business in Chinese Cities&lt;/_tertiary_title&gt;&lt;_url&gt;https://doi.org/10.18170/DVN/9NJDWE&lt;/_url&gt;&lt;_created&gt;65463580&lt;/_created&gt;&lt;_modified&gt;65463580&lt;/_modified&gt;&lt;/Details&gt;&lt;Extra&gt;&lt;DBUID&gt;{F96A950B-833F-4880-A151-76DA2D6A2879}&lt;/DBUID&gt;&lt;/Extra&gt;&lt;/Item&gt;&lt;/References&gt;&lt;/Group&gt;&lt;/Citation&gt;_x000a_"/>
    <w:docVar w:name="ne_docsoft" w:val="MSWord"/>
    <w:docVar w:name="ne_docversion" w:val="NoteExpress 2.0"/>
    <w:docVar w:name="ne_stylename" w:val="中国工业经济"/>
  </w:docVars>
  <w:rsids>
    <w:rsidRoot w:val="006F1B3F"/>
    <w:rsid w:val="00000146"/>
    <w:rsid w:val="000006F7"/>
    <w:rsid w:val="00000C2D"/>
    <w:rsid w:val="00001168"/>
    <w:rsid w:val="000019C2"/>
    <w:rsid w:val="0000236F"/>
    <w:rsid w:val="0000369D"/>
    <w:rsid w:val="00004EBF"/>
    <w:rsid w:val="00005276"/>
    <w:rsid w:val="000056C1"/>
    <w:rsid w:val="000058CC"/>
    <w:rsid w:val="00005CFA"/>
    <w:rsid w:val="0000639A"/>
    <w:rsid w:val="00010610"/>
    <w:rsid w:val="00010BA2"/>
    <w:rsid w:val="00010C67"/>
    <w:rsid w:val="0001168D"/>
    <w:rsid w:val="00013E92"/>
    <w:rsid w:val="0001503A"/>
    <w:rsid w:val="00015AD9"/>
    <w:rsid w:val="00016033"/>
    <w:rsid w:val="0001755C"/>
    <w:rsid w:val="00021139"/>
    <w:rsid w:val="00022160"/>
    <w:rsid w:val="0002266D"/>
    <w:rsid w:val="0002360F"/>
    <w:rsid w:val="000237A7"/>
    <w:rsid w:val="00023BF8"/>
    <w:rsid w:val="0002441D"/>
    <w:rsid w:val="0002453C"/>
    <w:rsid w:val="0002514C"/>
    <w:rsid w:val="000261BD"/>
    <w:rsid w:val="00026CE0"/>
    <w:rsid w:val="000277EA"/>
    <w:rsid w:val="00030A1E"/>
    <w:rsid w:val="00030EF2"/>
    <w:rsid w:val="00031800"/>
    <w:rsid w:val="00032219"/>
    <w:rsid w:val="00032C29"/>
    <w:rsid w:val="000337E1"/>
    <w:rsid w:val="000338DE"/>
    <w:rsid w:val="00033CDE"/>
    <w:rsid w:val="00033E73"/>
    <w:rsid w:val="00034F6F"/>
    <w:rsid w:val="00035F4D"/>
    <w:rsid w:val="00036139"/>
    <w:rsid w:val="0003615F"/>
    <w:rsid w:val="000361E9"/>
    <w:rsid w:val="00037832"/>
    <w:rsid w:val="00037BCF"/>
    <w:rsid w:val="00040520"/>
    <w:rsid w:val="000416A4"/>
    <w:rsid w:val="00041F3A"/>
    <w:rsid w:val="00042A95"/>
    <w:rsid w:val="00047278"/>
    <w:rsid w:val="00050249"/>
    <w:rsid w:val="00050612"/>
    <w:rsid w:val="000506FE"/>
    <w:rsid w:val="000508DD"/>
    <w:rsid w:val="00050E8C"/>
    <w:rsid w:val="000526FE"/>
    <w:rsid w:val="00054B11"/>
    <w:rsid w:val="000551A3"/>
    <w:rsid w:val="00055623"/>
    <w:rsid w:val="00055BFB"/>
    <w:rsid w:val="000560D4"/>
    <w:rsid w:val="00056722"/>
    <w:rsid w:val="0005735A"/>
    <w:rsid w:val="000579E8"/>
    <w:rsid w:val="000617C2"/>
    <w:rsid w:val="00061E81"/>
    <w:rsid w:val="00062696"/>
    <w:rsid w:val="000628E2"/>
    <w:rsid w:val="00062DFF"/>
    <w:rsid w:val="0006389B"/>
    <w:rsid w:val="00063FF9"/>
    <w:rsid w:val="0006494D"/>
    <w:rsid w:val="0006546B"/>
    <w:rsid w:val="00067D30"/>
    <w:rsid w:val="00067D74"/>
    <w:rsid w:val="000700EE"/>
    <w:rsid w:val="00072165"/>
    <w:rsid w:val="0007314F"/>
    <w:rsid w:val="000735F5"/>
    <w:rsid w:val="000739B3"/>
    <w:rsid w:val="00075348"/>
    <w:rsid w:val="000766CA"/>
    <w:rsid w:val="000776C8"/>
    <w:rsid w:val="000802F5"/>
    <w:rsid w:val="00082459"/>
    <w:rsid w:val="00082DA0"/>
    <w:rsid w:val="000838EB"/>
    <w:rsid w:val="00086080"/>
    <w:rsid w:val="000877C8"/>
    <w:rsid w:val="00090F0E"/>
    <w:rsid w:val="000921C0"/>
    <w:rsid w:val="00092516"/>
    <w:rsid w:val="00093A42"/>
    <w:rsid w:val="00094D14"/>
    <w:rsid w:val="00095EFC"/>
    <w:rsid w:val="00096A27"/>
    <w:rsid w:val="00097503"/>
    <w:rsid w:val="00097CC6"/>
    <w:rsid w:val="000A0228"/>
    <w:rsid w:val="000A1D34"/>
    <w:rsid w:val="000A3B2A"/>
    <w:rsid w:val="000A491E"/>
    <w:rsid w:val="000A70FC"/>
    <w:rsid w:val="000A7237"/>
    <w:rsid w:val="000B066C"/>
    <w:rsid w:val="000B07DD"/>
    <w:rsid w:val="000B0F6E"/>
    <w:rsid w:val="000B1118"/>
    <w:rsid w:val="000B1316"/>
    <w:rsid w:val="000B1EE4"/>
    <w:rsid w:val="000B2ACE"/>
    <w:rsid w:val="000B3109"/>
    <w:rsid w:val="000B3E59"/>
    <w:rsid w:val="000B417B"/>
    <w:rsid w:val="000B41BE"/>
    <w:rsid w:val="000B446A"/>
    <w:rsid w:val="000B50D5"/>
    <w:rsid w:val="000B5375"/>
    <w:rsid w:val="000B5CCF"/>
    <w:rsid w:val="000B61BC"/>
    <w:rsid w:val="000C1615"/>
    <w:rsid w:val="000C1BB1"/>
    <w:rsid w:val="000C1E13"/>
    <w:rsid w:val="000C2446"/>
    <w:rsid w:val="000C2520"/>
    <w:rsid w:val="000C349F"/>
    <w:rsid w:val="000C3E31"/>
    <w:rsid w:val="000C4997"/>
    <w:rsid w:val="000C65CA"/>
    <w:rsid w:val="000C6E40"/>
    <w:rsid w:val="000C751C"/>
    <w:rsid w:val="000C76D9"/>
    <w:rsid w:val="000C7AD8"/>
    <w:rsid w:val="000D0147"/>
    <w:rsid w:val="000D080D"/>
    <w:rsid w:val="000D18D5"/>
    <w:rsid w:val="000D21AF"/>
    <w:rsid w:val="000D22C1"/>
    <w:rsid w:val="000D3227"/>
    <w:rsid w:val="000D4C5F"/>
    <w:rsid w:val="000D561B"/>
    <w:rsid w:val="000D5E92"/>
    <w:rsid w:val="000D5FBB"/>
    <w:rsid w:val="000D7759"/>
    <w:rsid w:val="000E04FD"/>
    <w:rsid w:val="000E26A1"/>
    <w:rsid w:val="000E2B3B"/>
    <w:rsid w:val="000E3533"/>
    <w:rsid w:val="000E6C5B"/>
    <w:rsid w:val="000E7CB2"/>
    <w:rsid w:val="000E7CDA"/>
    <w:rsid w:val="000F00DC"/>
    <w:rsid w:val="000F0306"/>
    <w:rsid w:val="000F09B0"/>
    <w:rsid w:val="000F14BC"/>
    <w:rsid w:val="000F1966"/>
    <w:rsid w:val="000F311C"/>
    <w:rsid w:val="000F39E5"/>
    <w:rsid w:val="000F4BC8"/>
    <w:rsid w:val="000F4E2C"/>
    <w:rsid w:val="000F6BA1"/>
    <w:rsid w:val="000F74EF"/>
    <w:rsid w:val="00100DBE"/>
    <w:rsid w:val="00101467"/>
    <w:rsid w:val="0010188B"/>
    <w:rsid w:val="00101F11"/>
    <w:rsid w:val="001025DF"/>
    <w:rsid w:val="00103B96"/>
    <w:rsid w:val="001043F2"/>
    <w:rsid w:val="00104802"/>
    <w:rsid w:val="00105A78"/>
    <w:rsid w:val="00105CF6"/>
    <w:rsid w:val="00106B74"/>
    <w:rsid w:val="0010703F"/>
    <w:rsid w:val="00107F5C"/>
    <w:rsid w:val="00110141"/>
    <w:rsid w:val="001103DF"/>
    <w:rsid w:val="0011045E"/>
    <w:rsid w:val="00110D72"/>
    <w:rsid w:val="00111783"/>
    <w:rsid w:val="00111B2C"/>
    <w:rsid w:val="00112178"/>
    <w:rsid w:val="001131C1"/>
    <w:rsid w:val="001140A7"/>
    <w:rsid w:val="00114239"/>
    <w:rsid w:val="001164C9"/>
    <w:rsid w:val="00120950"/>
    <w:rsid w:val="001218E5"/>
    <w:rsid w:val="00123523"/>
    <w:rsid w:val="00124BBF"/>
    <w:rsid w:val="00124C09"/>
    <w:rsid w:val="001253BD"/>
    <w:rsid w:val="00125805"/>
    <w:rsid w:val="00126142"/>
    <w:rsid w:val="0012752A"/>
    <w:rsid w:val="00127CD4"/>
    <w:rsid w:val="00127DF7"/>
    <w:rsid w:val="001309B2"/>
    <w:rsid w:val="00130F9C"/>
    <w:rsid w:val="00131494"/>
    <w:rsid w:val="00133063"/>
    <w:rsid w:val="001330E3"/>
    <w:rsid w:val="0013432E"/>
    <w:rsid w:val="00134CD4"/>
    <w:rsid w:val="001366F2"/>
    <w:rsid w:val="00136E16"/>
    <w:rsid w:val="001407F6"/>
    <w:rsid w:val="00140A48"/>
    <w:rsid w:val="0014118F"/>
    <w:rsid w:val="001418D3"/>
    <w:rsid w:val="00142392"/>
    <w:rsid w:val="00142C9F"/>
    <w:rsid w:val="00142CFC"/>
    <w:rsid w:val="00142DDF"/>
    <w:rsid w:val="001434B3"/>
    <w:rsid w:val="00144081"/>
    <w:rsid w:val="0014426D"/>
    <w:rsid w:val="00145D47"/>
    <w:rsid w:val="001475FC"/>
    <w:rsid w:val="00151DA3"/>
    <w:rsid w:val="0015260F"/>
    <w:rsid w:val="001542B6"/>
    <w:rsid w:val="001555B5"/>
    <w:rsid w:val="00156D32"/>
    <w:rsid w:val="0015735B"/>
    <w:rsid w:val="00157F28"/>
    <w:rsid w:val="001610ED"/>
    <w:rsid w:val="001611A9"/>
    <w:rsid w:val="001612B1"/>
    <w:rsid w:val="0016235B"/>
    <w:rsid w:val="001637E4"/>
    <w:rsid w:val="001639A9"/>
    <w:rsid w:val="00163AB5"/>
    <w:rsid w:val="001654E6"/>
    <w:rsid w:val="00165A48"/>
    <w:rsid w:val="00165BA0"/>
    <w:rsid w:val="0016746C"/>
    <w:rsid w:val="001675C4"/>
    <w:rsid w:val="00167C66"/>
    <w:rsid w:val="00167DCD"/>
    <w:rsid w:val="00170676"/>
    <w:rsid w:val="001706BC"/>
    <w:rsid w:val="00170772"/>
    <w:rsid w:val="00170D0B"/>
    <w:rsid w:val="00171A2F"/>
    <w:rsid w:val="001723DF"/>
    <w:rsid w:val="00173327"/>
    <w:rsid w:val="00174198"/>
    <w:rsid w:val="00174CC2"/>
    <w:rsid w:val="00175BA6"/>
    <w:rsid w:val="00176B7B"/>
    <w:rsid w:val="001770C3"/>
    <w:rsid w:val="00177C5A"/>
    <w:rsid w:val="00177E56"/>
    <w:rsid w:val="00181702"/>
    <w:rsid w:val="001836C1"/>
    <w:rsid w:val="00184A5C"/>
    <w:rsid w:val="00184B8B"/>
    <w:rsid w:val="00185A61"/>
    <w:rsid w:val="00186663"/>
    <w:rsid w:val="00186FD4"/>
    <w:rsid w:val="001878A8"/>
    <w:rsid w:val="00190198"/>
    <w:rsid w:val="0019031F"/>
    <w:rsid w:val="00192581"/>
    <w:rsid w:val="00197242"/>
    <w:rsid w:val="001A0EAA"/>
    <w:rsid w:val="001A14E8"/>
    <w:rsid w:val="001A1653"/>
    <w:rsid w:val="001A210A"/>
    <w:rsid w:val="001A2324"/>
    <w:rsid w:val="001A5853"/>
    <w:rsid w:val="001A68DF"/>
    <w:rsid w:val="001A76E0"/>
    <w:rsid w:val="001B0065"/>
    <w:rsid w:val="001B0105"/>
    <w:rsid w:val="001B1019"/>
    <w:rsid w:val="001B2AE3"/>
    <w:rsid w:val="001B5AE7"/>
    <w:rsid w:val="001B6880"/>
    <w:rsid w:val="001B6F84"/>
    <w:rsid w:val="001C1289"/>
    <w:rsid w:val="001C39A0"/>
    <w:rsid w:val="001C4129"/>
    <w:rsid w:val="001C4939"/>
    <w:rsid w:val="001C5AC5"/>
    <w:rsid w:val="001C7629"/>
    <w:rsid w:val="001D14EE"/>
    <w:rsid w:val="001D18BF"/>
    <w:rsid w:val="001D19AC"/>
    <w:rsid w:val="001D21B0"/>
    <w:rsid w:val="001D2278"/>
    <w:rsid w:val="001D2552"/>
    <w:rsid w:val="001D2B93"/>
    <w:rsid w:val="001D5895"/>
    <w:rsid w:val="001D629D"/>
    <w:rsid w:val="001D63D4"/>
    <w:rsid w:val="001D6450"/>
    <w:rsid w:val="001D751E"/>
    <w:rsid w:val="001D760C"/>
    <w:rsid w:val="001D7C05"/>
    <w:rsid w:val="001E052F"/>
    <w:rsid w:val="001E175C"/>
    <w:rsid w:val="001E1E5D"/>
    <w:rsid w:val="001E2EEA"/>
    <w:rsid w:val="001E3457"/>
    <w:rsid w:val="001E4100"/>
    <w:rsid w:val="001E4C47"/>
    <w:rsid w:val="001E52D9"/>
    <w:rsid w:val="001E5693"/>
    <w:rsid w:val="001E5F86"/>
    <w:rsid w:val="001E665D"/>
    <w:rsid w:val="001E7A84"/>
    <w:rsid w:val="001F08DD"/>
    <w:rsid w:val="001F13FC"/>
    <w:rsid w:val="001F187C"/>
    <w:rsid w:val="001F30F8"/>
    <w:rsid w:val="001F38F7"/>
    <w:rsid w:val="001F465F"/>
    <w:rsid w:val="001F6331"/>
    <w:rsid w:val="001F7A33"/>
    <w:rsid w:val="0020010D"/>
    <w:rsid w:val="002004B2"/>
    <w:rsid w:val="002039F1"/>
    <w:rsid w:val="00203B6E"/>
    <w:rsid w:val="00204CA8"/>
    <w:rsid w:val="00205AD7"/>
    <w:rsid w:val="00206455"/>
    <w:rsid w:val="002068AB"/>
    <w:rsid w:val="00210196"/>
    <w:rsid w:val="00210265"/>
    <w:rsid w:val="0021219A"/>
    <w:rsid w:val="0021344F"/>
    <w:rsid w:val="00214D75"/>
    <w:rsid w:val="00215676"/>
    <w:rsid w:val="00215783"/>
    <w:rsid w:val="002161D4"/>
    <w:rsid w:val="00216A99"/>
    <w:rsid w:val="00217C85"/>
    <w:rsid w:val="00220C22"/>
    <w:rsid w:val="00220C24"/>
    <w:rsid w:val="002213B5"/>
    <w:rsid w:val="002214FB"/>
    <w:rsid w:val="00223075"/>
    <w:rsid w:val="00223D31"/>
    <w:rsid w:val="00223ED3"/>
    <w:rsid w:val="002246D6"/>
    <w:rsid w:val="002253EA"/>
    <w:rsid w:val="00225734"/>
    <w:rsid w:val="002257A7"/>
    <w:rsid w:val="00225C98"/>
    <w:rsid w:val="002263EC"/>
    <w:rsid w:val="00226D2F"/>
    <w:rsid w:val="002276C2"/>
    <w:rsid w:val="00227CC0"/>
    <w:rsid w:val="00230016"/>
    <w:rsid w:val="00230328"/>
    <w:rsid w:val="002314FA"/>
    <w:rsid w:val="00231BF6"/>
    <w:rsid w:val="00232BDF"/>
    <w:rsid w:val="0023316C"/>
    <w:rsid w:val="002337C7"/>
    <w:rsid w:val="00234BF3"/>
    <w:rsid w:val="00234EAE"/>
    <w:rsid w:val="0023518D"/>
    <w:rsid w:val="0023555F"/>
    <w:rsid w:val="0023562D"/>
    <w:rsid w:val="00236121"/>
    <w:rsid w:val="002368BB"/>
    <w:rsid w:val="00240B4D"/>
    <w:rsid w:val="00241592"/>
    <w:rsid w:val="002422CF"/>
    <w:rsid w:val="00243CC7"/>
    <w:rsid w:val="00245074"/>
    <w:rsid w:val="002453E7"/>
    <w:rsid w:val="0024580F"/>
    <w:rsid w:val="00245C5E"/>
    <w:rsid w:val="00246047"/>
    <w:rsid w:val="00246077"/>
    <w:rsid w:val="00246B86"/>
    <w:rsid w:val="00246E4B"/>
    <w:rsid w:val="00247217"/>
    <w:rsid w:val="0025038F"/>
    <w:rsid w:val="00250B3E"/>
    <w:rsid w:val="00251B19"/>
    <w:rsid w:val="00252A4A"/>
    <w:rsid w:val="00252D9A"/>
    <w:rsid w:val="00254799"/>
    <w:rsid w:val="002550CC"/>
    <w:rsid w:val="00255B55"/>
    <w:rsid w:val="00255BF7"/>
    <w:rsid w:val="00256D56"/>
    <w:rsid w:val="00257ADB"/>
    <w:rsid w:val="002614E6"/>
    <w:rsid w:val="00261E05"/>
    <w:rsid w:val="00262A06"/>
    <w:rsid w:val="00263731"/>
    <w:rsid w:val="0026399E"/>
    <w:rsid w:val="002643AA"/>
    <w:rsid w:val="00264842"/>
    <w:rsid w:val="00264C50"/>
    <w:rsid w:val="0026715B"/>
    <w:rsid w:val="002671E6"/>
    <w:rsid w:val="0026754D"/>
    <w:rsid w:val="00267D11"/>
    <w:rsid w:val="0027071E"/>
    <w:rsid w:val="0027075F"/>
    <w:rsid w:val="00271835"/>
    <w:rsid w:val="00271955"/>
    <w:rsid w:val="00271F9C"/>
    <w:rsid w:val="00272133"/>
    <w:rsid w:val="00275977"/>
    <w:rsid w:val="00276301"/>
    <w:rsid w:val="002769FD"/>
    <w:rsid w:val="00276A1C"/>
    <w:rsid w:val="002807BC"/>
    <w:rsid w:val="00280AC8"/>
    <w:rsid w:val="0028128D"/>
    <w:rsid w:val="00282176"/>
    <w:rsid w:val="00285C6F"/>
    <w:rsid w:val="0028726C"/>
    <w:rsid w:val="00290BE1"/>
    <w:rsid w:val="00291686"/>
    <w:rsid w:val="00292427"/>
    <w:rsid w:val="00292779"/>
    <w:rsid w:val="002929AE"/>
    <w:rsid w:val="002930FE"/>
    <w:rsid w:val="00293447"/>
    <w:rsid w:val="00294FE0"/>
    <w:rsid w:val="00295840"/>
    <w:rsid w:val="002960E3"/>
    <w:rsid w:val="00296281"/>
    <w:rsid w:val="00297792"/>
    <w:rsid w:val="002A0B44"/>
    <w:rsid w:val="002A1057"/>
    <w:rsid w:val="002A15C0"/>
    <w:rsid w:val="002A189A"/>
    <w:rsid w:val="002A24ED"/>
    <w:rsid w:val="002A2F4F"/>
    <w:rsid w:val="002A369E"/>
    <w:rsid w:val="002A386B"/>
    <w:rsid w:val="002A4738"/>
    <w:rsid w:val="002A4CD3"/>
    <w:rsid w:val="002A4E99"/>
    <w:rsid w:val="002A633F"/>
    <w:rsid w:val="002A6439"/>
    <w:rsid w:val="002A6E40"/>
    <w:rsid w:val="002A72DF"/>
    <w:rsid w:val="002A77DE"/>
    <w:rsid w:val="002B0E52"/>
    <w:rsid w:val="002B1FF4"/>
    <w:rsid w:val="002B39F1"/>
    <w:rsid w:val="002B4104"/>
    <w:rsid w:val="002B60C3"/>
    <w:rsid w:val="002B73FB"/>
    <w:rsid w:val="002B7504"/>
    <w:rsid w:val="002B780D"/>
    <w:rsid w:val="002C0975"/>
    <w:rsid w:val="002C1FF7"/>
    <w:rsid w:val="002C4B5F"/>
    <w:rsid w:val="002C4E21"/>
    <w:rsid w:val="002C5546"/>
    <w:rsid w:val="002C614B"/>
    <w:rsid w:val="002C62C1"/>
    <w:rsid w:val="002C6693"/>
    <w:rsid w:val="002C6A8D"/>
    <w:rsid w:val="002C6EED"/>
    <w:rsid w:val="002D03A8"/>
    <w:rsid w:val="002D10A0"/>
    <w:rsid w:val="002D1E68"/>
    <w:rsid w:val="002D3604"/>
    <w:rsid w:val="002D3C34"/>
    <w:rsid w:val="002D3FF9"/>
    <w:rsid w:val="002D5595"/>
    <w:rsid w:val="002D64B2"/>
    <w:rsid w:val="002D6EE3"/>
    <w:rsid w:val="002D6F91"/>
    <w:rsid w:val="002D7FF9"/>
    <w:rsid w:val="002E08CE"/>
    <w:rsid w:val="002E0B49"/>
    <w:rsid w:val="002E0D56"/>
    <w:rsid w:val="002E1081"/>
    <w:rsid w:val="002E2B60"/>
    <w:rsid w:val="002E3028"/>
    <w:rsid w:val="002E4289"/>
    <w:rsid w:val="002E4426"/>
    <w:rsid w:val="002E4970"/>
    <w:rsid w:val="002E51B7"/>
    <w:rsid w:val="002E5B3B"/>
    <w:rsid w:val="002E6636"/>
    <w:rsid w:val="002E6CD4"/>
    <w:rsid w:val="002E7845"/>
    <w:rsid w:val="002F0731"/>
    <w:rsid w:val="002F146B"/>
    <w:rsid w:val="002F1D20"/>
    <w:rsid w:val="002F1F0E"/>
    <w:rsid w:val="002F2DC4"/>
    <w:rsid w:val="002F309A"/>
    <w:rsid w:val="002F327D"/>
    <w:rsid w:val="002F3999"/>
    <w:rsid w:val="002F3E1D"/>
    <w:rsid w:val="002F40B7"/>
    <w:rsid w:val="002F67DB"/>
    <w:rsid w:val="002F7087"/>
    <w:rsid w:val="002F7FB9"/>
    <w:rsid w:val="003017D6"/>
    <w:rsid w:val="00302005"/>
    <w:rsid w:val="00302A11"/>
    <w:rsid w:val="00303438"/>
    <w:rsid w:val="00303E09"/>
    <w:rsid w:val="00304838"/>
    <w:rsid w:val="003049A1"/>
    <w:rsid w:val="00304FEA"/>
    <w:rsid w:val="00305073"/>
    <w:rsid w:val="00305C03"/>
    <w:rsid w:val="00307D87"/>
    <w:rsid w:val="0031130E"/>
    <w:rsid w:val="0031172E"/>
    <w:rsid w:val="00311787"/>
    <w:rsid w:val="003117DD"/>
    <w:rsid w:val="00312084"/>
    <w:rsid w:val="00312F95"/>
    <w:rsid w:val="00313CBF"/>
    <w:rsid w:val="00314783"/>
    <w:rsid w:val="00314C1E"/>
    <w:rsid w:val="00314D06"/>
    <w:rsid w:val="00316F91"/>
    <w:rsid w:val="003178E5"/>
    <w:rsid w:val="00317B5E"/>
    <w:rsid w:val="00320522"/>
    <w:rsid w:val="00320611"/>
    <w:rsid w:val="0032068D"/>
    <w:rsid w:val="00320B06"/>
    <w:rsid w:val="003212D9"/>
    <w:rsid w:val="00321B10"/>
    <w:rsid w:val="00321ED4"/>
    <w:rsid w:val="00323901"/>
    <w:rsid w:val="003245E5"/>
    <w:rsid w:val="00325F3B"/>
    <w:rsid w:val="00326035"/>
    <w:rsid w:val="00330267"/>
    <w:rsid w:val="003305DB"/>
    <w:rsid w:val="0033062F"/>
    <w:rsid w:val="00331D64"/>
    <w:rsid w:val="0033537B"/>
    <w:rsid w:val="00337B5D"/>
    <w:rsid w:val="003401C3"/>
    <w:rsid w:val="00340D71"/>
    <w:rsid w:val="003416E3"/>
    <w:rsid w:val="0034215D"/>
    <w:rsid w:val="003427EB"/>
    <w:rsid w:val="00344028"/>
    <w:rsid w:val="003445C2"/>
    <w:rsid w:val="00344A9E"/>
    <w:rsid w:val="003451CD"/>
    <w:rsid w:val="00346835"/>
    <w:rsid w:val="0035011B"/>
    <w:rsid w:val="00351255"/>
    <w:rsid w:val="00352D88"/>
    <w:rsid w:val="0035300A"/>
    <w:rsid w:val="003535EC"/>
    <w:rsid w:val="00354CD5"/>
    <w:rsid w:val="00355470"/>
    <w:rsid w:val="00355B0B"/>
    <w:rsid w:val="00356858"/>
    <w:rsid w:val="00357592"/>
    <w:rsid w:val="003603FF"/>
    <w:rsid w:val="00360718"/>
    <w:rsid w:val="00360DCA"/>
    <w:rsid w:val="00361364"/>
    <w:rsid w:val="00361F19"/>
    <w:rsid w:val="00362D0B"/>
    <w:rsid w:val="00363880"/>
    <w:rsid w:val="00363C80"/>
    <w:rsid w:val="00363D37"/>
    <w:rsid w:val="003649B6"/>
    <w:rsid w:val="00365048"/>
    <w:rsid w:val="0036553F"/>
    <w:rsid w:val="003661D0"/>
    <w:rsid w:val="00370177"/>
    <w:rsid w:val="00371201"/>
    <w:rsid w:val="003717D4"/>
    <w:rsid w:val="00371AB6"/>
    <w:rsid w:val="00371CD1"/>
    <w:rsid w:val="00372A3E"/>
    <w:rsid w:val="0037352D"/>
    <w:rsid w:val="00373641"/>
    <w:rsid w:val="00374934"/>
    <w:rsid w:val="0037494F"/>
    <w:rsid w:val="0037495E"/>
    <w:rsid w:val="00375192"/>
    <w:rsid w:val="00375443"/>
    <w:rsid w:val="003755E5"/>
    <w:rsid w:val="003758C2"/>
    <w:rsid w:val="00375F27"/>
    <w:rsid w:val="00375F5A"/>
    <w:rsid w:val="003773A5"/>
    <w:rsid w:val="00382AB9"/>
    <w:rsid w:val="00382B00"/>
    <w:rsid w:val="0038314E"/>
    <w:rsid w:val="003835DE"/>
    <w:rsid w:val="0038390A"/>
    <w:rsid w:val="00383AD6"/>
    <w:rsid w:val="0038438B"/>
    <w:rsid w:val="00384B4C"/>
    <w:rsid w:val="00384FAA"/>
    <w:rsid w:val="0038564B"/>
    <w:rsid w:val="00385768"/>
    <w:rsid w:val="00385BC2"/>
    <w:rsid w:val="00386539"/>
    <w:rsid w:val="00386BC5"/>
    <w:rsid w:val="003875D7"/>
    <w:rsid w:val="00387773"/>
    <w:rsid w:val="003879FC"/>
    <w:rsid w:val="00390510"/>
    <w:rsid w:val="003912C0"/>
    <w:rsid w:val="00391537"/>
    <w:rsid w:val="00391760"/>
    <w:rsid w:val="00393946"/>
    <w:rsid w:val="00393A87"/>
    <w:rsid w:val="00396698"/>
    <w:rsid w:val="00397153"/>
    <w:rsid w:val="003972F8"/>
    <w:rsid w:val="003A1FEA"/>
    <w:rsid w:val="003A36B7"/>
    <w:rsid w:val="003A38CA"/>
    <w:rsid w:val="003A3CEF"/>
    <w:rsid w:val="003A6CDA"/>
    <w:rsid w:val="003A6E1D"/>
    <w:rsid w:val="003A748B"/>
    <w:rsid w:val="003A79FF"/>
    <w:rsid w:val="003B00DE"/>
    <w:rsid w:val="003B20DD"/>
    <w:rsid w:val="003B342A"/>
    <w:rsid w:val="003B3D5E"/>
    <w:rsid w:val="003B400E"/>
    <w:rsid w:val="003B573A"/>
    <w:rsid w:val="003B625D"/>
    <w:rsid w:val="003B66E7"/>
    <w:rsid w:val="003B7804"/>
    <w:rsid w:val="003B7873"/>
    <w:rsid w:val="003C004C"/>
    <w:rsid w:val="003C1162"/>
    <w:rsid w:val="003C1903"/>
    <w:rsid w:val="003C1B13"/>
    <w:rsid w:val="003C1B85"/>
    <w:rsid w:val="003C2154"/>
    <w:rsid w:val="003C3363"/>
    <w:rsid w:val="003C40EE"/>
    <w:rsid w:val="003C42A1"/>
    <w:rsid w:val="003C4ECF"/>
    <w:rsid w:val="003C5047"/>
    <w:rsid w:val="003C5F4E"/>
    <w:rsid w:val="003C6631"/>
    <w:rsid w:val="003C7825"/>
    <w:rsid w:val="003D0567"/>
    <w:rsid w:val="003D0A6A"/>
    <w:rsid w:val="003D1499"/>
    <w:rsid w:val="003D2046"/>
    <w:rsid w:val="003D2071"/>
    <w:rsid w:val="003D3366"/>
    <w:rsid w:val="003D3E01"/>
    <w:rsid w:val="003D4417"/>
    <w:rsid w:val="003D61CC"/>
    <w:rsid w:val="003D71BC"/>
    <w:rsid w:val="003D7675"/>
    <w:rsid w:val="003D7C5A"/>
    <w:rsid w:val="003D7CBD"/>
    <w:rsid w:val="003E0ECE"/>
    <w:rsid w:val="003E29A6"/>
    <w:rsid w:val="003E3991"/>
    <w:rsid w:val="003E59C7"/>
    <w:rsid w:val="003E6008"/>
    <w:rsid w:val="003E6316"/>
    <w:rsid w:val="003E671C"/>
    <w:rsid w:val="003E6817"/>
    <w:rsid w:val="003F0531"/>
    <w:rsid w:val="003F075B"/>
    <w:rsid w:val="003F2205"/>
    <w:rsid w:val="003F31CB"/>
    <w:rsid w:val="003F45D3"/>
    <w:rsid w:val="003F48C3"/>
    <w:rsid w:val="003F4B57"/>
    <w:rsid w:val="003F4FEF"/>
    <w:rsid w:val="003F55C2"/>
    <w:rsid w:val="003F7CDB"/>
    <w:rsid w:val="00400362"/>
    <w:rsid w:val="00401ACA"/>
    <w:rsid w:val="00401E18"/>
    <w:rsid w:val="00401FE3"/>
    <w:rsid w:val="00402324"/>
    <w:rsid w:val="004025B5"/>
    <w:rsid w:val="00405A2D"/>
    <w:rsid w:val="00406C51"/>
    <w:rsid w:val="0040758F"/>
    <w:rsid w:val="00410DC3"/>
    <w:rsid w:val="0041163B"/>
    <w:rsid w:val="00411BAF"/>
    <w:rsid w:val="00414ACC"/>
    <w:rsid w:val="00414B7F"/>
    <w:rsid w:val="00415310"/>
    <w:rsid w:val="00415D32"/>
    <w:rsid w:val="004164BC"/>
    <w:rsid w:val="00416B1C"/>
    <w:rsid w:val="00416FD6"/>
    <w:rsid w:val="0041725A"/>
    <w:rsid w:val="00417DB5"/>
    <w:rsid w:val="004200C5"/>
    <w:rsid w:val="004202AF"/>
    <w:rsid w:val="00421B7C"/>
    <w:rsid w:val="00422294"/>
    <w:rsid w:val="004224C2"/>
    <w:rsid w:val="00424089"/>
    <w:rsid w:val="00424C85"/>
    <w:rsid w:val="00425039"/>
    <w:rsid w:val="00425EC0"/>
    <w:rsid w:val="00426053"/>
    <w:rsid w:val="00426F1C"/>
    <w:rsid w:val="00427E0B"/>
    <w:rsid w:val="0043089D"/>
    <w:rsid w:val="00430B3C"/>
    <w:rsid w:val="00432027"/>
    <w:rsid w:val="00432094"/>
    <w:rsid w:val="004320B7"/>
    <w:rsid w:val="00432270"/>
    <w:rsid w:val="0043428E"/>
    <w:rsid w:val="0043513B"/>
    <w:rsid w:val="004355ED"/>
    <w:rsid w:val="004370DA"/>
    <w:rsid w:val="00437641"/>
    <w:rsid w:val="00441951"/>
    <w:rsid w:val="00442D0A"/>
    <w:rsid w:val="004441ED"/>
    <w:rsid w:val="00444200"/>
    <w:rsid w:val="00444E82"/>
    <w:rsid w:val="00444F74"/>
    <w:rsid w:val="00445006"/>
    <w:rsid w:val="0044593D"/>
    <w:rsid w:val="00446605"/>
    <w:rsid w:val="004472B3"/>
    <w:rsid w:val="00447355"/>
    <w:rsid w:val="0044775C"/>
    <w:rsid w:val="00450020"/>
    <w:rsid w:val="00450718"/>
    <w:rsid w:val="00450A16"/>
    <w:rsid w:val="004517E2"/>
    <w:rsid w:val="00451FAE"/>
    <w:rsid w:val="00452118"/>
    <w:rsid w:val="00453233"/>
    <w:rsid w:val="00453AED"/>
    <w:rsid w:val="00453D3A"/>
    <w:rsid w:val="00453EDB"/>
    <w:rsid w:val="00454498"/>
    <w:rsid w:val="00455087"/>
    <w:rsid w:val="00455448"/>
    <w:rsid w:val="004566E1"/>
    <w:rsid w:val="00456BA9"/>
    <w:rsid w:val="00457897"/>
    <w:rsid w:val="00457BBF"/>
    <w:rsid w:val="00457E13"/>
    <w:rsid w:val="00457E16"/>
    <w:rsid w:val="00460A1E"/>
    <w:rsid w:val="00460CEF"/>
    <w:rsid w:val="00460DDC"/>
    <w:rsid w:val="004610E5"/>
    <w:rsid w:val="0046111D"/>
    <w:rsid w:val="00461AC7"/>
    <w:rsid w:val="00461E66"/>
    <w:rsid w:val="004621E0"/>
    <w:rsid w:val="004621EC"/>
    <w:rsid w:val="00462EB3"/>
    <w:rsid w:val="00463D7F"/>
    <w:rsid w:val="00464265"/>
    <w:rsid w:val="00464A57"/>
    <w:rsid w:val="00465127"/>
    <w:rsid w:val="004660BE"/>
    <w:rsid w:val="004661B0"/>
    <w:rsid w:val="004677D1"/>
    <w:rsid w:val="00467A8A"/>
    <w:rsid w:val="00470EAD"/>
    <w:rsid w:val="004720E9"/>
    <w:rsid w:val="004734A8"/>
    <w:rsid w:val="004745CA"/>
    <w:rsid w:val="00474760"/>
    <w:rsid w:val="004751FB"/>
    <w:rsid w:val="00477AFE"/>
    <w:rsid w:val="00477C4B"/>
    <w:rsid w:val="0048045F"/>
    <w:rsid w:val="00481322"/>
    <w:rsid w:val="00481BD2"/>
    <w:rsid w:val="00481C60"/>
    <w:rsid w:val="0048285E"/>
    <w:rsid w:val="00484850"/>
    <w:rsid w:val="00484A01"/>
    <w:rsid w:val="00484E7C"/>
    <w:rsid w:val="00485AD3"/>
    <w:rsid w:val="00486830"/>
    <w:rsid w:val="00486C24"/>
    <w:rsid w:val="00487AA7"/>
    <w:rsid w:val="0049045F"/>
    <w:rsid w:val="00491BC0"/>
    <w:rsid w:val="004920CE"/>
    <w:rsid w:val="00492539"/>
    <w:rsid w:val="00492FAB"/>
    <w:rsid w:val="004930CA"/>
    <w:rsid w:val="004930CB"/>
    <w:rsid w:val="004932E8"/>
    <w:rsid w:val="00494CC9"/>
    <w:rsid w:val="00496120"/>
    <w:rsid w:val="00496245"/>
    <w:rsid w:val="004971FB"/>
    <w:rsid w:val="00497210"/>
    <w:rsid w:val="004A09DE"/>
    <w:rsid w:val="004A0DCB"/>
    <w:rsid w:val="004A0E84"/>
    <w:rsid w:val="004A4C24"/>
    <w:rsid w:val="004A509E"/>
    <w:rsid w:val="004A52E5"/>
    <w:rsid w:val="004A5AF0"/>
    <w:rsid w:val="004A5F0C"/>
    <w:rsid w:val="004A6444"/>
    <w:rsid w:val="004A66B9"/>
    <w:rsid w:val="004A6A82"/>
    <w:rsid w:val="004A6D61"/>
    <w:rsid w:val="004A75B6"/>
    <w:rsid w:val="004B0358"/>
    <w:rsid w:val="004B0DF7"/>
    <w:rsid w:val="004B112E"/>
    <w:rsid w:val="004B112F"/>
    <w:rsid w:val="004B2531"/>
    <w:rsid w:val="004B3C29"/>
    <w:rsid w:val="004B4E11"/>
    <w:rsid w:val="004B6988"/>
    <w:rsid w:val="004B740F"/>
    <w:rsid w:val="004C5102"/>
    <w:rsid w:val="004C60EC"/>
    <w:rsid w:val="004C6212"/>
    <w:rsid w:val="004C62F1"/>
    <w:rsid w:val="004C6816"/>
    <w:rsid w:val="004C7314"/>
    <w:rsid w:val="004D0665"/>
    <w:rsid w:val="004D1645"/>
    <w:rsid w:val="004D19B2"/>
    <w:rsid w:val="004D1DA1"/>
    <w:rsid w:val="004D21CC"/>
    <w:rsid w:val="004D264C"/>
    <w:rsid w:val="004D3702"/>
    <w:rsid w:val="004D68EB"/>
    <w:rsid w:val="004D6E24"/>
    <w:rsid w:val="004D6F18"/>
    <w:rsid w:val="004D7085"/>
    <w:rsid w:val="004D7549"/>
    <w:rsid w:val="004E037A"/>
    <w:rsid w:val="004E0424"/>
    <w:rsid w:val="004E0A66"/>
    <w:rsid w:val="004E10C8"/>
    <w:rsid w:val="004E2B3E"/>
    <w:rsid w:val="004E36CA"/>
    <w:rsid w:val="004E36E7"/>
    <w:rsid w:val="004E4BE1"/>
    <w:rsid w:val="004E4DE7"/>
    <w:rsid w:val="004F013E"/>
    <w:rsid w:val="004F1230"/>
    <w:rsid w:val="004F1380"/>
    <w:rsid w:val="004F20EB"/>
    <w:rsid w:val="004F252C"/>
    <w:rsid w:val="004F294E"/>
    <w:rsid w:val="004F2D10"/>
    <w:rsid w:val="004F3242"/>
    <w:rsid w:val="004F3825"/>
    <w:rsid w:val="004F3C76"/>
    <w:rsid w:val="004F4CEC"/>
    <w:rsid w:val="004F565E"/>
    <w:rsid w:val="004F5756"/>
    <w:rsid w:val="004F5C56"/>
    <w:rsid w:val="004F5DF6"/>
    <w:rsid w:val="004F6B81"/>
    <w:rsid w:val="004F7B15"/>
    <w:rsid w:val="00500054"/>
    <w:rsid w:val="005001C0"/>
    <w:rsid w:val="00502302"/>
    <w:rsid w:val="00503197"/>
    <w:rsid w:val="00504158"/>
    <w:rsid w:val="00504215"/>
    <w:rsid w:val="00504756"/>
    <w:rsid w:val="00504AD8"/>
    <w:rsid w:val="00505891"/>
    <w:rsid w:val="005067A9"/>
    <w:rsid w:val="00506A87"/>
    <w:rsid w:val="00506F62"/>
    <w:rsid w:val="00507DCB"/>
    <w:rsid w:val="00510813"/>
    <w:rsid w:val="005114A5"/>
    <w:rsid w:val="005114F3"/>
    <w:rsid w:val="0051191C"/>
    <w:rsid w:val="0051254B"/>
    <w:rsid w:val="00512931"/>
    <w:rsid w:val="00512B41"/>
    <w:rsid w:val="005136D4"/>
    <w:rsid w:val="00513BAA"/>
    <w:rsid w:val="00515010"/>
    <w:rsid w:val="005152D6"/>
    <w:rsid w:val="00515CFA"/>
    <w:rsid w:val="00515DCE"/>
    <w:rsid w:val="005163D2"/>
    <w:rsid w:val="0051665E"/>
    <w:rsid w:val="005167B0"/>
    <w:rsid w:val="00516B41"/>
    <w:rsid w:val="00517B11"/>
    <w:rsid w:val="00520565"/>
    <w:rsid w:val="00520D0A"/>
    <w:rsid w:val="00521FB3"/>
    <w:rsid w:val="0052269A"/>
    <w:rsid w:val="005241D3"/>
    <w:rsid w:val="00524913"/>
    <w:rsid w:val="005254D0"/>
    <w:rsid w:val="00525D1E"/>
    <w:rsid w:val="00526B97"/>
    <w:rsid w:val="00530107"/>
    <w:rsid w:val="005311BD"/>
    <w:rsid w:val="0053173B"/>
    <w:rsid w:val="00531DFB"/>
    <w:rsid w:val="00531FBD"/>
    <w:rsid w:val="00532552"/>
    <w:rsid w:val="0053378F"/>
    <w:rsid w:val="00533AAC"/>
    <w:rsid w:val="00533DDF"/>
    <w:rsid w:val="00534AA0"/>
    <w:rsid w:val="005353B2"/>
    <w:rsid w:val="0053569B"/>
    <w:rsid w:val="00535EB3"/>
    <w:rsid w:val="005360D9"/>
    <w:rsid w:val="005371C9"/>
    <w:rsid w:val="005373D4"/>
    <w:rsid w:val="00537E1F"/>
    <w:rsid w:val="00537F33"/>
    <w:rsid w:val="0054012F"/>
    <w:rsid w:val="0054098D"/>
    <w:rsid w:val="00540A16"/>
    <w:rsid w:val="00540EAA"/>
    <w:rsid w:val="00542463"/>
    <w:rsid w:val="005425C5"/>
    <w:rsid w:val="0054281F"/>
    <w:rsid w:val="0054338F"/>
    <w:rsid w:val="00543B66"/>
    <w:rsid w:val="0054579C"/>
    <w:rsid w:val="00546B3D"/>
    <w:rsid w:val="00547238"/>
    <w:rsid w:val="005478FC"/>
    <w:rsid w:val="005479AE"/>
    <w:rsid w:val="00547FC3"/>
    <w:rsid w:val="005501D4"/>
    <w:rsid w:val="00550789"/>
    <w:rsid w:val="005510D9"/>
    <w:rsid w:val="005511AD"/>
    <w:rsid w:val="005517E4"/>
    <w:rsid w:val="00551F98"/>
    <w:rsid w:val="00553DAF"/>
    <w:rsid w:val="00553E53"/>
    <w:rsid w:val="00554762"/>
    <w:rsid w:val="00554ADE"/>
    <w:rsid w:val="00554B3F"/>
    <w:rsid w:val="00555014"/>
    <w:rsid w:val="00555FA4"/>
    <w:rsid w:val="005569DD"/>
    <w:rsid w:val="0056050F"/>
    <w:rsid w:val="00562369"/>
    <w:rsid w:val="00563574"/>
    <w:rsid w:val="00563E80"/>
    <w:rsid w:val="00564EE9"/>
    <w:rsid w:val="005658F7"/>
    <w:rsid w:val="005659AA"/>
    <w:rsid w:val="005729DF"/>
    <w:rsid w:val="00573F5F"/>
    <w:rsid w:val="005752B2"/>
    <w:rsid w:val="00575D9B"/>
    <w:rsid w:val="00575E3C"/>
    <w:rsid w:val="00580062"/>
    <w:rsid w:val="0058007A"/>
    <w:rsid w:val="00580EFC"/>
    <w:rsid w:val="0058123A"/>
    <w:rsid w:val="00581CD6"/>
    <w:rsid w:val="005826D1"/>
    <w:rsid w:val="0058282E"/>
    <w:rsid w:val="00582CE0"/>
    <w:rsid w:val="005834E7"/>
    <w:rsid w:val="00583E4A"/>
    <w:rsid w:val="005845B2"/>
    <w:rsid w:val="00584B0A"/>
    <w:rsid w:val="00585905"/>
    <w:rsid w:val="00585968"/>
    <w:rsid w:val="00585C80"/>
    <w:rsid w:val="00585ED5"/>
    <w:rsid w:val="00586611"/>
    <w:rsid w:val="00590524"/>
    <w:rsid w:val="005908B3"/>
    <w:rsid w:val="00590D2D"/>
    <w:rsid w:val="00591016"/>
    <w:rsid w:val="005913EB"/>
    <w:rsid w:val="0059174B"/>
    <w:rsid w:val="00591CE8"/>
    <w:rsid w:val="00591F17"/>
    <w:rsid w:val="00592766"/>
    <w:rsid w:val="00592C1C"/>
    <w:rsid w:val="00592E0A"/>
    <w:rsid w:val="0059464D"/>
    <w:rsid w:val="0059490C"/>
    <w:rsid w:val="00595529"/>
    <w:rsid w:val="005967F0"/>
    <w:rsid w:val="005A013C"/>
    <w:rsid w:val="005A0F34"/>
    <w:rsid w:val="005A2505"/>
    <w:rsid w:val="005A2882"/>
    <w:rsid w:val="005A4AA3"/>
    <w:rsid w:val="005A4ECF"/>
    <w:rsid w:val="005A5512"/>
    <w:rsid w:val="005A5FC3"/>
    <w:rsid w:val="005A62FA"/>
    <w:rsid w:val="005A6466"/>
    <w:rsid w:val="005A6E44"/>
    <w:rsid w:val="005A7730"/>
    <w:rsid w:val="005A792F"/>
    <w:rsid w:val="005A7D68"/>
    <w:rsid w:val="005B0F83"/>
    <w:rsid w:val="005B0FFC"/>
    <w:rsid w:val="005B24CA"/>
    <w:rsid w:val="005B2C9A"/>
    <w:rsid w:val="005B44C9"/>
    <w:rsid w:val="005B6534"/>
    <w:rsid w:val="005B703E"/>
    <w:rsid w:val="005B7D33"/>
    <w:rsid w:val="005C139C"/>
    <w:rsid w:val="005C1612"/>
    <w:rsid w:val="005C1AB4"/>
    <w:rsid w:val="005C31F2"/>
    <w:rsid w:val="005C32AB"/>
    <w:rsid w:val="005C3ABD"/>
    <w:rsid w:val="005C414D"/>
    <w:rsid w:val="005C414F"/>
    <w:rsid w:val="005C41FB"/>
    <w:rsid w:val="005C512A"/>
    <w:rsid w:val="005C6423"/>
    <w:rsid w:val="005C7902"/>
    <w:rsid w:val="005D0602"/>
    <w:rsid w:val="005D083F"/>
    <w:rsid w:val="005D1F8E"/>
    <w:rsid w:val="005D2A69"/>
    <w:rsid w:val="005D4F24"/>
    <w:rsid w:val="005D51BB"/>
    <w:rsid w:val="005D54EF"/>
    <w:rsid w:val="005D57FD"/>
    <w:rsid w:val="005D7033"/>
    <w:rsid w:val="005D7051"/>
    <w:rsid w:val="005D7529"/>
    <w:rsid w:val="005E00D2"/>
    <w:rsid w:val="005E056D"/>
    <w:rsid w:val="005E09C3"/>
    <w:rsid w:val="005E1BF4"/>
    <w:rsid w:val="005E2C4C"/>
    <w:rsid w:val="005E2E80"/>
    <w:rsid w:val="005E36F1"/>
    <w:rsid w:val="005E4E47"/>
    <w:rsid w:val="005E4EC5"/>
    <w:rsid w:val="005E56A9"/>
    <w:rsid w:val="005E5988"/>
    <w:rsid w:val="005E6CE6"/>
    <w:rsid w:val="005F020F"/>
    <w:rsid w:val="005F07F4"/>
    <w:rsid w:val="005F1419"/>
    <w:rsid w:val="005F42B3"/>
    <w:rsid w:val="005F46E1"/>
    <w:rsid w:val="005F5673"/>
    <w:rsid w:val="005F57FE"/>
    <w:rsid w:val="005F5CDD"/>
    <w:rsid w:val="005F61AB"/>
    <w:rsid w:val="005F65C2"/>
    <w:rsid w:val="005F6B70"/>
    <w:rsid w:val="006008D0"/>
    <w:rsid w:val="00600E37"/>
    <w:rsid w:val="0060127F"/>
    <w:rsid w:val="00601A99"/>
    <w:rsid w:val="00605AE5"/>
    <w:rsid w:val="00605F2D"/>
    <w:rsid w:val="0061166E"/>
    <w:rsid w:val="00611EBA"/>
    <w:rsid w:val="006128BF"/>
    <w:rsid w:val="00612909"/>
    <w:rsid w:val="00612C2E"/>
    <w:rsid w:val="00612C3C"/>
    <w:rsid w:val="00612F62"/>
    <w:rsid w:val="0061311B"/>
    <w:rsid w:val="00613B8D"/>
    <w:rsid w:val="00615078"/>
    <w:rsid w:val="006154D7"/>
    <w:rsid w:val="0062089C"/>
    <w:rsid w:val="00620ED4"/>
    <w:rsid w:val="00621135"/>
    <w:rsid w:val="006226CF"/>
    <w:rsid w:val="00622B41"/>
    <w:rsid w:val="006233C4"/>
    <w:rsid w:val="00623C9E"/>
    <w:rsid w:val="006246ED"/>
    <w:rsid w:val="00624B7E"/>
    <w:rsid w:val="0062521B"/>
    <w:rsid w:val="00630925"/>
    <w:rsid w:val="0063153B"/>
    <w:rsid w:val="00632D57"/>
    <w:rsid w:val="00633F16"/>
    <w:rsid w:val="006347C7"/>
    <w:rsid w:val="0064007D"/>
    <w:rsid w:val="006406DE"/>
    <w:rsid w:val="00640ABC"/>
    <w:rsid w:val="00640E0A"/>
    <w:rsid w:val="00643013"/>
    <w:rsid w:val="006437AE"/>
    <w:rsid w:val="006450BA"/>
    <w:rsid w:val="0064545E"/>
    <w:rsid w:val="00646783"/>
    <w:rsid w:val="00647289"/>
    <w:rsid w:val="006472FE"/>
    <w:rsid w:val="00647830"/>
    <w:rsid w:val="006509C1"/>
    <w:rsid w:val="00651003"/>
    <w:rsid w:val="00651772"/>
    <w:rsid w:val="00653694"/>
    <w:rsid w:val="00653E0C"/>
    <w:rsid w:val="00655ED3"/>
    <w:rsid w:val="006563B2"/>
    <w:rsid w:val="00656655"/>
    <w:rsid w:val="006567FF"/>
    <w:rsid w:val="00656B8F"/>
    <w:rsid w:val="006570B5"/>
    <w:rsid w:val="00660CF9"/>
    <w:rsid w:val="00660E80"/>
    <w:rsid w:val="006613D1"/>
    <w:rsid w:val="00661539"/>
    <w:rsid w:val="00661D3A"/>
    <w:rsid w:val="0066760F"/>
    <w:rsid w:val="0067008B"/>
    <w:rsid w:val="00670145"/>
    <w:rsid w:val="0067070B"/>
    <w:rsid w:val="00671A6B"/>
    <w:rsid w:val="00671F91"/>
    <w:rsid w:val="00672069"/>
    <w:rsid w:val="0067344B"/>
    <w:rsid w:val="006744DD"/>
    <w:rsid w:val="00674FF2"/>
    <w:rsid w:val="00675590"/>
    <w:rsid w:val="00676B85"/>
    <w:rsid w:val="00677B58"/>
    <w:rsid w:val="00680CDA"/>
    <w:rsid w:val="006818DB"/>
    <w:rsid w:val="00682550"/>
    <w:rsid w:val="00682F76"/>
    <w:rsid w:val="00683FFB"/>
    <w:rsid w:val="00684BBB"/>
    <w:rsid w:val="00684BDC"/>
    <w:rsid w:val="00684DC7"/>
    <w:rsid w:val="00685033"/>
    <w:rsid w:val="006854F2"/>
    <w:rsid w:val="00685D95"/>
    <w:rsid w:val="0068661C"/>
    <w:rsid w:val="00686873"/>
    <w:rsid w:val="006879F6"/>
    <w:rsid w:val="0069012C"/>
    <w:rsid w:val="006901F6"/>
    <w:rsid w:val="0069085B"/>
    <w:rsid w:val="00692577"/>
    <w:rsid w:val="006926C4"/>
    <w:rsid w:val="00692AEE"/>
    <w:rsid w:val="00693623"/>
    <w:rsid w:val="00693A30"/>
    <w:rsid w:val="00694E8E"/>
    <w:rsid w:val="00695137"/>
    <w:rsid w:val="00695224"/>
    <w:rsid w:val="0069552A"/>
    <w:rsid w:val="006957BA"/>
    <w:rsid w:val="00695ABC"/>
    <w:rsid w:val="00697637"/>
    <w:rsid w:val="00697CFD"/>
    <w:rsid w:val="006A0CEC"/>
    <w:rsid w:val="006A1607"/>
    <w:rsid w:val="006A23F8"/>
    <w:rsid w:val="006A2795"/>
    <w:rsid w:val="006A3568"/>
    <w:rsid w:val="006A47DF"/>
    <w:rsid w:val="006A54F8"/>
    <w:rsid w:val="006A5603"/>
    <w:rsid w:val="006A57DF"/>
    <w:rsid w:val="006A62FC"/>
    <w:rsid w:val="006A6E5C"/>
    <w:rsid w:val="006A729C"/>
    <w:rsid w:val="006A72BC"/>
    <w:rsid w:val="006B035E"/>
    <w:rsid w:val="006B09B9"/>
    <w:rsid w:val="006B275B"/>
    <w:rsid w:val="006B48C4"/>
    <w:rsid w:val="006B5444"/>
    <w:rsid w:val="006B5650"/>
    <w:rsid w:val="006B5D91"/>
    <w:rsid w:val="006B6354"/>
    <w:rsid w:val="006B6696"/>
    <w:rsid w:val="006B6C48"/>
    <w:rsid w:val="006B716B"/>
    <w:rsid w:val="006B798A"/>
    <w:rsid w:val="006C02F6"/>
    <w:rsid w:val="006C0633"/>
    <w:rsid w:val="006C0FFB"/>
    <w:rsid w:val="006C1084"/>
    <w:rsid w:val="006C1308"/>
    <w:rsid w:val="006C1413"/>
    <w:rsid w:val="006C14ED"/>
    <w:rsid w:val="006C2387"/>
    <w:rsid w:val="006C2C0A"/>
    <w:rsid w:val="006C343F"/>
    <w:rsid w:val="006C4CB3"/>
    <w:rsid w:val="006C503D"/>
    <w:rsid w:val="006C542E"/>
    <w:rsid w:val="006C5F17"/>
    <w:rsid w:val="006C6B11"/>
    <w:rsid w:val="006C712E"/>
    <w:rsid w:val="006C7627"/>
    <w:rsid w:val="006D058B"/>
    <w:rsid w:val="006D0E9C"/>
    <w:rsid w:val="006D115C"/>
    <w:rsid w:val="006D27C6"/>
    <w:rsid w:val="006D2B84"/>
    <w:rsid w:val="006D2BDB"/>
    <w:rsid w:val="006D350C"/>
    <w:rsid w:val="006D43BE"/>
    <w:rsid w:val="006D51AE"/>
    <w:rsid w:val="006D6D17"/>
    <w:rsid w:val="006D6F6B"/>
    <w:rsid w:val="006D776E"/>
    <w:rsid w:val="006E01CF"/>
    <w:rsid w:val="006E26A7"/>
    <w:rsid w:val="006E2701"/>
    <w:rsid w:val="006E2A14"/>
    <w:rsid w:val="006E2C85"/>
    <w:rsid w:val="006E3616"/>
    <w:rsid w:val="006E3919"/>
    <w:rsid w:val="006E39F0"/>
    <w:rsid w:val="006E4B8F"/>
    <w:rsid w:val="006E4E9F"/>
    <w:rsid w:val="006E62D0"/>
    <w:rsid w:val="006E74C4"/>
    <w:rsid w:val="006F0904"/>
    <w:rsid w:val="006F160C"/>
    <w:rsid w:val="006F1868"/>
    <w:rsid w:val="006F1B3F"/>
    <w:rsid w:val="006F1EAC"/>
    <w:rsid w:val="006F1EDC"/>
    <w:rsid w:val="006F4113"/>
    <w:rsid w:val="006F4CFC"/>
    <w:rsid w:val="006F5C08"/>
    <w:rsid w:val="006F73A3"/>
    <w:rsid w:val="006F779A"/>
    <w:rsid w:val="006F77E5"/>
    <w:rsid w:val="006F7847"/>
    <w:rsid w:val="007001C5"/>
    <w:rsid w:val="00700FCC"/>
    <w:rsid w:val="00702EA5"/>
    <w:rsid w:val="007039D2"/>
    <w:rsid w:val="00703C27"/>
    <w:rsid w:val="00703F82"/>
    <w:rsid w:val="007059A8"/>
    <w:rsid w:val="00706788"/>
    <w:rsid w:val="0070685D"/>
    <w:rsid w:val="00706FAB"/>
    <w:rsid w:val="007109A3"/>
    <w:rsid w:val="00710A42"/>
    <w:rsid w:val="007120EA"/>
    <w:rsid w:val="00712F74"/>
    <w:rsid w:val="00713448"/>
    <w:rsid w:val="0071362F"/>
    <w:rsid w:val="00713B57"/>
    <w:rsid w:val="00716518"/>
    <w:rsid w:val="00716625"/>
    <w:rsid w:val="00717B2B"/>
    <w:rsid w:val="007204DA"/>
    <w:rsid w:val="007206E7"/>
    <w:rsid w:val="00720BB4"/>
    <w:rsid w:val="00720EE9"/>
    <w:rsid w:val="00720F7A"/>
    <w:rsid w:val="007211E3"/>
    <w:rsid w:val="00721ECA"/>
    <w:rsid w:val="00723C41"/>
    <w:rsid w:val="00724329"/>
    <w:rsid w:val="00725091"/>
    <w:rsid w:val="00725822"/>
    <w:rsid w:val="00727B7C"/>
    <w:rsid w:val="00732284"/>
    <w:rsid w:val="007332B1"/>
    <w:rsid w:val="00733E9B"/>
    <w:rsid w:val="00734905"/>
    <w:rsid w:val="007354F3"/>
    <w:rsid w:val="00735683"/>
    <w:rsid w:val="007362B1"/>
    <w:rsid w:val="007370AA"/>
    <w:rsid w:val="00737375"/>
    <w:rsid w:val="00740074"/>
    <w:rsid w:val="00740090"/>
    <w:rsid w:val="00740AD6"/>
    <w:rsid w:val="00741AD3"/>
    <w:rsid w:val="007424C2"/>
    <w:rsid w:val="0074289B"/>
    <w:rsid w:val="00743957"/>
    <w:rsid w:val="00744367"/>
    <w:rsid w:val="00744C25"/>
    <w:rsid w:val="00744D37"/>
    <w:rsid w:val="0074615F"/>
    <w:rsid w:val="00750026"/>
    <w:rsid w:val="00750182"/>
    <w:rsid w:val="007529CD"/>
    <w:rsid w:val="0075376D"/>
    <w:rsid w:val="00753E56"/>
    <w:rsid w:val="007541D9"/>
    <w:rsid w:val="00755C81"/>
    <w:rsid w:val="00755DC8"/>
    <w:rsid w:val="0075640E"/>
    <w:rsid w:val="00756A57"/>
    <w:rsid w:val="00756C36"/>
    <w:rsid w:val="00756FA1"/>
    <w:rsid w:val="00757597"/>
    <w:rsid w:val="007617BA"/>
    <w:rsid w:val="007619DE"/>
    <w:rsid w:val="0076292F"/>
    <w:rsid w:val="00763B9C"/>
    <w:rsid w:val="00764459"/>
    <w:rsid w:val="007645E3"/>
    <w:rsid w:val="007651EB"/>
    <w:rsid w:val="007673C8"/>
    <w:rsid w:val="007679D0"/>
    <w:rsid w:val="00771A3B"/>
    <w:rsid w:val="00772D1F"/>
    <w:rsid w:val="0077393B"/>
    <w:rsid w:val="00774D54"/>
    <w:rsid w:val="007757DC"/>
    <w:rsid w:val="00775A27"/>
    <w:rsid w:val="007769A2"/>
    <w:rsid w:val="00776D33"/>
    <w:rsid w:val="00780794"/>
    <w:rsid w:val="00781A8E"/>
    <w:rsid w:val="007822C5"/>
    <w:rsid w:val="0078363B"/>
    <w:rsid w:val="00783B5F"/>
    <w:rsid w:val="0078411D"/>
    <w:rsid w:val="007850D2"/>
    <w:rsid w:val="007856E1"/>
    <w:rsid w:val="007857A4"/>
    <w:rsid w:val="00785CDD"/>
    <w:rsid w:val="007862B8"/>
    <w:rsid w:val="00786482"/>
    <w:rsid w:val="00790B01"/>
    <w:rsid w:val="00790FD5"/>
    <w:rsid w:val="007914E4"/>
    <w:rsid w:val="007919D2"/>
    <w:rsid w:val="007929E4"/>
    <w:rsid w:val="00793DC8"/>
    <w:rsid w:val="0079543D"/>
    <w:rsid w:val="00795D56"/>
    <w:rsid w:val="00795F3C"/>
    <w:rsid w:val="00795F4F"/>
    <w:rsid w:val="00796BEB"/>
    <w:rsid w:val="00796C6D"/>
    <w:rsid w:val="00796D5C"/>
    <w:rsid w:val="007A0054"/>
    <w:rsid w:val="007A0E07"/>
    <w:rsid w:val="007A0FC9"/>
    <w:rsid w:val="007A190B"/>
    <w:rsid w:val="007A1997"/>
    <w:rsid w:val="007A20E7"/>
    <w:rsid w:val="007A245A"/>
    <w:rsid w:val="007A2B91"/>
    <w:rsid w:val="007A2F9D"/>
    <w:rsid w:val="007A367A"/>
    <w:rsid w:val="007A4026"/>
    <w:rsid w:val="007A4199"/>
    <w:rsid w:val="007A4C17"/>
    <w:rsid w:val="007A4E44"/>
    <w:rsid w:val="007A54DE"/>
    <w:rsid w:val="007A5629"/>
    <w:rsid w:val="007A6176"/>
    <w:rsid w:val="007A6495"/>
    <w:rsid w:val="007B05AC"/>
    <w:rsid w:val="007B0FA6"/>
    <w:rsid w:val="007B1166"/>
    <w:rsid w:val="007B1627"/>
    <w:rsid w:val="007B2ECD"/>
    <w:rsid w:val="007B360C"/>
    <w:rsid w:val="007B3688"/>
    <w:rsid w:val="007B40B9"/>
    <w:rsid w:val="007B45B6"/>
    <w:rsid w:val="007B5DE1"/>
    <w:rsid w:val="007B71ED"/>
    <w:rsid w:val="007C1859"/>
    <w:rsid w:val="007C24C6"/>
    <w:rsid w:val="007C2C78"/>
    <w:rsid w:val="007C2F48"/>
    <w:rsid w:val="007C36A9"/>
    <w:rsid w:val="007C41BA"/>
    <w:rsid w:val="007C4281"/>
    <w:rsid w:val="007C4417"/>
    <w:rsid w:val="007C4E2B"/>
    <w:rsid w:val="007C7341"/>
    <w:rsid w:val="007D1947"/>
    <w:rsid w:val="007D23E9"/>
    <w:rsid w:val="007D2AA1"/>
    <w:rsid w:val="007D44F7"/>
    <w:rsid w:val="007D5300"/>
    <w:rsid w:val="007D6F04"/>
    <w:rsid w:val="007D7F13"/>
    <w:rsid w:val="007E01FD"/>
    <w:rsid w:val="007E14BD"/>
    <w:rsid w:val="007E1521"/>
    <w:rsid w:val="007E1568"/>
    <w:rsid w:val="007E2970"/>
    <w:rsid w:val="007E3434"/>
    <w:rsid w:val="007E530C"/>
    <w:rsid w:val="007E5577"/>
    <w:rsid w:val="007E5FBA"/>
    <w:rsid w:val="007E62A8"/>
    <w:rsid w:val="007E72A6"/>
    <w:rsid w:val="007F0F99"/>
    <w:rsid w:val="007F13AE"/>
    <w:rsid w:val="007F188B"/>
    <w:rsid w:val="007F2687"/>
    <w:rsid w:val="007F2922"/>
    <w:rsid w:val="007F3D98"/>
    <w:rsid w:val="007F413F"/>
    <w:rsid w:val="007F45B5"/>
    <w:rsid w:val="007F49B6"/>
    <w:rsid w:val="007F4C17"/>
    <w:rsid w:val="007F50EB"/>
    <w:rsid w:val="007F5F20"/>
    <w:rsid w:val="007F6290"/>
    <w:rsid w:val="007F732F"/>
    <w:rsid w:val="007F7EC2"/>
    <w:rsid w:val="008031D5"/>
    <w:rsid w:val="008032AE"/>
    <w:rsid w:val="00803938"/>
    <w:rsid w:val="00804B67"/>
    <w:rsid w:val="00805181"/>
    <w:rsid w:val="00805537"/>
    <w:rsid w:val="00811AAF"/>
    <w:rsid w:val="00812713"/>
    <w:rsid w:val="00812875"/>
    <w:rsid w:val="00812EAA"/>
    <w:rsid w:val="00813022"/>
    <w:rsid w:val="008131DE"/>
    <w:rsid w:val="00813A7E"/>
    <w:rsid w:val="00814CD1"/>
    <w:rsid w:val="00815E74"/>
    <w:rsid w:val="008204A4"/>
    <w:rsid w:val="0082086D"/>
    <w:rsid w:val="0082087F"/>
    <w:rsid w:val="00820C16"/>
    <w:rsid w:val="00821587"/>
    <w:rsid w:val="008218E4"/>
    <w:rsid w:val="00821BBF"/>
    <w:rsid w:val="0082209C"/>
    <w:rsid w:val="00822A06"/>
    <w:rsid w:val="00822C7D"/>
    <w:rsid w:val="0082504C"/>
    <w:rsid w:val="008268FA"/>
    <w:rsid w:val="00826C1A"/>
    <w:rsid w:val="008305C5"/>
    <w:rsid w:val="00831106"/>
    <w:rsid w:val="008318A2"/>
    <w:rsid w:val="00831B39"/>
    <w:rsid w:val="00831ED4"/>
    <w:rsid w:val="008334F7"/>
    <w:rsid w:val="00833631"/>
    <w:rsid w:val="00833C31"/>
    <w:rsid w:val="00833D0C"/>
    <w:rsid w:val="008343A2"/>
    <w:rsid w:val="008355AD"/>
    <w:rsid w:val="008375D6"/>
    <w:rsid w:val="00837A7F"/>
    <w:rsid w:val="00837BD0"/>
    <w:rsid w:val="00841A03"/>
    <w:rsid w:val="00842037"/>
    <w:rsid w:val="00845E7B"/>
    <w:rsid w:val="008507D6"/>
    <w:rsid w:val="00851257"/>
    <w:rsid w:val="00851428"/>
    <w:rsid w:val="0085183E"/>
    <w:rsid w:val="00851D71"/>
    <w:rsid w:val="00853A13"/>
    <w:rsid w:val="00853C33"/>
    <w:rsid w:val="00853E35"/>
    <w:rsid w:val="00854608"/>
    <w:rsid w:val="00855ADE"/>
    <w:rsid w:val="0085625C"/>
    <w:rsid w:val="00856603"/>
    <w:rsid w:val="0086177C"/>
    <w:rsid w:val="00861B93"/>
    <w:rsid w:val="00862D77"/>
    <w:rsid w:val="008644C0"/>
    <w:rsid w:val="00864CA6"/>
    <w:rsid w:val="00865638"/>
    <w:rsid w:val="008665C0"/>
    <w:rsid w:val="00866897"/>
    <w:rsid w:val="00871E76"/>
    <w:rsid w:val="00872E3F"/>
    <w:rsid w:val="00872F0F"/>
    <w:rsid w:val="00873A5B"/>
    <w:rsid w:val="00873CA9"/>
    <w:rsid w:val="00873ED4"/>
    <w:rsid w:val="00875107"/>
    <w:rsid w:val="00876376"/>
    <w:rsid w:val="00876AAC"/>
    <w:rsid w:val="008770B6"/>
    <w:rsid w:val="00881A01"/>
    <w:rsid w:val="00883E58"/>
    <w:rsid w:val="00883FBD"/>
    <w:rsid w:val="0088403E"/>
    <w:rsid w:val="00884CD9"/>
    <w:rsid w:val="008858AE"/>
    <w:rsid w:val="008865B3"/>
    <w:rsid w:val="00890066"/>
    <w:rsid w:val="008908A1"/>
    <w:rsid w:val="00890939"/>
    <w:rsid w:val="008910AB"/>
    <w:rsid w:val="00891BB6"/>
    <w:rsid w:val="008928BC"/>
    <w:rsid w:val="00892A13"/>
    <w:rsid w:val="008948F7"/>
    <w:rsid w:val="00894988"/>
    <w:rsid w:val="00895117"/>
    <w:rsid w:val="008955D9"/>
    <w:rsid w:val="00895FB9"/>
    <w:rsid w:val="008960E4"/>
    <w:rsid w:val="0089630B"/>
    <w:rsid w:val="008964EE"/>
    <w:rsid w:val="00897059"/>
    <w:rsid w:val="008974E7"/>
    <w:rsid w:val="008A19B5"/>
    <w:rsid w:val="008A1A47"/>
    <w:rsid w:val="008A3040"/>
    <w:rsid w:val="008A31C4"/>
    <w:rsid w:val="008A3374"/>
    <w:rsid w:val="008A4B51"/>
    <w:rsid w:val="008A53DA"/>
    <w:rsid w:val="008A6DB7"/>
    <w:rsid w:val="008A6E37"/>
    <w:rsid w:val="008A7AD0"/>
    <w:rsid w:val="008B0A24"/>
    <w:rsid w:val="008B1ACD"/>
    <w:rsid w:val="008B2758"/>
    <w:rsid w:val="008B3AA5"/>
    <w:rsid w:val="008B3BEA"/>
    <w:rsid w:val="008B3CB6"/>
    <w:rsid w:val="008B4908"/>
    <w:rsid w:val="008B5C9C"/>
    <w:rsid w:val="008B6AD8"/>
    <w:rsid w:val="008B6F2C"/>
    <w:rsid w:val="008C154D"/>
    <w:rsid w:val="008C1BD6"/>
    <w:rsid w:val="008C2DCF"/>
    <w:rsid w:val="008C4740"/>
    <w:rsid w:val="008C4F38"/>
    <w:rsid w:val="008C5DE9"/>
    <w:rsid w:val="008C6A4E"/>
    <w:rsid w:val="008C72FE"/>
    <w:rsid w:val="008D009B"/>
    <w:rsid w:val="008D31B7"/>
    <w:rsid w:val="008D3DE4"/>
    <w:rsid w:val="008D425C"/>
    <w:rsid w:val="008D457E"/>
    <w:rsid w:val="008D507C"/>
    <w:rsid w:val="008D558F"/>
    <w:rsid w:val="008D6209"/>
    <w:rsid w:val="008D671B"/>
    <w:rsid w:val="008D6788"/>
    <w:rsid w:val="008D7A5C"/>
    <w:rsid w:val="008E0057"/>
    <w:rsid w:val="008E1C35"/>
    <w:rsid w:val="008E2506"/>
    <w:rsid w:val="008E257B"/>
    <w:rsid w:val="008E384A"/>
    <w:rsid w:val="008E4025"/>
    <w:rsid w:val="008E442C"/>
    <w:rsid w:val="008E5B79"/>
    <w:rsid w:val="008E63F0"/>
    <w:rsid w:val="008E6ED2"/>
    <w:rsid w:val="008E7C1A"/>
    <w:rsid w:val="008F0280"/>
    <w:rsid w:val="008F074B"/>
    <w:rsid w:val="008F0B56"/>
    <w:rsid w:val="008F1FFB"/>
    <w:rsid w:val="008F2EB8"/>
    <w:rsid w:val="008F36F3"/>
    <w:rsid w:val="008F59A5"/>
    <w:rsid w:val="008F5BE3"/>
    <w:rsid w:val="008F6958"/>
    <w:rsid w:val="008F6A88"/>
    <w:rsid w:val="008F7A18"/>
    <w:rsid w:val="0090028B"/>
    <w:rsid w:val="009009D9"/>
    <w:rsid w:val="00904440"/>
    <w:rsid w:val="009046B7"/>
    <w:rsid w:val="00905424"/>
    <w:rsid w:val="00906294"/>
    <w:rsid w:val="009070FE"/>
    <w:rsid w:val="0090715E"/>
    <w:rsid w:val="00910DC8"/>
    <w:rsid w:val="00910E8B"/>
    <w:rsid w:val="00912934"/>
    <w:rsid w:val="00912B5A"/>
    <w:rsid w:val="00913375"/>
    <w:rsid w:val="00913EFA"/>
    <w:rsid w:val="00914723"/>
    <w:rsid w:val="0091518F"/>
    <w:rsid w:val="009156AB"/>
    <w:rsid w:val="009160C8"/>
    <w:rsid w:val="00916FE6"/>
    <w:rsid w:val="00917567"/>
    <w:rsid w:val="009204BC"/>
    <w:rsid w:val="00920A5B"/>
    <w:rsid w:val="00921EBD"/>
    <w:rsid w:val="00922F4D"/>
    <w:rsid w:val="00923821"/>
    <w:rsid w:val="0092431C"/>
    <w:rsid w:val="00924BA6"/>
    <w:rsid w:val="0092626A"/>
    <w:rsid w:val="00926B80"/>
    <w:rsid w:val="0093023A"/>
    <w:rsid w:val="009303C3"/>
    <w:rsid w:val="00930DEB"/>
    <w:rsid w:val="00930FB4"/>
    <w:rsid w:val="00931609"/>
    <w:rsid w:val="0093202F"/>
    <w:rsid w:val="0093324A"/>
    <w:rsid w:val="00933518"/>
    <w:rsid w:val="009354FF"/>
    <w:rsid w:val="00935965"/>
    <w:rsid w:val="009375F8"/>
    <w:rsid w:val="0093765A"/>
    <w:rsid w:val="0093791B"/>
    <w:rsid w:val="00937976"/>
    <w:rsid w:val="0094087F"/>
    <w:rsid w:val="00940C38"/>
    <w:rsid w:val="00942FC4"/>
    <w:rsid w:val="00943827"/>
    <w:rsid w:val="00943B59"/>
    <w:rsid w:val="009443BE"/>
    <w:rsid w:val="00944B2D"/>
    <w:rsid w:val="0094548E"/>
    <w:rsid w:val="009464AB"/>
    <w:rsid w:val="00946D34"/>
    <w:rsid w:val="00947B4D"/>
    <w:rsid w:val="0095064E"/>
    <w:rsid w:val="00952983"/>
    <w:rsid w:val="00953AB9"/>
    <w:rsid w:val="00953C07"/>
    <w:rsid w:val="00954486"/>
    <w:rsid w:val="00954E0A"/>
    <w:rsid w:val="009550BC"/>
    <w:rsid w:val="009550DC"/>
    <w:rsid w:val="00955446"/>
    <w:rsid w:val="00961D75"/>
    <w:rsid w:val="009622B3"/>
    <w:rsid w:val="00964442"/>
    <w:rsid w:val="009644C8"/>
    <w:rsid w:val="00965BF4"/>
    <w:rsid w:val="00966B74"/>
    <w:rsid w:val="0097164A"/>
    <w:rsid w:val="00971C1C"/>
    <w:rsid w:val="0097242B"/>
    <w:rsid w:val="00972C92"/>
    <w:rsid w:val="00973B80"/>
    <w:rsid w:val="0097530C"/>
    <w:rsid w:val="009770CE"/>
    <w:rsid w:val="00980EF7"/>
    <w:rsid w:val="009816C3"/>
    <w:rsid w:val="00982047"/>
    <w:rsid w:val="00982527"/>
    <w:rsid w:val="00983A03"/>
    <w:rsid w:val="00984827"/>
    <w:rsid w:val="00984892"/>
    <w:rsid w:val="00984B7E"/>
    <w:rsid w:val="00984F83"/>
    <w:rsid w:val="0098633F"/>
    <w:rsid w:val="009863E1"/>
    <w:rsid w:val="0098676B"/>
    <w:rsid w:val="00986CB3"/>
    <w:rsid w:val="00990092"/>
    <w:rsid w:val="0099096F"/>
    <w:rsid w:val="00990CBC"/>
    <w:rsid w:val="00990DFE"/>
    <w:rsid w:val="0099311E"/>
    <w:rsid w:val="00993394"/>
    <w:rsid w:val="00996A0B"/>
    <w:rsid w:val="009A04F6"/>
    <w:rsid w:val="009A07DD"/>
    <w:rsid w:val="009A0B95"/>
    <w:rsid w:val="009A1429"/>
    <w:rsid w:val="009A1A45"/>
    <w:rsid w:val="009A359B"/>
    <w:rsid w:val="009A56D6"/>
    <w:rsid w:val="009A5ED0"/>
    <w:rsid w:val="009A62FA"/>
    <w:rsid w:val="009A6D5C"/>
    <w:rsid w:val="009A7327"/>
    <w:rsid w:val="009A7B0E"/>
    <w:rsid w:val="009B39C0"/>
    <w:rsid w:val="009B3ADA"/>
    <w:rsid w:val="009C0768"/>
    <w:rsid w:val="009C1132"/>
    <w:rsid w:val="009C2BBA"/>
    <w:rsid w:val="009C3270"/>
    <w:rsid w:val="009C3359"/>
    <w:rsid w:val="009C33D2"/>
    <w:rsid w:val="009C4A3C"/>
    <w:rsid w:val="009C4B75"/>
    <w:rsid w:val="009C4BF6"/>
    <w:rsid w:val="009C4C27"/>
    <w:rsid w:val="009C5319"/>
    <w:rsid w:val="009C6431"/>
    <w:rsid w:val="009C6EEA"/>
    <w:rsid w:val="009D0932"/>
    <w:rsid w:val="009D14C7"/>
    <w:rsid w:val="009D192F"/>
    <w:rsid w:val="009D1A61"/>
    <w:rsid w:val="009D1B67"/>
    <w:rsid w:val="009D2FD7"/>
    <w:rsid w:val="009D3238"/>
    <w:rsid w:val="009D38C3"/>
    <w:rsid w:val="009D3F32"/>
    <w:rsid w:val="009D470A"/>
    <w:rsid w:val="009D4811"/>
    <w:rsid w:val="009D4C5D"/>
    <w:rsid w:val="009D587C"/>
    <w:rsid w:val="009D6254"/>
    <w:rsid w:val="009E0D45"/>
    <w:rsid w:val="009E1FB2"/>
    <w:rsid w:val="009E207A"/>
    <w:rsid w:val="009E34DE"/>
    <w:rsid w:val="009E3B97"/>
    <w:rsid w:val="009E5041"/>
    <w:rsid w:val="009E5FD5"/>
    <w:rsid w:val="009E6D16"/>
    <w:rsid w:val="009E7195"/>
    <w:rsid w:val="009E7D22"/>
    <w:rsid w:val="009E7EFB"/>
    <w:rsid w:val="009F0780"/>
    <w:rsid w:val="009F1416"/>
    <w:rsid w:val="009F146E"/>
    <w:rsid w:val="009F17E0"/>
    <w:rsid w:val="009F3EAA"/>
    <w:rsid w:val="009F5031"/>
    <w:rsid w:val="009F5176"/>
    <w:rsid w:val="009F661B"/>
    <w:rsid w:val="009F6A04"/>
    <w:rsid w:val="009F72E2"/>
    <w:rsid w:val="009F73F5"/>
    <w:rsid w:val="00A008AB"/>
    <w:rsid w:val="00A011AF"/>
    <w:rsid w:val="00A017FF"/>
    <w:rsid w:val="00A0261A"/>
    <w:rsid w:val="00A02CC7"/>
    <w:rsid w:val="00A030B4"/>
    <w:rsid w:val="00A03CC8"/>
    <w:rsid w:val="00A0542D"/>
    <w:rsid w:val="00A05601"/>
    <w:rsid w:val="00A05AF9"/>
    <w:rsid w:val="00A05B69"/>
    <w:rsid w:val="00A060E7"/>
    <w:rsid w:val="00A06790"/>
    <w:rsid w:val="00A06A6B"/>
    <w:rsid w:val="00A100B0"/>
    <w:rsid w:val="00A112AA"/>
    <w:rsid w:val="00A11BBA"/>
    <w:rsid w:val="00A1291B"/>
    <w:rsid w:val="00A12DED"/>
    <w:rsid w:val="00A12EF1"/>
    <w:rsid w:val="00A1314F"/>
    <w:rsid w:val="00A15AAD"/>
    <w:rsid w:val="00A165FB"/>
    <w:rsid w:val="00A17087"/>
    <w:rsid w:val="00A205BC"/>
    <w:rsid w:val="00A21402"/>
    <w:rsid w:val="00A225BD"/>
    <w:rsid w:val="00A22631"/>
    <w:rsid w:val="00A2293B"/>
    <w:rsid w:val="00A22FBD"/>
    <w:rsid w:val="00A257C5"/>
    <w:rsid w:val="00A264C8"/>
    <w:rsid w:val="00A305C7"/>
    <w:rsid w:val="00A3171A"/>
    <w:rsid w:val="00A31F85"/>
    <w:rsid w:val="00A32FE1"/>
    <w:rsid w:val="00A3319D"/>
    <w:rsid w:val="00A3430F"/>
    <w:rsid w:val="00A35544"/>
    <w:rsid w:val="00A35862"/>
    <w:rsid w:val="00A371DB"/>
    <w:rsid w:val="00A3724A"/>
    <w:rsid w:val="00A402C6"/>
    <w:rsid w:val="00A40442"/>
    <w:rsid w:val="00A406AE"/>
    <w:rsid w:val="00A40DC1"/>
    <w:rsid w:val="00A42016"/>
    <w:rsid w:val="00A42E34"/>
    <w:rsid w:val="00A42E43"/>
    <w:rsid w:val="00A43E42"/>
    <w:rsid w:val="00A44758"/>
    <w:rsid w:val="00A447BE"/>
    <w:rsid w:val="00A450E9"/>
    <w:rsid w:val="00A4566E"/>
    <w:rsid w:val="00A45820"/>
    <w:rsid w:val="00A45BDF"/>
    <w:rsid w:val="00A470D4"/>
    <w:rsid w:val="00A50440"/>
    <w:rsid w:val="00A5124D"/>
    <w:rsid w:val="00A5150A"/>
    <w:rsid w:val="00A520AF"/>
    <w:rsid w:val="00A520C3"/>
    <w:rsid w:val="00A521D9"/>
    <w:rsid w:val="00A53B24"/>
    <w:rsid w:val="00A53D8F"/>
    <w:rsid w:val="00A54E23"/>
    <w:rsid w:val="00A55DA6"/>
    <w:rsid w:val="00A6071C"/>
    <w:rsid w:val="00A611AC"/>
    <w:rsid w:val="00A62061"/>
    <w:rsid w:val="00A630E9"/>
    <w:rsid w:val="00A6374B"/>
    <w:rsid w:val="00A63896"/>
    <w:rsid w:val="00A63F71"/>
    <w:rsid w:val="00A641E1"/>
    <w:rsid w:val="00A64C02"/>
    <w:rsid w:val="00A64F46"/>
    <w:rsid w:val="00A676DF"/>
    <w:rsid w:val="00A710C4"/>
    <w:rsid w:val="00A72294"/>
    <w:rsid w:val="00A73F2D"/>
    <w:rsid w:val="00A742FB"/>
    <w:rsid w:val="00A75137"/>
    <w:rsid w:val="00A75276"/>
    <w:rsid w:val="00A754D8"/>
    <w:rsid w:val="00A757D3"/>
    <w:rsid w:val="00A77D93"/>
    <w:rsid w:val="00A8066D"/>
    <w:rsid w:val="00A81059"/>
    <w:rsid w:val="00A82116"/>
    <w:rsid w:val="00A82138"/>
    <w:rsid w:val="00A8236F"/>
    <w:rsid w:val="00A82887"/>
    <w:rsid w:val="00A82E3C"/>
    <w:rsid w:val="00A82F9B"/>
    <w:rsid w:val="00A831FB"/>
    <w:rsid w:val="00A83399"/>
    <w:rsid w:val="00A841E1"/>
    <w:rsid w:val="00A85403"/>
    <w:rsid w:val="00A8571B"/>
    <w:rsid w:val="00A857D8"/>
    <w:rsid w:val="00A85931"/>
    <w:rsid w:val="00A8688A"/>
    <w:rsid w:val="00A86B12"/>
    <w:rsid w:val="00A87107"/>
    <w:rsid w:val="00A8710B"/>
    <w:rsid w:val="00A9165D"/>
    <w:rsid w:val="00A94B7E"/>
    <w:rsid w:val="00A96249"/>
    <w:rsid w:val="00A965B2"/>
    <w:rsid w:val="00A96A17"/>
    <w:rsid w:val="00AA0129"/>
    <w:rsid w:val="00AA0533"/>
    <w:rsid w:val="00AA18B8"/>
    <w:rsid w:val="00AA1A4E"/>
    <w:rsid w:val="00AA319E"/>
    <w:rsid w:val="00AA38D6"/>
    <w:rsid w:val="00AA3A92"/>
    <w:rsid w:val="00AA77E5"/>
    <w:rsid w:val="00AB109F"/>
    <w:rsid w:val="00AB11FA"/>
    <w:rsid w:val="00AB2AF4"/>
    <w:rsid w:val="00AB3560"/>
    <w:rsid w:val="00AB3FEE"/>
    <w:rsid w:val="00AB56C8"/>
    <w:rsid w:val="00AB5A8D"/>
    <w:rsid w:val="00AB5CA7"/>
    <w:rsid w:val="00AB5CDD"/>
    <w:rsid w:val="00AB64B4"/>
    <w:rsid w:val="00AB70FE"/>
    <w:rsid w:val="00AB7319"/>
    <w:rsid w:val="00AB778D"/>
    <w:rsid w:val="00AC2072"/>
    <w:rsid w:val="00AC2CBD"/>
    <w:rsid w:val="00AC4554"/>
    <w:rsid w:val="00AC4587"/>
    <w:rsid w:val="00AC4D25"/>
    <w:rsid w:val="00AC57C5"/>
    <w:rsid w:val="00AC67AC"/>
    <w:rsid w:val="00AC6C95"/>
    <w:rsid w:val="00AC7901"/>
    <w:rsid w:val="00AC7B4C"/>
    <w:rsid w:val="00AC7D17"/>
    <w:rsid w:val="00AC7ECC"/>
    <w:rsid w:val="00AD0B35"/>
    <w:rsid w:val="00AD2815"/>
    <w:rsid w:val="00AD2F00"/>
    <w:rsid w:val="00AD460F"/>
    <w:rsid w:val="00AD6770"/>
    <w:rsid w:val="00AD6AB7"/>
    <w:rsid w:val="00AD7704"/>
    <w:rsid w:val="00AE02F4"/>
    <w:rsid w:val="00AE0553"/>
    <w:rsid w:val="00AE06F7"/>
    <w:rsid w:val="00AE1255"/>
    <w:rsid w:val="00AE16F6"/>
    <w:rsid w:val="00AE27D0"/>
    <w:rsid w:val="00AE2844"/>
    <w:rsid w:val="00AE381C"/>
    <w:rsid w:val="00AE46B2"/>
    <w:rsid w:val="00AE5C4C"/>
    <w:rsid w:val="00AE6AA8"/>
    <w:rsid w:val="00AF0847"/>
    <w:rsid w:val="00AF1030"/>
    <w:rsid w:val="00AF1310"/>
    <w:rsid w:val="00AF1BEF"/>
    <w:rsid w:val="00AF1F4A"/>
    <w:rsid w:val="00AF41E7"/>
    <w:rsid w:val="00AF4691"/>
    <w:rsid w:val="00AF77C4"/>
    <w:rsid w:val="00AF7FBB"/>
    <w:rsid w:val="00B00871"/>
    <w:rsid w:val="00B0162D"/>
    <w:rsid w:val="00B016F2"/>
    <w:rsid w:val="00B018CA"/>
    <w:rsid w:val="00B01B8C"/>
    <w:rsid w:val="00B0209B"/>
    <w:rsid w:val="00B04A3B"/>
    <w:rsid w:val="00B04D81"/>
    <w:rsid w:val="00B04F33"/>
    <w:rsid w:val="00B04F9E"/>
    <w:rsid w:val="00B06570"/>
    <w:rsid w:val="00B06F3C"/>
    <w:rsid w:val="00B0795F"/>
    <w:rsid w:val="00B07EA5"/>
    <w:rsid w:val="00B1107E"/>
    <w:rsid w:val="00B11577"/>
    <w:rsid w:val="00B11958"/>
    <w:rsid w:val="00B11C22"/>
    <w:rsid w:val="00B12228"/>
    <w:rsid w:val="00B129FA"/>
    <w:rsid w:val="00B13290"/>
    <w:rsid w:val="00B13812"/>
    <w:rsid w:val="00B152EA"/>
    <w:rsid w:val="00B16D0E"/>
    <w:rsid w:val="00B17601"/>
    <w:rsid w:val="00B2003A"/>
    <w:rsid w:val="00B20B53"/>
    <w:rsid w:val="00B20EC7"/>
    <w:rsid w:val="00B216F7"/>
    <w:rsid w:val="00B22277"/>
    <w:rsid w:val="00B23441"/>
    <w:rsid w:val="00B2426F"/>
    <w:rsid w:val="00B25E2A"/>
    <w:rsid w:val="00B26807"/>
    <w:rsid w:val="00B268C6"/>
    <w:rsid w:val="00B27E44"/>
    <w:rsid w:val="00B303B4"/>
    <w:rsid w:val="00B304BD"/>
    <w:rsid w:val="00B3242B"/>
    <w:rsid w:val="00B32ECE"/>
    <w:rsid w:val="00B33FD3"/>
    <w:rsid w:val="00B345D8"/>
    <w:rsid w:val="00B34B11"/>
    <w:rsid w:val="00B34E59"/>
    <w:rsid w:val="00B37EA1"/>
    <w:rsid w:val="00B37F17"/>
    <w:rsid w:val="00B4220A"/>
    <w:rsid w:val="00B42819"/>
    <w:rsid w:val="00B42E9A"/>
    <w:rsid w:val="00B475B4"/>
    <w:rsid w:val="00B51D24"/>
    <w:rsid w:val="00B52A19"/>
    <w:rsid w:val="00B53930"/>
    <w:rsid w:val="00B540E3"/>
    <w:rsid w:val="00B54A03"/>
    <w:rsid w:val="00B56645"/>
    <w:rsid w:val="00B60562"/>
    <w:rsid w:val="00B60BAD"/>
    <w:rsid w:val="00B60F14"/>
    <w:rsid w:val="00B6111A"/>
    <w:rsid w:val="00B61AF0"/>
    <w:rsid w:val="00B61BFC"/>
    <w:rsid w:val="00B61C77"/>
    <w:rsid w:val="00B62976"/>
    <w:rsid w:val="00B62F80"/>
    <w:rsid w:val="00B63F35"/>
    <w:rsid w:val="00B64B2D"/>
    <w:rsid w:val="00B65981"/>
    <w:rsid w:val="00B65A64"/>
    <w:rsid w:val="00B660C8"/>
    <w:rsid w:val="00B662D6"/>
    <w:rsid w:val="00B6640C"/>
    <w:rsid w:val="00B66E7B"/>
    <w:rsid w:val="00B670CC"/>
    <w:rsid w:val="00B670D7"/>
    <w:rsid w:val="00B67141"/>
    <w:rsid w:val="00B6760B"/>
    <w:rsid w:val="00B70A4D"/>
    <w:rsid w:val="00B71A1D"/>
    <w:rsid w:val="00B72069"/>
    <w:rsid w:val="00B7312B"/>
    <w:rsid w:val="00B73B2D"/>
    <w:rsid w:val="00B75D5C"/>
    <w:rsid w:val="00B75FDB"/>
    <w:rsid w:val="00B76F23"/>
    <w:rsid w:val="00B77511"/>
    <w:rsid w:val="00B77A4C"/>
    <w:rsid w:val="00B77B1F"/>
    <w:rsid w:val="00B806C5"/>
    <w:rsid w:val="00B8084C"/>
    <w:rsid w:val="00B80AFF"/>
    <w:rsid w:val="00B80BB3"/>
    <w:rsid w:val="00B80D50"/>
    <w:rsid w:val="00B8143C"/>
    <w:rsid w:val="00B81ABF"/>
    <w:rsid w:val="00B84132"/>
    <w:rsid w:val="00B84AF6"/>
    <w:rsid w:val="00B86EBA"/>
    <w:rsid w:val="00B875E3"/>
    <w:rsid w:val="00B909BC"/>
    <w:rsid w:val="00B91036"/>
    <w:rsid w:val="00B9259D"/>
    <w:rsid w:val="00B92BAE"/>
    <w:rsid w:val="00B938A4"/>
    <w:rsid w:val="00B93C50"/>
    <w:rsid w:val="00B93C93"/>
    <w:rsid w:val="00B95DE6"/>
    <w:rsid w:val="00B968A2"/>
    <w:rsid w:val="00BA003D"/>
    <w:rsid w:val="00BA0F60"/>
    <w:rsid w:val="00BA10D7"/>
    <w:rsid w:val="00BA1C1E"/>
    <w:rsid w:val="00BA1FB5"/>
    <w:rsid w:val="00BA28FA"/>
    <w:rsid w:val="00BA363F"/>
    <w:rsid w:val="00BA3A16"/>
    <w:rsid w:val="00BA3A83"/>
    <w:rsid w:val="00BA5162"/>
    <w:rsid w:val="00BA5ABE"/>
    <w:rsid w:val="00BA633A"/>
    <w:rsid w:val="00BA6612"/>
    <w:rsid w:val="00BA6779"/>
    <w:rsid w:val="00BA7559"/>
    <w:rsid w:val="00BA7CAA"/>
    <w:rsid w:val="00BA7EAC"/>
    <w:rsid w:val="00BB020A"/>
    <w:rsid w:val="00BB110B"/>
    <w:rsid w:val="00BB2596"/>
    <w:rsid w:val="00BB264C"/>
    <w:rsid w:val="00BB297E"/>
    <w:rsid w:val="00BB2FFA"/>
    <w:rsid w:val="00BB3984"/>
    <w:rsid w:val="00BB3F15"/>
    <w:rsid w:val="00BB40B9"/>
    <w:rsid w:val="00BB5174"/>
    <w:rsid w:val="00BC03DD"/>
    <w:rsid w:val="00BC1F6B"/>
    <w:rsid w:val="00BC23AA"/>
    <w:rsid w:val="00BC243A"/>
    <w:rsid w:val="00BC2846"/>
    <w:rsid w:val="00BC3BBC"/>
    <w:rsid w:val="00BC4889"/>
    <w:rsid w:val="00BC5BC7"/>
    <w:rsid w:val="00BC64E2"/>
    <w:rsid w:val="00BC6E39"/>
    <w:rsid w:val="00BD1831"/>
    <w:rsid w:val="00BD1850"/>
    <w:rsid w:val="00BD2691"/>
    <w:rsid w:val="00BD3340"/>
    <w:rsid w:val="00BD4114"/>
    <w:rsid w:val="00BD4494"/>
    <w:rsid w:val="00BD61E0"/>
    <w:rsid w:val="00BE089F"/>
    <w:rsid w:val="00BE2899"/>
    <w:rsid w:val="00BE3931"/>
    <w:rsid w:val="00BE486F"/>
    <w:rsid w:val="00BF07BB"/>
    <w:rsid w:val="00BF1105"/>
    <w:rsid w:val="00BF217A"/>
    <w:rsid w:val="00BF33A6"/>
    <w:rsid w:val="00BF3632"/>
    <w:rsid w:val="00BF3D1F"/>
    <w:rsid w:val="00BF5B26"/>
    <w:rsid w:val="00BF5E0E"/>
    <w:rsid w:val="00BF646C"/>
    <w:rsid w:val="00BF692C"/>
    <w:rsid w:val="00BF7BDF"/>
    <w:rsid w:val="00BF7FB9"/>
    <w:rsid w:val="00C00B85"/>
    <w:rsid w:val="00C01509"/>
    <w:rsid w:val="00C02744"/>
    <w:rsid w:val="00C03234"/>
    <w:rsid w:val="00C04189"/>
    <w:rsid w:val="00C04627"/>
    <w:rsid w:val="00C04BDE"/>
    <w:rsid w:val="00C05683"/>
    <w:rsid w:val="00C06984"/>
    <w:rsid w:val="00C06CE8"/>
    <w:rsid w:val="00C076F8"/>
    <w:rsid w:val="00C10177"/>
    <w:rsid w:val="00C10DD1"/>
    <w:rsid w:val="00C11159"/>
    <w:rsid w:val="00C1115D"/>
    <w:rsid w:val="00C113DA"/>
    <w:rsid w:val="00C11C57"/>
    <w:rsid w:val="00C125F8"/>
    <w:rsid w:val="00C129FA"/>
    <w:rsid w:val="00C13E2F"/>
    <w:rsid w:val="00C141FC"/>
    <w:rsid w:val="00C14853"/>
    <w:rsid w:val="00C17271"/>
    <w:rsid w:val="00C20C4F"/>
    <w:rsid w:val="00C213D5"/>
    <w:rsid w:val="00C21655"/>
    <w:rsid w:val="00C22497"/>
    <w:rsid w:val="00C22691"/>
    <w:rsid w:val="00C22B86"/>
    <w:rsid w:val="00C2386B"/>
    <w:rsid w:val="00C23E4E"/>
    <w:rsid w:val="00C24DF5"/>
    <w:rsid w:val="00C2554C"/>
    <w:rsid w:val="00C267FB"/>
    <w:rsid w:val="00C274DD"/>
    <w:rsid w:val="00C31A75"/>
    <w:rsid w:val="00C31B69"/>
    <w:rsid w:val="00C31CA1"/>
    <w:rsid w:val="00C321D4"/>
    <w:rsid w:val="00C3394C"/>
    <w:rsid w:val="00C366C3"/>
    <w:rsid w:val="00C3670C"/>
    <w:rsid w:val="00C37C77"/>
    <w:rsid w:val="00C37EE2"/>
    <w:rsid w:val="00C37F0B"/>
    <w:rsid w:val="00C41598"/>
    <w:rsid w:val="00C421DB"/>
    <w:rsid w:val="00C428D8"/>
    <w:rsid w:val="00C43259"/>
    <w:rsid w:val="00C440E8"/>
    <w:rsid w:val="00C468D3"/>
    <w:rsid w:val="00C46CE4"/>
    <w:rsid w:val="00C47169"/>
    <w:rsid w:val="00C5059E"/>
    <w:rsid w:val="00C50FC1"/>
    <w:rsid w:val="00C5107F"/>
    <w:rsid w:val="00C5179B"/>
    <w:rsid w:val="00C518E1"/>
    <w:rsid w:val="00C526C2"/>
    <w:rsid w:val="00C55635"/>
    <w:rsid w:val="00C5669F"/>
    <w:rsid w:val="00C5692A"/>
    <w:rsid w:val="00C569E0"/>
    <w:rsid w:val="00C56AE8"/>
    <w:rsid w:val="00C56D34"/>
    <w:rsid w:val="00C575E0"/>
    <w:rsid w:val="00C5780E"/>
    <w:rsid w:val="00C579A3"/>
    <w:rsid w:val="00C605AC"/>
    <w:rsid w:val="00C61556"/>
    <w:rsid w:val="00C61D87"/>
    <w:rsid w:val="00C6374F"/>
    <w:rsid w:val="00C63E1D"/>
    <w:rsid w:val="00C643FB"/>
    <w:rsid w:val="00C64B30"/>
    <w:rsid w:val="00C64FDB"/>
    <w:rsid w:val="00C65211"/>
    <w:rsid w:val="00C656E7"/>
    <w:rsid w:val="00C663D7"/>
    <w:rsid w:val="00C666EB"/>
    <w:rsid w:val="00C679D2"/>
    <w:rsid w:val="00C70417"/>
    <w:rsid w:val="00C721E0"/>
    <w:rsid w:val="00C730E4"/>
    <w:rsid w:val="00C73C78"/>
    <w:rsid w:val="00C7499F"/>
    <w:rsid w:val="00C76630"/>
    <w:rsid w:val="00C768AE"/>
    <w:rsid w:val="00C76EF6"/>
    <w:rsid w:val="00C773A5"/>
    <w:rsid w:val="00C80291"/>
    <w:rsid w:val="00C80614"/>
    <w:rsid w:val="00C80D01"/>
    <w:rsid w:val="00C81CA6"/>
    <w:rsid w:val="00C85F1D"/>
    <w:rsid w:val="00C86788"/>
    <w:rsid w:val="00C869CF"/>
    <w:rsid w:val="00C8787A"/>
    <w:rsid w:val="00C9028B"/>
    <w:rsid w:val="00C90653"/>
    <w:rsid w:val="00C90C6A"/>
    <w:rsid w:val="00C9178B"/>
    <w:rsid w:val="00C91D31"/>
    <w:rsid w:val="00C91F39"/>
    <w:rsid w:val="00C923E6"/>
    <w:rsid w:val="00C92917"/>
    <w:rsid w:val="00C92D7B"/>
    <w:rsid w:val="00C9460B"/>
    <w:rsid w:val="00C94A0C"/>
    <w:rsid w:val="00C94D05"/>
    <w:rsid w:val="00C9609D"/>
    <w:rsid w:val="00C96D94"/>
    <w:rsid w:val="00CA16FC"/>
    <w:rsid w:val="00CA1B15"/>
    <w:rsid w:val="00CA2EFB"/>
    <w:rsid w:val="00CA34AB"/>
    <w:rsid w:val="00CA49DF"/>
    <w:rsid w:val="00CA4BF8"/>
    <w:rsid w:val="00CA5103"/>
    <w:rsid w:val="00CA55F2"/>
    <w:rsid w:val="00CA5BCC"/>
    <w:rsid w:val="00CA5C60"/>
    <w:rsid w:val="00CA73B0"/>
    <w:rsid w:val="00CB1325"/>
    <w:rsid w:val="00CB25E4"/>
    <w:rsid w:val="00CB28D9"/>
    <w:rsid w:val="00CB29AB"/>
    <w:rsid w:val="00CB307F"/>
    <w:rsid w:val="00CB360B"/>
    <w:rsid w:val="00CB36FE"/>
    <w:rsid w:val="00CB418C"/>
    <w:rsid w:val="00CB6C63"/>
    <w:rsid w:val="00CB6D6B"/>
    <w:rsid w:val="00CB7003"/>
    <w:rsid w:val="00CB7D2A"/>
    <w:rsid w:val="00CC0FCE"/>
    <w:rsid w:val="00CC143D"/>
    <w:rsid w:val="00CC3766"/>
    <w:rsid w:val="00CC41E8"/>
    <w:rsid w:val="00CC5609"/>
    <w:rsid w:val="00CC5F34"/>
    <w:rsid w:val="00CC6B6F"/>
    <w:rsid w:val="00CC7253"/>
    <w:rsid w:val="00CC75C2"/>
    <w:rsid w:val="00CD02D2"/>
    <w:rsid w:val="00CD11A5"/>
    <w:rsid w:val="00CD1892"/>
    <w:rsid w:val="00CD20AE"/>
    <w:rsid w:val="00CD2C56"/>
    <w:rsid w:val="00CD31B2"/>
    <w:rsid w:val="00CD37FE"/>
    <w:rsid w:val="00CD381A"/>
    <w:rsid w:val="00CD3936"/>
    <w:rsid w:val="00CD3B6E"/>
    <w:rsid w:val="00CD3C32"/>
    <w:rsid w:val="00CD4731"/>
    <w:rsid w:val="00CD495F"/>
    <w:rsid w:val="00CD4C12"/>
    <w:rsid w:val="00CD6919"/>
    <w:rsid w:val="00CD6DD1"/>
    <w:rsid w:val="00CE124D"/>
    <w:rsid w:val="00CE2E83"/>
    <w:rsid w:val="00CE30AC"/>
    <w:rsid w:val="00CE4C50"/>
    <w:rsid w:val="00CE4D62"/>
    <w:rsid w:val="00CE5A9D"/>
    <w:rsid w:val="00CE66D5"/>
    <w:rsid w:val="00CE75B7"/>
    <w:rsid w:val="00CE76BB"/>
    <w:rsid w:val="00CF0D92"/>
    <w:rsid w:val="00CF0DB0"/>
    <w:rsid w:val="00CF1384"/>
    <w:rsid w:val="00CF1BAB"/>
    <w:rsid w:val="00CF1FF1"/>
    <w:rsid w:val="00CF231F"/>
    <w:rsid w:val="00CF236E"/>
    <w:rsid w:val="00CF2B60"/>
    <w:rsid w:val="00CF2EB6"/>
    <w:rsid w:val="00CF36C0"/>
    <w:rsid w:val="00CF36F4"/>
    <w:rsid w:val="00CF47AC"/>
    <w:rsid w:val="00CF737A"/>
    <w:rsid w:val="00D00D1A"/>
    <w:rsid w:val="00D00DD3"/>
    <w:rsid w:val="00D032BB"/>
    <w:rsid w:val="00D041C5"/>
    <w:rsid w:val="00D04B5E"/>
    <w:rsid w:val="00D0622E"/>
    <w:rsid w:val="00D06484"/>
    <w:rsid w:val="00D06713"/>
    <w:rsid w:val="00D07CF5"/>
    <w:rsid w:val="00D10882"/>
    <w:rsid w:val="00D109DF"/>
    <w:rsid w:val="00D11DCD"/>
    <w:rsid w:val="00D14979"/>
    <w:rsid w:val="00D16617"/>
    <w:rsid w:val="00D17DB6"/>
    <w:rsid w:val="00D2079C"/>
    <w:rsid w:val="00D20909"/>
    <w:rsid w:val="00D20A8D"/>
    <w:rsid w:val="00D22A86"/>
    <w:rsid w:val="00D22AB1"/>
    <w:rsid w:val="00D22F9D"/>
    <w:rsid w:val="00D232A7"/>
    <w:rsid w:val="00D23D5B"/>
    <w:rsid w:val="00D24238"/>
    <w:rsid w:val="00D256C1"/>
    <w:rsid w:val="00D257AE"/>
    <w:rsid w:val="00D25ABE"/>
    <w:rsid w:val="00D260CC"/>
    <w:rsid w:val="00D26B05"/>
    <w:rsid w:val="00D26E9E"/>
    <w:rsid w:val="00D27A05"/>
    <w:rsid w:val="00D30D1E"/>
    <w:rsid w:val="00D312A6"/>
    <w:rsid w:val="00D32995"/>
    <w:rsid w:val="00D34933"/>
    <w:rsid w:val="00D35FBC"/>
    <w:rsid w:val="00D367E1"/>
    <w:rsid w:val="00D40140"/>
    <w:rsid w:val="00D401D5"/>
    <w:rsid w:val="00D40AAE"/>
    <w:rsid w:val="00D40DEF"/>
    <w:rsid w:val="00D41A68"/>
    <w:rsid w:val="00D43685"/>
    <w:rsid w:val="00D43710"/>
    <w:rsid w:val="00D43B51"/>
    <w:rsid w:val="00D4456A"/>
    <w:rsid w:val="00D449B5"/>
    <w:rsid w:val="00D45B26"/>
    <w:rsid w:val="00D45EB4"/>
    <w:rsid w:val="00D47794"/>
    <w:rsid w:val="00D477DD"/>
    <w:rsid w:val="00D47ACC"/>
    <w:rsid w:val="00D508D7"/>
    <w:rsid w:val="00D50A61"/>
    <w:rsid w:val="00D50BDF"/>
    <w:rsid w:val="00D51662"/>
    <w:rsid w:val="00D51AB1"/>
    <w:rsid w:val="00D51F79"/>
    <w:rsid w:val="00D522FA"/>
    <w:rsid w:val="00D550D1"/>
    <w:rsid w:val="00D55BD9"/>
    <w:rsid w:val="00D572EB"/>
    <w:rsid w:val="00D61455"/>
    <w:rsid w:val="00D62165"/>
    <w:rsid w:val="00D62345"/>
    <w:rsid w:val="00D63C02"/>
    <w:rsid w:val="00D64F51"/>
    <w:rsid w:val="00D66DF0"/>
    <w:rsid w:val="00D701FC"/>
    <w:rsid w:val="00D70E54"/>
    <w:rsid w:val="00D71651"/>
    <w:rsid w:val="00D71DFD"/>
    <w:rsid w:val="00D72567"/>
    <w:rsid w:val="00D731D0"/>
    <w:rsid w:val="00D75025"/>
    <w:rsid w:val="00D7554F"/>
    <w:rsid w:val="00D7728A"/>
    <w:rsid w:val="00D82E14"/>
    <w:rsid w:val="00D82E2E"/>
    <w:rsid w:val="00D832A2"/>
    <w:rsid w:val="00D836E9"/>
    <w:rsid w:val="00D85399"/>
    <w:rsid w:val="00D86512"/>
    <w:rsid w:val="00D90432"/>
    <w:rsid w:val="00D93D6E"/>
    <w:rsid w:val="00D94A29"/>
    <w:rsid w:val="00D96227"/>
    <w:rsid w:val="00D96593"/>
    <w:rsid w:val="00D968D9"/>
    <w:rsid w:val="00D972D4"/>
    <w:rsid w:val="00D97A2E"/>
    <w:rsid w:val="00D97A30"/>
    <w:rsid w:val="00DA2375"/>
    <w:rsid w:val="00DA246E"/>
    <w:rsid w:val="00DA261E"/>
    <w:rsid w:val="00DA328A"/>
    <w:rsid w:val="00DA360A"/>
    <w:rsid w:val="00DA3A0A"/>
    <w:rsid w:val="00DA3EB6"/>
    <w:rsid w:val="00DA54E0"/>
    <w:rsid w:val="00DA5D38"/>
    <w:rsid w:val="00DA6769"/>
    <w:rsid w:val="00DA6851"/>
    <w:rsid w:val="00DA7478"/>
    <w:rsid w:val="00DA7C01"/>
    <w:rsid w:val="00DA7F7B"/>
    <w:rsid w:val="00DB0828"/>
    <w:rsid w:val="00DB0881"/>
    <w:rsid w:val="00DB1173"/>
    <w:rsid w:val="00DB12FA"/>
    <w:rsid w:val="00DB2374"/>
    <w:rsid w:val="00DB241A"/>
    <w:rsid w:val="00DB276C"/>
    <w:rsid w:val="00DB29C1"/>
    <w:rsid w:val="00DB3DFC"/>
    <w:rsid w:val="00DB4806"/>
    <w:rsid w:val="00DB52DC"/>
    <w:rsid w:val="00DB5F18"/>
    <w:rsid w:val="00DB78CC"/>
    <w:rsid w:val="00DB7967"/>
    <w:rsid w:val="00DC054E"/>
    <w:rsid w:val="00DC1F1D"/>
    <w:rsid w:val="00DC23E6"/>
    <w:rsid w:val="00DC2A4D"/>
    <w:rsid w:val="00DC3737"/>
    <w:rsid w:val="00DC76C9"/>
    <w:rsid w:val="00DD09C8"/>
    <w:rsid w:val="00DD1A19"/>
    <w:rsid w:val="00DD22CD"/>
    <w:rsid w:val="00DD2431"/>
    <w:rsid w:val="00DD246A"/>
    <w:rsid w:val="00DD2D4E"/>
    <w:rsid w:val="00DD30A8"/>
    <w:rsid w:val="00DD343F"/>
    <w:rsid w:val="00DD3F0B"/>
    <w:rsid w:val="00DD48FE"/>
    <w:rsid w:val="00DE0F14"/>
    <w:rsid w:val="00DE1270"/>
    <w:rsid w:val="00DE2485"/>
    <w:rsid w:val="00DE5FC6"/>
    <w:rsid w:val="00DE699D"/>
    <w:rsid w:val="00DE70D1"/>
    <w:rsid w:val="00DE79A9"/>
    <w:rsid w:val="00DE7AAD"/>
    <w:rsid w:val="00DF13B3"/>
    <w:rsid w:val="00DF1887"/>
    <w:rsid w:val="00DF1B8F"/>
    <w:rsid w:val="00DF29BA"/>
    <w:rsid w:val="00DF2FE7"/>
    <w:rsid w:val="00DF3293"/>
    <w:rsid w:val="00DF3838"/>
    <w:rsid w:val="00DF3C7D"/>
    <w:rsid w:val="00DF41D4"/>
    <w:rsid w:val="00DF4EC8"/>
    <w:rsid w:val="00DF4F7D"/>
    <w:rsid w:val="00DF5A02"/>
    <w:rsid w:val="00DF6B98"/>
    <w:rsid w:val="00E00546"/>
    <w:rsid w:val="00E00571"/>
    <w:rsid w:val="00E024F7"/>
    <w:rsid w:val="00E02633"/>
    <w:rsid w:val="00E02995"/>
    <w:rsid w:val="00E03557"/>
    <w:rsid w:val="00E03599"/>
    <w:rsid w:val="00E03D75"/>
    <w:rsid w:val="00E04A0B"/>
    <w:rsid w:val="00E04F8E"/>
    <w:rsid w:val="00E052DD"/>
    <w:rsid w:val="00E05645"/>
    <w:rsid w:val="00E057F8"/>
    <w:rsid w:val="00E05DF2"/>
    <w:rsid w:val="00E11AC3"/>
    <w:rsid w:val="00E132AB"/>
    <w:rsid w:val="00E132E8"/>
    <w:rsid w:val="00E133B3"/>
    <w:rsid w:val="00E136F2"/>
    <w:rsid w:val="00E148FB"/>
    <w:rsid w:val="00E16069"/>
    <w:rsid w:val="00E16400"/>
    <w:rsid w:val="00E16885"/>
    <w:rsid w:val="00E17B76"/>
    <w:rsid w:val="00E17DE6"/>
    <w:rsid w:val="00E20134"/>
    <w:rsid w:val="00E2069B"/>
    <w:rsid w:val="00E206F4"/>
    <w:rsid w:val="00E2171E"/>
    <w:rsid w:val="00E22ADF"/>
    <w:rsid w:val="00E23BDB"/>
    <w:rsid w:val="00E2440A"/>
    <w:rsid w:val="00E25A04"/>
    <w:rsid w:val="00E25B21"/>
    <w:rsid w:val="00E25DD7"/>
    <w:rsid w:val="00E26554"/>
    <w:rsid w:val="00E265B5"/>
    <w:rsid w:val="00E2785D"/>
    <w:rsid w:val="00E3065E"/>
    <w:rsid w:val="00E31885"/>
    <w:rsid w:val="00E31FA7"/>
    <w:rsid w:val="00E3232F"/>
    <w:rsid w:val="00E33736"/>
    <w:rsid w:val="00E33CE8"/>
    <w:rsid w:val="00E34D2E"/>
    <w:rsid w:val="00E35EEA"/>
    <w:rsid w:val="00E3719E"/>
    <w:rsid w:val="00E401C5"/>
    <w:rsid w:val="00E40738"/>
    <w:rsid w:val="00E40A10"/>
    <w:rsid w:val="00E41C60"/>
    <w:rsid w:val="00E41D69"/>
    <w:rsid w:val="00E41EEB"/>
    <w:rsid w:val="00E42431"/>
    <w:rsid w:val="00E43CAA"/>
    <w:rsid w:val="00E44AFD"/>
    <w:rsid w:val="00E45823"/>
    <w:rsid w:val="00E45894"/>
    <w:rsid w:val="00E50159"/>
    <w:rsid w:val="00E50EC0"/>
    <w:rsid w:val="00E51302"/>
    <w:rsid w:val="00E53243"/>
    <w:rsid w:val="00E53452"/>
    <w:rsid w:val="00E5364D"/>
    <w:rsid w:val="00E5390F"/>
    <w:rsid w:val="00E5391A"/>
    <w:rsid w:val="00E54E03"/>
    <w:rsid w:val="00E56868"/>
    <w:rsid w:val="00E57507"/>
    <w:rsid w:val="00E62E26"/>
    <w:rsid w:val="00E647E7"/>
    <w:rsid w:val="00E64811"/>
    <w:rsid w:val="00E64B03"/>
    <w:rsid w:val="00E65BD7"/>
    <w:rsid w:val="00E66545"/>
    <w:rsid w:val="00E670F2"/>
    <w:rsid w:val="00E67C5B"/>
    <w:rsid w:val="00E70E65"/>
    <w:rsid w:val="00E72A4B"/>
    <w:rsid w:val="00E730C8"/>
    <w:rsid w:val="00E73228"/>
    <w:rsid w:val="00E7511C"/>
    <w:rsid w:val="00E7716F"/>
    <w:rsid w:val="00E774EB"/>
    <w:rsid w:val="00E80FF4"/>
    <w:rsid w:val="00E81007"/>
    <w:rsid w:val="00E81387"/>
    <w:rsid w:val="00E81C95"/>
    <w:rsid w:val="00E828F2"/>
    <w:rsid w:val="00E82B69"/>
    <w:rsid w:val="00E832B0"/>
    <w:rsid w:val="00E84054"/>
    <w:rsid w:val="00E855D0"/>
    <w:rsid w:val="00E85FFC"/>
    <w:rsid w:val="00E900E9"/>
    <w:rsid w:val="00E902E9"/>
    <w:rsid w:val="00E90C9D"/>
    <w:rsid w:val="00E90CDB"/>
    <w:rsid w:val="00E918C7"/>
    <w:rsid w:val="00E91AEF"/>
    <w:rsid w:val="00E924C0"/>
    <w:rsid w:val="00E962E1"/>
    <w:rsid w:val="00E96B09"/>
    <w:rsid w:val="00E974BF"/>
    <w:rsid w:val="00E9788F"/>
    <w:rsid w:val="00EA01DF"/>
    <w:rsid w:val="00EA0BBB"/>
    <w:rsid w:val="00EA1945"/>
    <w:rsid w:val="00EA23FB"/>
    <w:rsid w:val="00EA2486"/>
    <w:rsid w:val="00EA24A9"/>
    <w:rsid w:val="00EA39B3"/>
    <w:rsid w:val="00EA3DF8"/>
    <w:rsid w:val="00EA3F8C"/>
    <w:rsid w:val="00EA4273"/>
    <w:rsid w:val="00EA484C"/>
    <w:rsid w:val="00EA50EE"/>
    <w:rsid w:val="00EA513F"/>
    <w:rsid w:val="00EA659A"/>
    <w:rsid w:val="00EA6C42"/>
    <w:rsid w:val="00EA76D8"/>
    <w:rsid w:val="00EA7BB7"/>
    <w:rsid w:val="00EB0D5E"/>
    <w:rsid w:val="00EB0FB0"/>
    <w:rsid w:val="00EB113A"/>
    <w:rsid w:val="00EB1CFE"/>
    <w:rsid w:val="00EB1F9B"/>
    <w:rsid w:val="00EB2631"/>
    <w:rsid w:val="00EB3502"/>
    <w:rsid w:val="00EB4390"/>
    <w:rsid w:val="00EB43DB"/>
    <w:rsid w:val="00EB441F"/>
    <w:rsid w:val="00EB502F"/>
    <w:rsid w:val="00EB5BE9"/>
    <w:rsid w:val="00EB64F9"/>
    <w:rsid w:val="00EB76C6"/>
    <w:rsid w:val="00EB798B"/>
    <w:rsid w:val="00EC3653"/>
    <w:rsid w:val="00EC3C9E"/>
    <w:rsid w:val="00EC40D9"/>
    <w:rsid w:val="00EC475A"/>
    <w:rsid w:val="00EC5ADC"/>
    <w:rsid w:val="00EC69E5"/>
    <w:rsid w:val="00ED257D"/>
    <w:rsid w:val="00ED3889"/>
    <w:rsid w:val="00ED3E4E"/>
    <w:rsid w:val="00ED561E"/>
    <w:rsid w:val="00ED59A8"/>
    <w:rsid w:val="00ED6050"/>
    <w:rsid w:val="00ED7781"/>
    <w:rsid w:val="00EE0513"/>
    <w:rsid w:val="00EE0FDA"/>
    <w:rsid w:val="00EE192A"/>
    <w:rsid w:val="00EE339F"/>
    <w:rsid w:val="00EE3689"/>
    <w:rsid w:val="00EE3C3C"/>
    <w:rsid w:val="00EE46D3"/>
    <w:rsid w:val="00EE6196"/>
    <w:rsid w:val="00EF0135"/>
    <w:rsid w:val="00EF087F"/>
    <w:rsid w:val="00EF0A8B"/>
    <w:rsid w:val="00EF1329"/>
    <w:rsid w:val="00EF2603"/>
    <w:rsid w:val="00EF28C2"/>
    <w:rsid w:val="00EF28F3"/>
    <w:rsid w:val="00EF296A"/>
    <w:rsid w:val="00EF4CCD"/>
    <w:rsid w:val="00EF584A"/>
    <w:rsid w:val="00EF6FA5"/>
    <w:rsid w:val="00EF7025"/>
    <w:rsid w:val="00EF7556"/>
    <w:rsid w:val="00EF7DB4"/>
    <w:rsid w:val="00F00D90"/>
    <w:rsid w:val="00F01764"/>
    <w:rsid w:val="00F025E5"/>
    <w:rsid w:val="00F02866"/>
    <w:rsid w:val="00F03EE8"/>
    <w:rsid w:val="00F044D5"/>
    <w:rsid w:val="00F0479F"/>
    <w:rsid w:val="00F04C8B"/>
    <w:rsid w:val="00F04F14"/>
    <w:rsid w:val="00F06218"/>
    <w:rsid w:val="00F117B1"/>
    <w:rsid w:val="00F1265A"/>
    <w:rsid w:val="00F12D46"/>
    <w:rsid w:val="00F1367C"/>
    <w:rsid w:val="00F13FA3"/>
    <w:rsid w:val="00F14AEE"/>
    <w:rsid w:val="00F15095"/>
    <w:rsid w:val="00F162CC"/>
    <w:rsid w:val="00F16DCC"/>
    <w:rsid w:val="00F17A06"/>
    <w:rsid w:val="00F204D8"/>
    <w:rsid w:val="00F20EDD"/>
    <w:rsid w:val="00F2121E"/>
    <w:rsid w:val="00F21771"/>
    <w:rsid w:val="00F21F82"/>
    <w:rsid w:val="00F23A43"/>
    <w:rsid w:val="00F251AC"/>
    <w:rsid w:val="00F253F5"/>
    <w:rsid w:val="00F261D6"/>
    <w:rsid w:val="00F26C5F"/>
    <w:rsid w:val="00F30A3B"/>
    <w:rsid w:val="00F30D51"/>
    <w:rsid w:val="00F315B8"/>
    <w:rsid w:val="00F31AC2"/>
    <w:rsid w:val="00F31C33"/>
    <w:rsid w:val="00F32A2D"/>
    <w:rsid w:val="00F3350B"/>
    <w:rsid w:val="00F33530"/>
    <w:rsid w:val="00F338BA"/>
    <w:rsid w:val="00F34086"/>
    <w:rsid w:val="00F34628"/>
    <w:rsid w:val="00F35CF4"/>
    <w:rsid w:val="00F36666"/>
    <w:rsid w:val="00F36A0B"/>
    <w:rsid w:val="00F36BC0"/>
    <w:rsid w:val="00F37713"/>
    <w:rsid w:val="00F37735"/>
    <w:rsid w:val="00F37A8A"/>
    <w:rsid w:val="00F404BD"/>
    <w:rsid w:val="00F40504"/>
    <w:rsid w:val="00F40DFB"/>
    <w:rsid w:val="00F4253C"/>
    <w:rsid w:val="00F426FB"/>
    <w:rsid w:val="00F45F59"/>
    <w:rsid w:val="00F460AF"/>
    <w:rsid w:val="00F4709D"/>
    <w:rsid w:val="00F51BE8"/>
    <w:rsid w:val="00F52C6A"/>
    <w:rsid w:val="00F52D79"/>
    <w:rsid w:val="00F54A46"/>
    <w:rsid w:val="00F54F34"/>
    <w:rsid w:val="00F54F7D"/>
    <w:rsid w:val="00F56720"/>
    <w:rsid w:val="00F56D15"/>
    <w:rsid w:val="00F5730F"/>
    <w:rsid w:val="00F6058F"/>
    <w:rsid w:val="00F60B79"/>
    <w:rsid w:val="00F61A4F"/>
    <w:rsid w:val="00F61FFB"/>
    <w:rsid w:val="00F62292"/>
    <w:rsid w:val="00F626B2"/>
    <w:rsid w:val="00F627F9"/>
    <w:rsid w:val="00F62B81"/>
    <w:rsid w:val="00F6333D"/>
    <w:rsid w:val="00F63ACF"/>
    <w:rsid w:val="00F63EB7"/>
    <w:rsid w:val="00F6479F"/>
    <w:rsid w:val="00F65A86"/>
    <w:rsid w:val="00F65F01"/>
    <w:rsid w:val="00F66E22"/>
    <w:rsid w:val="00F66E4E"/>
    <w:rsid w:val="00F670CA"/>
    <w:rsid w:val="00F673AD"/>
    <w:rsid w:val="00F67E58"/>
    <w:rsid w:val="00F67FF4"/>
    <w:rsid w:val="00F701F7"/>
    <w:rsid w:val="00F7089C"/>
    <w:rsid w:val="00F70C15"/>
    <w:rsid w:val="00F70C99"/>
    <w:rsid w:val="00F72BA8"/>
    <w:rsid w:val="00F72E2D"/>
    <w:rsid w:val="00F72FC8"/>
    <w:rsid w:val="00F73321"/>
    <w:rsid w:val="00F73A53"/>
    <w:rsid w:val="00F750EF"/>
    <w:rsid w:val="00F753B0"/>
    <w:rsid w:val="00F75848"/>
    <w:rsid w:val="00F75DAF"/>
    <w:rsid w:val="00F75E25"/>
    <w:rsid w:val="00F76041"/>
    <w:rsid w:val="00F765A9"/>
    <w:rsid w:val="00F77020"/>
    <w:rsid w:val="00F77F21"/>
    <w:rsid w:val="00F77F93"/>
    <w:rsid w:val="00F804C1"/>
    <w:rsid w:val="00F8088E"/>
    <w:rsid w:val="00F80ECE"/>
    <w:rsid w:val="00F81727"/>
    <w:rsid w:val="00F827E2"/>
    <w:rsid w:val="00F82AE0"/>
    <w:rsid w:val="00F8397E"/>
    <w:rsid w:val="00F83C12"/>
    <w:rsid w:val="00F843D9"/>
    <w:rsid w:val="00F84BFA"/>
    <w:rsid w:val="00F870D2"/>
    <w:rsid w:val="00F900BC"/>
    <w:rsid w:val="00F90D0B"/>
    <w:rsid w:val="00F90DA3"/>
    <w:rsid w:val="00F90E0F"/>
    <w:rsid w:val="00F91AAE"/>
    <w:rsid w:val="00F93E56"/>
    <w:rsid w:val="00F94181"/>
    <w:rsid w:val="00F95BB6"/>
    <w:rsid w:val="00F9624D"/>
    <w:rsid w:val="00FA0059"/>
    <w:rsid w:val="00FA153D"/>
    <w:rsid w:val="00FA5857"/>
    <w:rsid w:val="00FA6D86"/>
    <w:rsid w:val="00FA7292"/>
    <w:rsid w:val="00FB0095"/>
    <w:rsid w:val="00FB4EFF"/>
    <w:rsid w:val="00FB4F1D"/>
    <w:rsid w:val="00FB5E96"/>
    <w:rsid w:val="00FB6599"/>
    <w:rsid w:val="00FB736E"/>
    <w:rsid w:val="00FC0407"/>
    <w:rsid w:val="00FC1A30"/>
    <w:rsid w:val="00FC205D"/>
    <w:rsid w:val="00FC4385"/>
    <w:rsid w:val="00FC4742"/>
    <w:rsid w:val="00FC4E4B"/>
    <w:rsid w:val="00FC5990"/>
    <w:rsid w:val="00FC59B8"/>
    <w:rsid w:val="00FC5B74"/>
    <w:rsid w:val="00FC5FD7"/>
    <w:rsid w:val="00FC7111"/>
    <w:rsid w:val="00FC7921"/>
    <w:rsid w:val="00FC7C09"/>
    <w:rsid w:val="00FD36CA"/>
    <w:rsid w:val="00FD37B7"/>
    <w:rsid w:val="00FD61EC"/>
    <w:rsid w:val="00FD661B"/>
    <w:rsid w:val="00FE057A"/>
    <w:rsid w:val="00FE076B"/>
    <w:rsid w:val="00FE0A5F"/>
    <w:rsid w:val="00FE381B"/>
    <w:rsid w:val="00FE55CA"/>
    <w:rsid w:val="00FE6128"/>
    <w:rsid w:val="00FE7D41"/>
    <w:rsid w:val="00FE7D54"/>
    <w:rsid w:val="00FF0903"/>
    <w:rsid w:val="00FF1337"/>
    <w:rsid w:val="00FF16BB"/>
    <w:rsid w:val="00FF3B38"/>
    <w:rsid w:val="00FF4407"/>
    <w:rsid w:val="00FF63EC"/>
    <w:rsid w:val="00FF66C4"/>
    <w:rsid w:val="00FF678D"/>
    <w:rsid w:val="00FF68A5"/>
    <w:rsid w:val="00FF6C68"/>
    <w:rsid w:val="00FF6DE4"/>
    <w:rsid w:val="00FF7022"/>
    <w:rsid w:val="00FF7523"/>
  </w:rsids>
  <m:mathPr>
    <m:mathFont m:val="Cambria Math"/>
    <m:brkBin m:val="before"/>
    <m:brkBinSub m:val="--"/>
    <m:smallFrac m:val="0"/>
    <m:dispDef m:val="0"/>
    <m:lMargin m:val="0"/>
    <m:rMargin m:val="0"/>
    <m:defJc m:val="center"/>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B459C"/>
  <w15:chartTrackingRefBased/>
  <w15:docId w15:val="{F9CA9F7D-5CFC-42BB-B326-E8F1AD070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7195"/>
    <w:pPr>
      <w:widowControl w:val="0"/>
      <w:ind w:firstLineChars="200" w:firstLine="200"/>
      <w:jc w:val="both"/>
    </w:pPr>
    <w:rPr>
      <w:rFonts w:ascii="Times New Roman" w:eastAsia="宋体" w:hAnsi="Times New Roman"/>
    </w:rPr>
  </w:style>
  <w:style w:type="paragraph" w:styleId="1">
    <w:name w:val="heading 1"/>
    <w:basedOn w:val="a"/>
    <w:next w:val="a"/>
    <w:link w:val="10"/>
    <w:uiPriority w:val="9"/>
    <w:qFormat/>
    <w:rsid w:val="002A2F4F"/>
    <w:pPr>
      <w:keepNext/>
      <w:keepLines/>
      <w:spacing w:before="340" w:after="330"/>
      <w:jc w:val="center"/>
      <w:outlineLvl w:val="0"/>
    </w:pPr>
    <w:rPr>
      <w:b/>
      <w:bCs/>
      <w:kern w:val="44"/>
      <w:sz w:val="32"/>
      <w:szCs w:val="44"/>
    </w:rPr>
  </w:style>
  <w:style w:type="paragraph" w:styleId="2">
    <w:name w:val="heading 2"/>
    <w:aliases w:val="一"/>
    <w:basedOn w:val="a"/>
    <w:next w:val="a"/>
    <w:link w:val="20"/>
    <w:uiPriority w:val="9"/>
    <w:unhideWhenUsed/>
    <w:qFormat/>
    <w:rsid w:val="00DA261E"/>
    <w:pPr>
      <w:keepNext/>
      <w:keepLines/>
      <w:spacing w:before="260" w:after="260"/>
      <w:ind w:firstLineChars="0" w:firstLine="0"/>
      <w:jc w:val="center"/>
      <w:outlineLvl w:val="1"/>
    </w:pPr>
    <w:rPr>
      <w:rFonts w:asciiTheme="majorHAnsi" w:eastAsia="仿宋" w:hAnsiTheme="majorHAnsi" w:cstheme="majorBidi"/>
      <w:bCs/>
      <w:sz w:val="28"/>
      <w:szCs w:val="32"/>
    </w:rPr>
  </w:style>
  <w:style w:type="paragraph" w:styleId="3">
    <w:name w:val="heading 3"/>
    <w:aliases w:val="（一）"/>
    <w:basedOn w:val="a"/>
    <w:next w:val="a"/>
    <w:link w:val="30"/>
    <w:uiPriority w:val="9"/>
    <w:unhideWhenUsed/>
    <w:qFormat/>
    <w:rsid w:val="00C11159"/>
    <w:pPr>
      <w:keepNext/>
      <w:keepLines/>
      <w:ind w:leftChars="200" w:left="200" w:firstLineChars="0" w:firstLine="0"/>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2F4F"/>
    <w:rPr>
      <w:rFonts w:ascii="Times New Roman" w:eastAsia="宋体" w:hAnsi="Times New Roman"/>
      <w:b/>
      <w:bCs/>
      <w:kern w:val="44"/>
      <w:sz w:val="32"/>
      <w:szCs w:val="44"/>
    </w:rPr>
  </w:style>
  <w:style w:type="character" w:customStyle="1" w:styleId="20">
    <w:name w:val="标题 2 字符"/>
    <w:aliases w:val="一 字符"/>
    <w:basedOn w:val="a0"/>
    <w:link w:val="2"/>
    <w:uiPriority w:val="9"/>
    <w:rsid w:val="00DA261E"/>
    <w:rPr>
      <w:rFonts w:asciiTheme="majorHAnsi" w:eastAsia="仿宋" w:hAnsiTheme="majorHAnsi" w:cstheme="majorBidi"/>
      <w:bCs/>
      <w:sz w:val="28"/>
      <w:szCs w:val="32"/>
    </w:rPr>
  </w:style>
  <w:style w:type="paragraph" w:styleId="a3">
    <w:name w:val="List Paragraph"/>
    <w:basedOn w:val="a"/>
    <w:uiPriority w:val="34"/>
    <w:qFormat/>
    <w:rsid w:val="0097530C"/>
    <w:pPr>
      <w:ind w:firstLine="420"/>
    </w:pPr>
  </w:style>
  <w:style w:type="character" w:customStyle="1" w:styleId="30">
    <w:name w:val="标题 3 字符"/>
    <w:aliases w:val="（一） 字符"/>
    <w:basedOn w:val="a0"/>
    <w:link w:val="3"/>
    <w:uiPriority w:val="9"/>
    <w:rsid w:val="00C11159"/>
    <w:rPr>
      <w:rFonts w:ascii="Times New Roman" w:eastAsia="黑体" w:hAnsi="Times New Roman"/>
      <w:bCs/>
      <w:szCs w:val="32"/>
    </w:rPr>
  </w:style>
  <w:style w:type="character" w:styleId="a4">
    <w:name w:val="Placeholder Text"/>
    <w:basedOn w:val="a0"/>
    <w:uiPriority w:val="99"/>
    <w:semiHidden/>
    <w:rsid w:val="00B32ECE"/>
    <w:rPr>
      <w:color w:val="666666"/>
    </w:rPr>
  </w:style>
  <w:style w:type="table" w:styleId="a5">
    <w:name w:val="Table Grid"/>
    <w:basedOn w:val="a1"/>
    <w:uiPriority w:val="39"/>
    <w:rsid w:val="00187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unhideWhenUsed/>
    <w:rsid w:val="0013432E"/>
    <w:pPr>
      <w:snapToGrid w:val="0"/>
      <w:jc w:val="left"/>
    </w:pPr>
    <w:rPr>
      <w:sz w:val="18"/>
      <w:szCs w:val="18"/>
    </w:rPr>
  </w:style>
  <w:style w:type="character" w:customStyle="1" w:styleId="a7">
    <w:name w:val="脚注文本 字符"/>
    <w:basedOn w:val="a0"/>
    <w:link w:val="a6"/>
    <w:uiPriority w:val="99"/>
    <w:rsid w:val="0013432E"/>
    <w:rPr>
      <w:rFonts w:ascii="Times New Roman" w:eastAsia="宋体" w:hAnsi="Times New Roman"/>
      <w:sz w:val="18"/>
      <w:szCs w:val="18"/>
    </w:rPr>
  </w:style>
  <w:style w:type="character" w:styleId="a8">
    <w:name w:val="footnote reference"/>
    <w:basedOn w:val="a0"/>
    <w:uiPriority w:val="99"/>
    <w:semiHidden/>
    <w:unhideWhenUsed/>
    <w:rsid w:val="0013432E"/>
    <w:rPr>
      <w:vertAlign w:val="superscript"/>
    </w:rPr>
  </w:style>
  <w:style w:type="paragraph" w:styleId="a9">
    <w:name w:val="header"/>
    <w:basedOn w:val="a"/>
    <w:link w:val="aa"/>
    <w:uiPriority w:val="99"/>
    <w:unhideWhenUsed/>
    <w:rsid w:val="000506FE"/>
    <w:pPr>
      <w:tabs>
        <w:tab w:val="center" w:pos="4153"/>
        <w:tab w:val="right" w:pos="8306"/>
      </w:tabs>
      <w:snapToGrid w:val="0"/>
      <w:jc w:val="center"/>
    </w:pPr>
    <w:rPr>
      <w:sz w:val="18"/>
      <w:szCs w:val="18"/>
    </w:rPr>
  </w:style>
  <w:style w:type="character" w:customStyle="1" w:styleId="aa">
    <w:name w:val="页眉 字符"/>
    <w:basedOn w:val="a0"/>
    <w:link w:val="a9"/>
    <w:uiPriority w:val="99"/>
    <w:rsid w:val="000506FE"/>
    <w:rPr>
      <w:rFonts w:ascii="Times New Roman" w:eastAsia="宋体" w:hAnsi="Times New Roman"/>
      <w:sz w:val="18"/>
      <w:szCs w:val="18"/>
    </w:rPr>
  </w:style>
  <w:style w:type="paragraph" w:styleId="ab">
    <w:name w:val="footer"/>
    <w:basedOn w:val="a"/>
    <w:link w:val="ac"/>
    <w:uiPriority w:val="99"/>
    <w:unhideWhenUsed/>
    <w:rsid w:val="000506FE"/>
    <w:pPr>
      <w:tabs>
        <w:tab w:val="center" w:pos="4153"/>
        <w:tab w:val="right" w:pos="8306"/>
      </w:tabs>
      <w:snapToGrid w:val="0"/>
      <w:jc w:val="left"/>
    </w:pPr>
    <w:rPr>
      <w:sz w:val="18"/>
      <w:szCs w:val="18"/>
    </w:rPr>
  </w:style>
  <w:style w:type="character" w:customStyle="1" w:styleId="ac">
    <w:name w:val="页脚 字符"/>
    <w:basedOn w:val="a0"/>
    <w:link w:val="ab"/>
    <w:uiPriority w:val="99"/>
    <w:rsid w:val="000506FE"/>
    <w:rPr>
      <w:rFonts w:ascii="Times New Roman" w:eastAsia="宋体" w:hAnsi="Times New Roman"/>
      <w:sz w:val="18"/>
      <w:szCs w:val="18"/>
    </w:rPr>
  </w:style>
  <w:style w:type="character" w:styleId="ad">
    <w:name w:val="annotation reference"/>
    <w:basedOn w:val="a0"/>
    <w:uiPriority w:val="99"/>
    <w:semiHidden/>
    <w:unhideWhenUsed/>
    <w:rsid w:val="001B0065"/>
    <w:rPr>
      <w:sz w:val="21"/>
      <w:szCs w:val="21"/>
    </w:rPr>
  </w:style>
  <w:style w:type="paragraph" w:styleId="ae">
    <w:name w:val="annotation text"/>
    <w:basedOn w:val="a"/>
    <w:link w:val="af"/>
    <w:uiPriority w:val="99"/>
    <w:semiHidden/>
    <w:unhideWhenUsed/>
    <w:rsid w:val="001B0065"/>
    <w:pPr>
      <w:jc w:val="left"/>
    </w:pPr>
  </w:style>
  <w:style w:type="character" w:customStyle="1" w:styleId="af">
    <w:name w:val="批注文字 字符"/>
    <w:basedOn w:val="a0"/>
    <w:link w:val="ae"/>
    <w:uiPriority w:val="99"/>
    <w:semiHidden/>
    <w:rsid w:val="001B0065"/>
    <w:rPr>
      <w:rFonts w:ascii="Times New Roman" w:eastAsia="宋体" w:hAnsi="Times New Roman"/>
    </w:rPr>
  </w:style>
  <w:style w:type="paragraph" w:styleId="af0">
    <w:name w:val="annotation subject"/>
    <w:basedOn w:val="ae"/>
    <w:next w:val="ae"/>
    <w:link w:val="af1"/>
    <w:uiPriority w:val="99"/>
    <w:semiHidden/>
    <w:unhideWhenUsed/>
    <w:rsid w:val="001B0065"/>
    <w:rPr>
      <w:b/>
      <w:bCs/>
    </w:rPr>
  </w:style>
  <w:style w:type="character" w:customStyle="1" w:styleId="af1">
    <w:name w:val="批注主题 字符"/>
    <w:basedOn w:val="af"/>
    <w:link w:val="af0"/>
    <w:uiPriority w:val="99"/>
    <w:semiHidden/>
    <w:rsid w:val="001B0065"/>
    <w:rPr>
      <w:rFonts w:ascii="Times New Roman" w:eastAsia="宋体" w:hAnsi="Times New Roman"/>
      <w:b/>
      <w:bCs/>
    </w:rPr>
  </w:style>
  <w:style w:type="character" w:styleId="af2">
    <w:name w:val="Hyperlink"/>
    <w:basedOn w:val="a0"/>
    <w:uiPriority w:val="99"/>
    <w:unhideWhenUsed/>
    <w:rsid w:val="006B275B"/>
    <w:rPr>
      <w:color w:val="0563C1" w:themeColor="hyperlink"/>
      <w:u w:val="single"/>
    </w:rPr>
  </w:style>
  <w:style w:type="character" w:styleId="af3">
    <w:name w:val="Unresolved Mention"/>
    <w:basedOn w:val="a0"/>
    <w:uiPriority w:val="99"/>
    <w:semiHidden/>
    <w:unhideWhenUsed/>
    <w:rsid w:val="006B275B"/>
    <w:rPr>
      <w:color w:val="605E5C"/>
      <w:shd w:val="clear" w:color="auto" w:fill="E1DFDD"/>
    </w:rPr>
  </w:style>
  <w:style w:type="paragraph" w:styleId="af4">
    <w:name w:val="No Spacing"/>
    <w:uiPriority w:val="1"/>
    <w:qFormat/>
    <w:rsid w:val="008A4B51"/>
    <w:pPr>
      <w:widowControl w:val="0"/>
      <w:ind w:firstLineChars="200" w:firstLine="200"/>
      <w:jc w:val="both"/>
    </w:pPr>
    <w:rPr>
      <w:rFonts w:ascii="Times New Roman" w:eastAsia="宋体" w:hAnsi="Times New Roman"/>
    </w:rPr>
  </w:style>
  <w:style w:type="paragraph" w:styleId="af5">
    <w:name w:val="Title"/>
    <w:aliases w:val="大标题,主标题"/>
    <w:basedOn w:val="a"/>
    <w:next w:val="a"/>
    <w:link w:val="af6"/>
    <w:uiPriority w:val="10"/>
    <w:qFormat/>
    <w:rsid w:val="005373D4"/>
    <w:pPr>
      <w:spacing w:before="240" w:after="60" w:line="360" w:lineRule="exact"/>
      <w:jc w:val="center"/>
      <w:outlineLvl w:val="0"/>
    </w:pPr>
    <w:rPr>
      <w:rFonts w:asciiTheme="majorHAnsi" w:hAnsiTheme="majorHAnsi" w:cstheme="majorBidi"/>
      <w:b/>
      <w:bCs/>
      <w:sz w:val="32"/>
      <w:szCs w:val="32"/>
    </w:rPr>
  </w:style>
  <w:style w:type="character" w:customStyle="1" w:styleId="af6">
    <w:name w:val="标题 字符"/>
    <w:aliases w:val="大标题 字符,主标题 字符"/>
    <w:basedOn w:val="a0"/>
    <w:link w:val="af5"/>
    <w:uiPriority w:val="10"/>
    <w:rsid w:val="005373D4"/>
    <w:rPr>
      <w:rFonts w:asciiTheme="majorHAnsi" w:eastAsia="宋体" w:hAnsiTheme="majorHAnsi" w:cstheme="majorBidi"/>
      <w:b/>
      <w:bCs/>
      <w:sz w:val="32"/>
      <w:szCs w:val="32"/>
    </w:rPr>
  </w:style>
  <w:style w:type="paragraph" w:styleId="af7">
    <w:name w:val="endnote text"/>
    <w:basedOn w:val="a"/>
    <w:link w:val="af8"/>
    <w:uiPriority w:val="99"/>
    <w:unhideWhenUsed/>
    <w:rsid w:val="00F51BE8"/>
    <w:pPr>
      <w:snapToGrid w:val="0"/>
      <w:ind w:firstLineChars="0" w:firstLine="0"/>
      <w:jc w:val="left"/>
    </w:pPr>
    <w:rPr>
      <w:rFonts w:cs="Times New Roman"/>
    </w:rPr>
  </w:style>
  <w:style w:type="character" w:customStyle="1" w:styleId="af8">
    <w:name w:val="尾注文本 字符"/>
    <w:basedOn w:val="a0"/>
    <w:link w:val="af7"/>
    <w:uiPriority w:val="99"/>
    <w:rsid w:val="00F51BE8"/>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35703">
      <w:bodyDiv w:val="1"/>
      <w:marLeft w:val="0"/>
      <w:marRight w:val="0"/>
      <w:marTop w:val="0"/>
      <w:marBottom w:val="0"/>
      <w:divBdr>
        <w:top w:val="none" w:sz="0" w:space="0" w:color="auto"/>
        <w:left w:val="none" w:sz="0" w:space="0" w:color="auto"/>
        <w:bottom w:val="none" w:sz="0" w:space="0" w:color="auto"/>
        <w:right w:val="none" w:sz="0" w:space="0" w:color="auto"/>
      </w:divBdr>
    </w:div>
    <w:div w:id="216670228">
      <w:bodyDiv w:val="1"/>
      <w:marLeft w:val="0"/>
      <w:marRight w:val="0"/>
      <w:marTop w:val="0"/>
      <w:marBottom w:val="0"/>
      <w:divBdr>
        <w:top w:val="none" w:sz="0" w:space="0" w:color="auto"/>
        <w:left w:val="none" w:sz="0" w:space="0" w:color="auto"/>
        <w:bottom w:val="none" w:sz="0" w:space="0" w:color="auto"/>
        <w:right w:val="none" w:sz="0" w:space="0" w:color="auto"/>
      </w:divBdr>
    </w:div>
    <w:div w:id="247689950">
      <w:bodyDiv w:val="1"/>
      <w:marLeft w:val="0"/>
      <w:marRight w:val="0"/>
      <w:marTop w:val="0"/>
      <w:marBottom w:val="0"/>
      <w:divBdr>
        <w:top w:val="none" w:sz="0" w:space="0" w:color="auto"/>
        <w:left w:val="none" w:sz="0" w:space="0" w:color="auto"/>
        <w:bottom w:val="none" w:sz="0" w:space="0" w:color="auto"/>
        <w:right w:val="none" w:sz="0" w:space="0" w:color="auto"/>
      </w:divBdr>
    </w:div>
    <w:div w:id="248196391">
      <w:bodyDiv w:val="1"/>
      <w:marLeft w:val="0"/>
      <w:marRight w:val="0"/>
      <w:marTop w:val="0"/>
      <w:marBottom w:val="0"/>
      <w:divBdr>
        <w:top w:val="none" w:sz="0" w:space="0" w:color="auto"/>
        <w:left w:val="none" w:sz="0" w:space="0" w:color="auto"/>
        <w:bottom w:val="none" w:sz="0" w:space="0" w:color="auto"/>
        <w:right w:val="none" w:sz="0" w:space="0" w:color="auto"/>
      </w:divBdr>
    </w:div>
    <w:div w:id="308752712">
      <w:bodyDiv w:val="1"/>
      <w:marLeft w:val="0"/>
      <w:marRight w:val="0"/>
      <w:marTop w:val="0"/>
      <w:marBottom w:val="0"/>
      <w:divBdr>
        <w:top w:val="none" w:sz="0" w:space="0" w:color="auto"/>
        <w:left w:val="none" w:sz="0" w:space="0" w:color="auto"/>
        <w:bottom w:val="none" w:sz="0" w:space="0" w:color="auto"/>
        <w:right w:val="none" w:sz="0" w:space="0" w:color="auto"/>
      </w:divBdr>
    </w:div>
    <w:div w:id="339233496">
      <w:bodyDiv w:val="1"/>
      <w:marLeft w:val="0"/>
      <w:marRight w:val="0"/>
      <w:marTop w:val="0"/>
      <w:marBottom w:val="0"/>
      <w:divBdr>
        <w:top w:val="none" w:sz="0" w:space="0" w:color="auto"/>
        <w:left w:val="none" w:sz="0" w:space="0" w:color="auto"/>
        <w:bottom w:val="none" w:sz="0" w:space="0" w:color="auto"/>
        <w:right w:val="none" w:sz="0" w:space="0" w:color="auto"/>
      </w:divBdr>
    </w:div>
    <w:div w:id="411050750">
      <w:bodyDiv w:val="1"/>
      <w:marLeft w:val="0"/>
      <w:marRight w:val="0"/>
      <w:marTop w:val="0"/>
      <w:marBottom w:val="0"/>
      <w:divBdr>
        <w:top w:val="none" w:sz="0" w:space="0" w:color="auto"/>
        <w:left w:val="none" w:sz="0" w:space="0" w:color="auto"/>
        <w:bottom w:val="none" w:sz="0" w:space="0" w:color="auto"/>
        <w:right w:val="none" w:sz="0" w:space="0" w:color="auto"/>
      </w:divBdr>
      <w:divsChild>
        <w:div w:id="228420463">
          <w:marLeft w:val="0"/>
          <w:marRight w:val="0"/>
          <w:marTop w:val="0"/>
          <w:marBottom w:val="0"/>
          <w:divBdr>
            <w:top w:val="none" w:sz="0" w:space="0" w:color="auto"/>
            <w:left w:val="none" w:sz="0" w:space="0" w:color="auto"/>
            <w:bottom w:val="none" w:sz="0" w:space="0" w:color="auto"/>
            <w:right w:val="none" w:sz="0" w:space="0" w:color="auto"/>
          </w:divBdr>
          <w:divsChild>
            <w:div w:id="1902403768">
              <w:marLeft w:val="0"/>
              <w:marRight w:val="0"/>
              <w:marTop w:val="0"/>
              <w:marBottom w:val="0"/>
              <w:divBdr>
                <w:top w:val="none" w:sz="0" w:space="0" w:color="auto"/>
                <w:left w:val="none" w:sz="0" w:space="0" w:color="auto"/>
                <w:bottom w:val="none" w:sz="0" w:space="0" w:color="auto"/>
                <w:right w:val="none" w:sz="0" w:space="0" w:color="auto"/>
              </w:divBdr>
              <w:divsChild>
                <w:div w:id="977145613">
                  <w:marLeft w:val="0"/>
                  <w:marRight w:val="0"/>
                  <w:marTop w:val="0"/>
                  <w:marBottom w:val="0"/>
                  <w:divBdr>
                    <w:top w:val="none" w:sz="0" w:space="0" w:color="auto"/>
                    <w:left w:val="none" w:sz="0" w:space="0" w:color="auto"/>
                    <w:bottom w:val="none" w:sz="0" w:space="0" w:color="auto"/>
                    <w:right w:val="none" w:sz="0" w:space="0" w:color="auto"/>
                  </w:divBdr>
                  <w:divsChild>
                    <w:div w:id="1937665660">
                      <w:marLeft w:val="0"/>
                      <w:marRight w:val="0"/>
                      <w:marTop w:val="0"/>
                      <w:marBottom w:val="0"/>
                      <w:divBdr>
                        <w:top w:val="none" w:sz="0" w:space="0" w:color="auto"/>
                        <w:left w:val="none" w:sz="0" w:space="0" w:color="auto"/>
                        <w:bottom w:val="none" w:sz="0" w:space="0" w:color="auto"/>
                        <w:right w:val="none" w:sz="0" w:space="0" w:color="auto"/>
                      </w:divBdr>
                      <w:divsChild>
                        <w:div w:id="710769342">
                          <w:marLeft w:val="0"/>
                          <w:marRight w:val="0"/>
                          <w:marTop w:val="0"/>
                          <w:marBottom w:val="0"/>
                          <w:divBdr>
                            <w:top w:val="none" w:sz="0" w:space="0" w:color="auto"/>
                            <w:left w:val="none" w:sz="0" w:space="0" w:color="auto"/>
                            <w:bottom w:val="none" w:sz="0" w:space="0" w:color="auto"/>
                            <w:right w:val="none" w:sz="0" w:space="0" w:color="auto"/>
                          </w:divBdr>
                          <w:divsChild>
                            <w:div w:id="1221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6901">
      <w:bodyDiv w:val="1"/>
      <w:marLeft w:val="0"/>
      <w:marRight w:val="0"/>
      <w:marTop w:val="0"/>
      <w:marBottom w:val="0"/>
      <w:divBdr>
        <w:top w:val="none" w:sz="0" w:space="0" w:color="auto"/>
        <w:left w:val="none" w:sz="0" w:space="0" w:color="auto"/>
        <w:bottom w:val="none" w:sz="0" w:space="0" w:color="auto"/>
        <w:right w:val="none" w:sz="0" w:space="0" w:color="auto"/>
      </w:divBdr>
    </w:div>
    <w:div w:id="710421989">
      <w:bodyDiv w:val="1"/>
      <w:marLeft w:val="0"/>
      <w:marRight w:val="0"/>
      <w:marTop w:val="0"/>
      <w:marBottom w:val="0"/>
      <w:divBdr>
        <w:top w:val="none" w:sz="0" w:space="0" w:color="auto"/>
        <w:left w:val="none" w:sz="0" w:space="0" w:color="auto"/>
        <w:bottom w:val="none" w:sz="0" w:space="0" w:color="auto"/>
        <w:right w:val="none" w:sz="0" w:space="0" w:color="auto"/>
      </w:divBdr>
    </w:div>
    <w:div w:id="846214936">
      <w:bodyDiv w:val="1"/>
      <w:marLeft w:val="0"/>
      <w:marRight w:val="0"/>
      <w:marTop w:val="0"/>
      <w:marBottom w:val="0"/>
      <w:divBdr>
        <w:top w:val="none" w:sz="0" w:space="0" w:color="auto"/>
        <w:left w:val="none" w:sz="0" w:space="0" w:color="auto"/>
        <w:bottom w:val="none" w:sz="0" w:space="0" w:color="auto"/>
        <w:right w:val="none" w:sz="0" w:space="0" w:color="auto"/>
      </w:divBdr>
    </w:div>
    <w:div w:id="1423523253">
      <w:bodyDiv w:val="1"/>
      <w:marLeft w:val="0"/>
      <w:marRight w:val="0"/>
      <w:marTop w:val="0"/>
      <w:marBottom w:val="0"/>
      <w:divBdr>
        <w:top w:val="none" w:sz="0" w:space="0" w:color="auto"/>
        <w:left w:val="none" w:sz="0" w:space="0" w:color="auto"/>
        <w:bottom w:val="none" w:sz="0" w:space="0" w:color="auto"/>
        <w:right w:val="none" w:sz="0" w:space="0" w:color="auto"/>
      </w:divBdr>
    </w:div>
    <w:div w:id="1455127466">
      <w:bodyDiv w:val="1"/>
      <w:marLeft w:val="0"/>
      <w:marRight w:val="0"/>
      <w:marTop w:val="0"/>
      <w:marBottom w:val="0"/>
      <w:divBdr>
        <w:top w:val="none" w:sz="0" w:space="0" w:color="auto"/>
        <w:left w:val="none" w:sz="0" w:space="0" w:color="auto"/>
        <w:bottom w:val="none" w:sz="0" w:space="0" w:color="auto"/>
        <w:right w:val="none" w:sz="0" w:space="0" w:color="auto"/>
      </w:divBdr>
    </w:div>
    <w:div w:id="1710911103">
      <w:bodyDiv w:val="1"/>
      <w:marLeft w:val="0"/>
      <w:marRight w:val="0"/>
      <w:marTop w:val="0"/>
      <w:marBottom w:val="0"/>
      <w:divBdr>
        <w:top w:val="none" w:sz="0" w:space="0" w:color="auto"/>
        <w:left w:val="none" w:sz="0" w:space="0" w:color="auto"/>
        <w:bottom w:val="none" w:sz="0" w:space="0" w:color="auto"/>
        <w:right w:val="none" w:sz="0" w:space="0" w:color="auto"/>
      </w:divBdr>
    </w:div>
    <w:div w:id="1779446299">
      <w:bodyDiv w:val="1"/>
      <w:marLeft w:val="0"/>
      <w:marRight w:val="0"/>
      <w:marTop w:val="0"/>
      <w:marBottom w:val="0"/>
      <w:divBdr>
        <w:top w:val="none" w:sz="0" w:space="0" w:color="auto"/>
        <w:left w:val="none" w:sz="0" w:space="0" w:color="auto"/>
        <w:bottom w:val="none" w:sz="0" w:space="0" w:color="auto"/>
        <w:right w:val="none" w:sz="0" w:space="0" w:color="auto"/>
      </w:divBdr>
      <w:divsChild>
        <w:div w:id="766077635">
          <w:marLeft w:val="0"/>
          <w:marRight w:val="0"/>
          <w:marTop w:val="0"/>
          <w:marBottom w:val="0"/>
          <w:divBdr>
            <w:top w:val="none" w:sz="0" w:space="0" w:color="auto"/>
            <w:left w:val="none" w:sz="0" w:space="0" w:color="auto"/>
            <w:bottom w:val="none" w:sz="0" w:space="0" w:color="auto"/>
            <w:right w:val="none" w:sz="0" w:space="0" w:color="auto"/>
          </w:divBdr>
          <w:divsChild>
            <w:div w:id="1049374377">
              <w:marLeft w:val="0"/>
              <w:marRight w:val="0"/>
              <w:marTop w:val="0"/>
              <w:marBottom w:val="0"/>
              <w:divBdr>
                <w:top w:val="none" w:sz="0" w:space="0" w:color="auto"/>
                <w:left w:val="none" w:sz="0" w:space="0" w:color="auto"/>
                <w:bottom w:val="none" w:sz="0" w:space="0" w:color="auto"/>
                <w:right w:val="none" w:sz="0" w:space="0" w:color="auto"/>
              </w:divBdr>
              <w:divsChild>
                <w:div w:id="1890611163">
                  <w:marLeft w:val="0"/>
                  <w:marRight w:val="0"/>
                  <w:marTop w:val="0"/>
                  <w:marBottom w:val="0"/>
                  <w:divBdr>
                    <w:top w:val="none" w:sz="0" w:space="0" w:color="auto"/>
                    <w:left w:val="none" w:sz="0" w:space="0" w:color="auto"/>
                    <w:bottom w:val="none" w:sz="0" w:space="0" w:color="auto"/>
                    <w:right w:val="none" w:sz="0" w:space="0" w:color="auto"/>
                  </w:divBdr>
                  <w:divsChild>
                    <w:div w:id="863372748">
                      <w:marLeft w:val="0"/>
                      <w:marRight w:val="0"/>
                      <w:marTop w:val="0"/>
                      <w:marBottom w:val="0"/>
                      <w:divBdr>
                        <w:top w:val="none" w:sz="0" w:space="0" w:color="auto"/>
                        <w:left w:val="none" w:sz="0" w:space="0" w:color="auto"/>
                        <w:bottom w:val="none" w:sz="0" w:space="0" w:color="auto"/>
                        <w:right w:val="none" w:sz="0" w:space="0" w:color="auto"/>
                      </w:divBdr>
                      <w:divsChild>
                        <w:div w:id="1224297822">
                          <w:marLeft w:val="0"/>
                          <w:marRight w:val="0"/>
                          <w:marTop w:val="0"/>
                          <w:marBottom w:val="0"/>
                          <w:divBdr>
                            <w:top w:val="none" w:sz="0" w:space="0" w:color="auto"/>
                            <w:left w:val="none" w:sz="0" w:space="0" w:color="auto"/>
                            <w:bottom w:val="none" w:sz="0" w:space="0" w:color="auto"/>
                            <w:right w:val="none" w:sz="0" w:space="0" w:color="auto"/>
                          </w:divBdr>
                          <w:divsChild>
                            <w:div w:id="14930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047912">
      <w:bodyDiv w:val="1"/>
      <w:marLeft w:val="0"/>
      <w:marRight w:val="0"/>
      <w:marTop w:val="0"/>
      <w:marBottom w:val="0"/>
      <w:divBdr>
        <w:top w:val="none" w:sz="0" w:space="0" w:color="auto"/>
        <w:left w:val="none" w:sz="0" w:space="0" w:color="auto"/>
        <w:bottom w:val="none" w:sz="0" w:space="0" w:color="auto"/>
        <w:right w:val="none" w:sz="0" w:space="0" w:color="auto"/>
      </w:divBdr>
    </w:div>
    <w:div w:id="2001495150">
      <w:bodyDiv w:val="1"/>
      <w:marLeft w:val="0"/>
      <w:marRight w:val="0"/>
      <w:marTop w:val="0"/>
      <w:marBottom w:val="0"/>
      <w:divBdr>
        <w:top w:val="none" w:sz="0" w:space="0" w:color="auto"/>
        <w:left w:val="none" w:sz="0" w:space="0" w:color="auto"/>
        <w:bottom w:val="none" w:sz="0" w:space="0" w:color="auto"/>
        <w:right w:val="none" w:sz="0" w:space="0" w:color="auto"/>
      </w:divBdr>
    </w:div>
    <w:div w:id="2005282131">
      <w:bodyDiv w:val="1"/>
      <w:marLeft w:val="0"/>
      <w:marRight w:val="0"/>
      <w:marTop w:val="0"/>
      <w:marBottom w:val="0"/>
      <w:divBdr>
        <w:top w:val="none" w:sz="0" w:space="0" w:color="auto"/>
        <w:left w:val="none" w:sz="0" w:space="0" w:color="auto"/>
        <w:bottom w:val="none" w:sz="0" w:space="0" w:color="auto"/>
        <w:right w:val="none" w:sz="0" w:space="0" w:color="auto"/>
      </w:divBdr>
    </w:div>
    <w:div w:id="2023435802">
      <w:bodyDiv w:val="1"/>
      <w:marLeft w:val="0"/>
      <w:marRight w:val="0"/>
      <w:marTop w:val="0"/>
      <w:marBottom w:val="0"/>
      <w:divBdr>
        <w:top w:val="none" w:sz="0" w:space="0" w:color="auto"/>
        <w:left w:val="none" w:sz="0" w:space="0" w:color="auto"/>
        <w:bottom w:val="none" w:sz="0" w:space="0" w:color="auto"/>
        <w:right w:val="none" w:sz="0" w:space="0" w:color="auto"/>
      </w:divBdr>
    </w:div>
    <w:div w:id="21315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DCF86-C26C-400E-85C9-B90D4B161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xiaomin hu</dc:creator>
  <cp:keywords/>
  <dc:description>NE.Ref</dc:description>
  <cp:lastModifiedBy>xiaomin hu</cp:lastModifiedBy>
  <cp:revision>3</cp:revision>
  <cp:lastPrinted>2024-08-02T08:13:00Z</cp:lastPrinted>
  <dcterms:created xsi:type="dcterms:W3CDTF">2024-10-13T11:26:00Z</dcterms:created>
  <dcterms:modified xsi:type="dcterms:W3CDTF">2024-10-13T11:29:00Z</dcterms:modified>
</cp:coreProperties>
</file>