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宋体"/>
          <w:sz w:val="28"/>
          <w:szCs w:val="28"/>
        </w:rPr>
      </w:pPr>
      <w:r>
        <w:rPr>
          <w:rFonts w:hint="eastAsia" w:ascii="仿宋" w:hAnsi="仿宋" w:eastAsia="仿宋" w:cs="宋体"/>
          <w:sz w:val="28"/>
          <w:szCs w:val="28"/>
        </w:rPr>
        <w:t>附</w:t>
      </w:r>
      <w:r>
        <w:rPr>
          <w:rFonts w:hint="eastAsia" w:ascii="仿宋" w:hAnsi="仿宋" w:eastAsia="仿宋" w:cs="宋体"/>
          <w:sz w:val="28"/>
          <w:szCs w:val="28"/>
          <w:lang w:val="en-US" w:eastAsia="zh-CN"/>
        </w:rPr>
        <w:t xml:space="preserve"> </w:t>
      </w:r>
      <w:r>
        <w:rPr>
          <w:rFonts w:hint="eastAsia" w:ascii="仿宋" w:hAnsi="仿宋" w:eastAsia="仿宋" w:cs="宋体"/>
          <w:sz w:val="28"/>
          <w:szCs w:val="28"/>
        </w:rPr>
        <w:t>录</w:t>
      </w:r>
    </w:p>
    <w:p>
      <w:pPr>
        <w:pStyle w:val="11"/>
        <w:rPr>
          <w:rFonts w:hint="eastAsia" w:ascii="Times New Roman" w:hAnsi="Times New Roman" w:eastAsia="黑体" w:cs="Times New Roman"/>
          <w:b w:val="0"/>
          <w:bCs w:val="0"/>
          <w:sz w:val="24"/>
          <w:szCs w:val="24"/>
        </w:rPr>
      </w:pPr>
      <w:bookmarkStart w:id="0" w:name="OLE_LINK5"/>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imes New Roman" w:hAnsi="Times New Roman" w:eastAsia="黑体" w:cs="Times New Roman"/>
          <w:color w:val="000000" w:themeColor="text1"/>
          <w:sz w:val="24"/>
          <w:szCs w:val="24"/>
          <w:lang w:val="en-US" w:eastAsia="zh-CN"/>
          <w14:textFill>
            <w14:solidFill>
              <w14:schemeClr w14:val="tx1"/>
            </w14:solidFill>
          </w14:textFill>
        </w:rPr>
      </w:pPr>
      <w:r>
        <w:rPr>
          <w:rFonts w:hint="eastAsia" w:ascii="Times New Roman" w:hAnsi="Times New Roman" w:eastAsia="黑体" w:cs="Times New Roman"/>
          <w:color w:val="000000" w:themeColor="text1"/>
          <w:sz w:val="24"/>
          <w:szCs w:val="24"/>
          <w:lang w:eastAsia="zh-Hans"/>
          <w14:textFill>
            <w14:solidFill>
              <w14:schemeClr w14:val="tx1"/>
            </w14:solidFill>
          </w14:textFill>
        </w:rPr>
        <w:t>附录</w:t>
      </w:r>
      <w:r>
        <w:rPr>
          <w:rFonts w:hint="eastAsia" w:ascii="Times New Roman" w:hAnsi="Times New Roman" w:eastAsia="黑体" w:cs="Times New Roman"/>
          <w:color w:val="000000" w:themeColor="text1"/>
          <w:sz w:val="24"/>
          <w:szCs w:val="24"/>
          <w:lang w:val="en-US" w:eastAsia="zh-CN"/>
          <w14:textFill>
            <w14:solidFill>
              <w14:schemeClr w14:val="tx1"/>
            </w14:solidFill>
          </w14:textFill>
        </w:rPr>
        <w:t>1</w:t>
      </w:r>
      <w:r>
        <w:rPr>
          <w:rFonts w:hint="eastAsia" w:ascii="Times New Roman" w:hAnsi="Times New Roman" w:eastAsia="黑体" w:cs="Times New Roman"/>
          <w:color w:val="000000" w:themeColor="text1"/>
          <w:sz w:val="24"/>
          <w:szCs w:val="24"/>
          <w:lang w:eastAsia="zh-Hans"/>
          <w14:textFill>
            <w14:solidFill>
              <w14:schemeClr w14:val="tx1"/>
            </w14:solidFill>
          </w14:textFill>
        </w:rPr>
        <w:t xml:space="preserve"> </w:t>
      </w:r>
      <w:bookmarkEnd w:id="0"/>
      <w:r>
        <w:rPr>
          <w:rFonts w:hint="eastAsia" w:ascii="Times New Roman" w:hAnsi="Times New Roman" w:eastAsia="黑体" w:cs="Times New Roman"/>
          <w:color w:val="000000" w:themeColor="text1"/>
          <w:sz w:val="24"/>
          <w:szCs w:val="24"/>
          <w:lang w:val="en-US" w:eastAsia="zh-CN"/>
          <w14:textFill>
            <w14:solidFill>
              <w14:schemeClr w14:val="tx1"/>
            </w14:solidFill>
          </w14:textFill>
        </w:rPr>
        <w:t>实证检验图表</w:t>
      </w:r>
    </w:p>
    <w:p>
      <w:pPr>
        <w:pStyle w:val="11"/>
        <w:rPr>
          <w:rFonts w:hint="default" w:ascii="Times New Roman" w:hAnsi="Times New Roman" w:eastAsia="黑体" w:cs="Times New Roman"/>
          <w:b w:val="0"/>
          <w:bCs w:val="0"/>
          <w:sz w:val="24"/>
          <w:szCs w:val="24"/>
          <w:lang w:val="en-US" w:eastAsia="zh-CN"/>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 xml:space="preserve">表1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 xml:space="preserve">    前定变量分析</w:t>
      </w:r>
    </w:p>
    <w:tbl>
      <w:tblPr>
        <w:tblStyle w:val="4"/>
        <w:tblW w:w="4998" w:type="pct"/>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75" w:type="dxa"/>
          <w:bottom w:w="0" w:type="dxa"/>
          <w:right w:w="75" w:type="dxa"/>
        </w:tblCellMar>
      </w:tblPr>
      <w:tblGrid>
        <w:gridCol w:w="4225"/>
        <w:gridCol w:w="4228"/>
      </w:tblGrid>
      <w:tr>
        <w:trPr>
          <w:jc w:val="center"/>
        </w:trPr>
        <w:tc>
          <w:tcPr>
            <w:tcW w:w="2499"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2500"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处理强度变量</w:t>
            </w:r>
          </w:p>
        </w:tc>
      </w:tr>
      <w:tr>
        <w:trPr>
          <w:jc w:val="center"/>
        </w:trPr>
        <w:tc>
          <w:tcPr>
            <w:tcW w:w="2499" w:type="pct"/>
            <w:vMerge w:val="restart"/>
            <w:tcBorders>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人均GDP对数</w:t>
            </w:r>
          </w:p>
        </w:tc>
        <w:tc>
          <w:tcPr>
            <w:tcW w:w="2500" w:type="pct"/>
            <w:tcBorders>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-0.054***</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(0.012)</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工业总产值对数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0.012</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(0.008)</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第二产业产值对数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-0.006</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(0.015)</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固定资产投资对数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-0.004</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(0.012)</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进出口总额对数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-0.002</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(0.005)</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财政自给率</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-0.154***</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(0.024)</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一般公共预算支出对数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-0.095***</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(0.014)</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政府性基金预算支出对数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0.161***</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(0.007)</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地方政府债务限额对数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-0.003</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(0.009)</w:t>
            </w:r>
          </w:p>
        </w:tc>
      </w:tr>
      <w:tr>
        <w:trPr>
          <w:jc w:val="center"/>
        </w:trPr>
        <w:tc>
          <w:tcPr>
            <w:tcW w:w="2499" w:type="pct"/>
            <w:vMerge w:val="restar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专项债限额对数</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-0.010</w:t>
            </w:r>
          </w:p>
        </w:tc>
      </w:tr>
      <w:tr>
        <w:trPr>
          <w:jc w:val="center"/>
        </w:trPr>
        <w:tc>
          <w:tcPr>
            <w:tcW w:w="2499" w:type="pct"/>
            <w:vMerge w:val="continue"/>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(0.007)</w:t>
            </w:r>
          </w:p>
        </w:tc>
      </w:tr>
      <w:tr>
        <w:trPr>
          <w:trHeight w:val="347" w:hRule="atLeast"/>
          <w:jc w:val="center"/>
        </w:trPr>
        <w:tc>
          <w:tcPr>
            <w:tcW w:w="2499" w:type="pct"/>
            <w:tcBorders>
              <w:top w:val="nil"/>
              <w:bottom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2500" w:type="pct"/>
            <w:tcBorders>
              <w:top w:val="nil"/>
              <w:bottom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708</w:t>
            </w:r>
          </w:p>
        </w:tc>
      </w:tr>
      <w:tr>
        <w:trPr>
          <w:jc w:val="center"/>
        </w:trPr>
        <w:tc>
          <w:tcPr>
            <w:tcW w:w="2499" w:type="pct"/>
            <w:tcBorders>
              <w:top w:val="nil"/>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2500" w:type="pct"/>
            <w:tcBorders>
              <w:top w:val="nil"/>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0.549</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*、**、***分别表示在10%、5%、1%的水平上显著，</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括号内为</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稳健</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标准误。</w:t>
      </w:r>
    </w:p>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14:textFill>
            <w14:solidFill>
              <w14:schemeClr w14:val="tx1"/>
            </w14:solidFill>
          </w14:textFill>
        </w:rPr>
        <w:t xml:space="preserve">表2                         </w:t>
      </w:r>
      <w:r>
        <w:rPr>
          <w:rFonts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平衡性检验</w:t>
      </w:r>
    </w:p>
    <w:tbl>
      <w:tblPr>
        <w:tblStyle w:val="5"/>
        <w:tblW w:w="4998"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50"/>
        <w:gridCol w:w="1496"/>
        <w:gridCol w:w="1510"/>
        <w:gridCol w:w="1511"/>
        <w:gridCol w:w="1552"/>
      </w:tblGrid>
      <w:tr>
        <w:tc>
          <w:tcPr>
            <w:tcW w:w="1438" w:type="pct"/>
            <w:vMerge w:val="restart"/>
            <w:tcBorders>
              <w:top w:val="double" w:color="auto" w:sz="4" w:space="0"/>
            </w:tcBorders>
          </w:tcPr>
          <w:p>
            <w:pPr>
              <w:keepNext w:val="0"/>
              <w:keepLines w:val="0"/>
              <w:pageBreakBefore w:val="0"/>
              <w:kinsoku/>
              <w:wordWrap/>
              <w:overflowPunct/>
              <w:topLinePunct w:val="0"/>
              <w:bidi w:val="0"/>
              <w:spacing w:line="360" w:lineRule="exact"/>
              <w:jc w:val="cente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变量</w:t>
            </w:r>
          </w:p>
        </w:tc>
        <w:tc>
          <w:tcPr>
            <w:tcW w:w="878" w:type="pct"/>
            <w:tcBorders>
              <w:top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处理强度较高组</w:t>
            </w:r>
          </w:p>
        </w:tc>
        <w:tc>
          <w:tcPr>
            <w:tcW w:w="886" w:type="pct"/>
            <w:tcBorders>
              <w:top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处理强度较低组</w:t>
            </w:r>
          </w:p>
        </w:tc>
        <w:tc>
          <w:tcPr>
            <w:tcW w:w="885" w:type="pct"/>
            <w:tcBorders>
              <w:top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Unconditional diff.</w:t>
            </w:r>
          </w:p>
        </w:tc>
        <w:tc>
          <w:tcPr>
            <w:tcW w:w="911" w:type="pct"/>
            <w:tcBorders>
              <w:top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Conditional diff.</w:t>
            </w:r>
          </w:p>
        </w:tc>
      </w:tr>
      <w:tr>
        <w:tc>
          <w:tcPr>
            <w:tcW w:w="1438" w:type="pct"/>
            <w:vMerge w:val="continue"/>
            <w:tcBorders>
              <w:bottom w:val="single" w:color="auto" w:sz="4" w:space="0"/>
            </w:tcBorders>
          </w:tcPr>
          <w:p>
            <w:pPr>
              <w:keepNext w:val="0"/>
              <w:keepLines w:val="0"/>
              <w:pageBreakBefore w:val="0"/>
              <w:kinsoku/>
              <w:wordWrap/>
              <w:overflowPunct/>
              <w:topLinePunct w:val="0"/>
              <w:bidi w:val="0"/>
              <w:spacing w:line="360" w:lineRule="exact"/>
              <w:rPr>
                <w:rFonts w:ascii="Times New Roman Regular" w:hAnsi="Times New Roman Regular" w:eastAsia="宋体" w:cs="Times New Roman Regular"/>
                <w:color w:val="000000" w:themeColor="text1"/>
                <w:sz w:val="18"/>
                <w:szCs w:val="18"/>
                <w14:textFill>
                  <w14:solidFill>
                    <w14:schemeClr w14:val="tx1"/>
                  </w14:solidFill>
                </w14:textFill>
              </w:rPr>
            </w:pPr>
          </w:p>
        </w:tc>
        <w:tc>
          <w:tcPr>
            <w:tcW w:w="878" w:type="pct"/>
            <w:tcBorders>
              <w:bottom w:val="sing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w:t>
            </w:r>
          </w:p>
        </w:tc>
        <w:tc>
          <w:tcPr>
            <w:tcW w:w="886" w:type="pct"/>
            <w:tcBorders>
              <w:bottom w:val="sing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(2)</w:t>
            </w:r>
          </w:p>
        </w:tc>
        <w:tc>
          <w:tcPr>
            <w:tcW w:w="885" w:type="pct"/>
            <w:tcBorders>
              <w:bottom w:val="sing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(3)</w:t>
            </w:r>
          </w:p>
        </w:tc>
        <w:tc>
          <w:tcPr>
            <w:tcW w:w="911" w:type="pct"/>
            <w:tcBorders>
              <w:bottom w:val="sing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(4)</w:t>
            </w:r>
          </w:p>
        </w:tc>
      </w:tr>
      <w:tr>
        <w:tc>
          <w:tcPr>
            <w:tcW w:w="5000" w:type="pct"/>
            <w:gridSpan w:val="5"/>
            <w:tcBorders>
              <w:top w:val="single" w:color="auto" w:sz="4" w:space="0"/>
            </w:tcBorders>
          </w:tcPr>
          <w:p>
            <w:pPr>
              <w:keepNext w:val="0"/>
              <w:keepLines w:val="0"/>
              <w:pageBreakBefore w:val="0"/>
              <w:kinsoku/>
              <w:wordWrap/>
              <w:overflowPunct/>
              <w:topLinePunct w:val="0"/>
              <w:bidi w:val="0"/>
              <w:spacing w:line="360" w:lineRule="exact"/>
              <w:jc w:val="left"/>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Panel A：</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前定变量</w:t>
            </w:r>
          </w:p>
        </w:tc>
      </w:tr>
      <w:tr>
        <w:trPr>
          <w:trHeight w:val="90" w:hRule="atLeast"/>
        </w:trP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人均GDP</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对数</w:t>
            </w: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10.553</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10.584</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-0.196*</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[0.624]</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.672</w:t>
            </w:r>
            <w:r>
              <w:rPr>
                <w:rFonts w:ascii="Times New Roman Regular" w:hAnsi="Times New Roman Regular" w:eastAsia="宋体" w:cs="Times New Roman Regular"/>
                <w:color w:val="000000" w:themeColor="text1"/>
                <w:sz w:val="18"/>
                <w:szCs w:val="18"/>
                <w14:textFill>
                  <w14:solidFill>
                    <w14:schemeClr w14:val="tx1"/>
                  </w14:solidFill>
                </w14:textFill>
              </w:rPr>
              <w:t>]</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(0.100)</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财政自给率</w:t>
            </w: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r>
              <w:rPr>
                <w:rFonts w:ascii="Times New Roman Regular" w:hAnsi="Times New Roman Regular" w:eastAsia="宋体" w:cs="Times New Roman Regular"/>
                <w:color w:val="000000" w:themeColor="text1"/>
                <w:sz w:val="18"/>
                <w:szCs w:val="18"/>
                <w14:textFill>
                  <w14:solidFill>
                    <w14:schemeClr w14:val="tx1"/>
                  </w14:solidFill>
                </w14:textFill>
              </w:rPr>
              <w:t>388</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r>
              <w:rPr>
                <w:rFonts w:ascii="Times New Roman Regular" w:hAnsi="Times New Roman Regular" w:eastAsia="宋体" w:cs="Times New Roman Regular"/>
                <w:color w:val="000000" w:themeColor="text1"/>
                <w:sz w:val="18"/>
                <w:szCs w:val="18"/>
                <w14:textFill>
                  <w14:solidFill>
                    <w14:schemeClr w14:val="tx1"/>
                  </w14:solidFill>
                </w14:textFill>
              </w:rPr>
              <w:t>384</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-0.049</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.282</w:t>
            </w:r>
            <w:r>
              <w:rPr>
                <w:rFonts w:ascii="Times New Roman Regular" w:hAnsi="Times New Roman Regular" w:eastAsia="宋体" w:cs="Times New Roman Regular"/>
                <w:color w:val="000000" w:themeColor="text1"/>
                <w:sz w:val="18"/>
                <w:szCs w:val="18"/>
                <w14:textFill>
                  <w14:solidFill>
                    <w14:schemeClr w14:val="tx1"/>
                  </w14:solidFill>
                </w14:textFill>
              </w:rPr>
              <w:t>]</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.318</w:t>
            </w:r>
            <w:r>
              <w:rPr>
                <w:rFonts w:ascii="Times New Roman Regular" w:hAnsi="Times New Roman Regular" w:eastAsia="宋体" w:cs="Times New Roman Regular"/>
                <w:color w:val="000000" w:themeColor="text1"/>
                <w:sz w:val="18"/>
                <w:szCs w:val="18"/>
                <w14:textFill>
                  <w14:solidFill>
                    <w14:schemeClr w14:val="tx1"/>
                  </w14:solidFill>
                </w14:textFill>
              </w:rPr>
              <w:t>]</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(0.040)</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一般公共预算支出对数</w:t>
            </w: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3</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.538</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3</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.250</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0.899***</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[0.613]</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[0.560]</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(0.081)</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政府性基金预算支出对数</w:t>
            </w: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2</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.180</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.171</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3.549***</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1438" w:type="pct"/>
            <w:vMerge w:val="continue"/>
          </w:tcPr>
          <w:p>
            <w:pPr>
              <w:keepNext w:val="0"/>
              <w:keepLines w:val="0"/>
              <w:pageBreakBefore w:val="0"/>
              <w:kinsoku/>
              <w:wordWrap/>
              <w:overflowPunct/>
              <w:topLinePunct w:val="0"/>
              <w:bidi w:val="0"/>
              <w:spacing w:line="360" w:lineRule="exact"/>
              <w:rPr>
                <w:rFonts w:ascii="Times New Roman Regular" w:hAnsi="Times New Roman Regular" w:eastAsia="宋体" w:cs="Times New Roman Regular"/>
                <w:color w:val="000000" w:themeColor="text1"/>
                <w:sz w:val="18"/>
                <w:szCs w:val="18"/>
                <w14:textFill>
                  <w14:solidFill>
                    <w14:schemeClr w14:val="tx1"/>
                  </w14:solidFill>
                </w14:textFill>
              </w:rPr>
            </w:pPr>
          </w:p>
        </w:tc>
        <w:tc>
          <w:tcPr>
            <w:tcW w:w="878"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.098</w:t>
            </w:r>
            <w:r>
              <w:rPr>
                <w:rFonts w:ascii="Times New Roman Regular" w:hAnsi="Times New Roman Regular" w:eastAsia="宋体" w:cs="Times New Roman Regular"/>
                <w:color w:val="000000" w:themeColor="text1"/>
                <w:sz w:val="18"/>
                <w:szCs w:val="18"/>
                <w14:textFill>
                  <w14:solidFill>
                    <w14:schemeClr w14:val="tx1"/>
                  </w14:solidFill>
                </w14:textFill>
              </w:rPr>
              <w:t>]</w:t>
            </w:r>
          </w:p>
        </w:tc>
        <w:tc>
          <w:tcPr>
            <w:tcW w:w="886"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.803</w:t>
            </w:r>
            <w:r>
              <w:rPr>
                <w:rFonts w:ascii="Times New Roman Regular" w:hAnsi="Times New Roman Regular" w:eastAsia="宋体" w:cs="Times New Roman Regular"/>
                <w:color w:val="000000" w:themeColor="text1"/>
                <w:sz w:val="18"/>
                <w:szCs w:val="18"/>
                <w14:textFill>
                  <w14:solidFill>
                    <w14:schemeClr w14:val="tx1"/>
                  </w14:solidFill>
                </w14:textFill>
              </w:rPr>
              <w:t>]</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(0.146)</w:t>
            </w:r>
          </w:p>
        </w:tc>
        <w:tc>
          <w:tcPr>
            <w:tcW w:w="910" w:type="pct"/>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5000" w:type="pct"/>
            <w:gridSpan w:val="5"/>
          </w:tcPr>
          <w:p>
            <w:pPr>
              <w:keepNext w:val="0"/>
              <w:keepLines w:val="0"/>
              <w:pageBreakBefore w:val="0"/>
              <w:kinsoku/>
              <w:wordWrap/>
              <w:overflowPunct/>
              <w:topLinePunct w:val="0"/>
              <w:bidi w:val="0"/>
              <w:spacing w:line="360" w:lineRule="exact"/>
              <w:jc w:val="left"/>
              <w:rPr>
                <w:rFonts w:ascii="Times New Roman Regular" w:hAnsi="Times New Roman Regular" w:eastAsia="宋体" w:cs="Times New Roman Regular"/>
                <w:color w:val="000000" w:themeColor="text1"/>
                <w:sz w:val="18"/>
                <w:szCs w:val="18"/>
                <w14:textFill>
                  <w14:solidFill>
                    <w14:schemeClr w14:val="tx1"/>
                  </w14:solidFill>
                </w14:textFill>
              </w:rPr>
            </w:pPr>
          </w:p>
        </w:tc>
      </w:tr>
      <w:tr>
        <w:tc>
          <w:tcPr>
            <w:tcW w:w="5000" w:type="pct"/>
            <w:gridSpan w:val="5"/>
          </w:tcPr>
          <w:p>
            <w:pPr>
              <w:keepNext w:val="0"/>
              <w:keepLines w:val="0"/>
              <w:pageBreakBefore w:val="0"/>
              <w:kinsoku/>
              <w:wordWrap/>
              <w:overflowPunct/>
              <w:topLinePunct w:val="0"/>
              <w:bidi w:val="0"/>
              <w:spacing w:line="360" w:lineRule="exact"/>
              <w:jc w:val="left"/>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Panel B：</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其他变量</w:t>
            </w: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工业总产值对数</w:t>
            </w: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5.243</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4.639</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1.838***</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0.113</w:t>
            </w: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[1.457]</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[1.590]</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.207)</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(0.211)</w:t>
            </w: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第二产业产值对数</w:t>
            </w: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4.287</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3.924</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1.074***</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-0.101</w:t>
            </w: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[1.151]</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[1.191]</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(0.157)</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(0.130)</w:t>
            </w: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固定资产投资对数</w:t>
            </w: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5.036</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4.652</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1.181***</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0.064</w:t>
            </w: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[0.875]</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[0.949]</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(0.121)</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(0.106)</w:t>
            </w: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进出口总额对数</w:t>
            </w: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1.695</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1.412</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0.630**</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-0.234</w:t>
            </w: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[1.517]</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[1.403]</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(0.306)</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(0.253)</w:t>
            </w: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地方政府债务限额对数</w:t>
            </w: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3.371</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2.715</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2.215***</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-0.107</w:t>
            </w: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[0.999]</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[1.019]</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(0.173)</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(0.157)</w:t>
            </w:r>
          </w:p>
        </w:tc>
      </w:tr>
      <w:tr>
        <w:tc>
          <w:tcPr>
            <w:tcW w:w="143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专项债限额对数</w:t>
            </w: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2.248</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1.396</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2.868***</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-0.265</w:t>
            </w:r>
          </w:p>
        </w:tc>
      </w:tr>
      <w:tr>
        <w:tc>
          <w:tcPr>
            <w:tcW w:w="1438"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878"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[1.235]</w:t>
            </w:r>
          </w:p>
        </w:tc>
        <w:tc>
          <w:tcPr>
            <w:tcW w:w="886"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[1.119]</w:t>
            </w:r>
          </w:p>
        </w:tc>
        <w:tc>
          <w:tcPr>
            <w:tcW w:w="887"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(0.204)</w:t>
            </w:r>
          </w:p>
        </w:tc>
        <w:tc>
          <w:tcPr>
            <w:tcW w:w="909" w:type="pct"/>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(0.168)</w:t>
            </w:r>
          </w:p>
        </w:tc>
      </w:tr>
      <w:tr>
        <w:tc>
          <w:tcPr>
            <w:tcW w:w="1438"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样本量</w:t>
            </w:r>
          </w:p>
        </w:tc>
        <w:tc>
          <w:tcPr>
            <w:tcW w:w="878" w:type="pct"/>
            <w:tcBorders>
              <w:bottom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1121</w:t>
            </w:r>
          </w:p>
        </w:tc>
        <w:tc>
          <w:tcPr>
            <w:tcW w:w="886" w:type="pct"/>
            <w:tcBorders>
              <w:bottom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1120</w:t>
            </w:r>
          </w:p>
        </w:tc>
        <w:tc>
          <w:tcPr>
            <w:tcW w:w="887" w:type="pct"/>
            <w:tcBorders>
              <w:bottom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c>
          <w:tcPr>
            <w:tcW w:w="909" w:type="pct"/>
            <w:tcBorders>
              <w:bottom w:val="double" w:color="auto" w:sz="4" w:space="0"/>
            </w:tcBorders>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8"/>
                <w:szCs w:val="18"/>
                <w14:textFill>
                  <w14:solidFill>
                    <w14:schemeClr w14:val="tx1"/>
                  </w14:solidFill>
                </w14:textFill>
              </w:rPr>
            </w:pP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14:textFill>
            <w14:solidFill>
              <w14:schemeClr w14:val="tx1"/>
            </w14:solidFill>
          </w14:textFill>
        </w:rPr>
        <w:t xml:space="preserve">表3             </w:t>
      </w:r>
      <w:r>
        <w:rPr>
          <w:rFonts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14:textFill>
            <w14:solidFill>
              <w14:schemeClr w14:val="tx1"/>
            </w14:solidFill>
          </w14:textFill>
        </w:rPr>
        <w:t xml:space="preserve">                 描述性统计</w:t>
      </w:r>
    </w:p>
    <w:tbl>
      <w:tblPr>
        <w:tblStyle w:val="4"/>
        <w:tblW w:w="4998"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77"/>
        <w:gridCol w:w="948"/>
        <w:gridCol w:w="2121"/>
        <w:gridCol w:w="843"/>
        <w:gridCol w:w="933"/>
        <w:gridCol w:w="933"/>
        <w:gridCol w:w="933"/>
        <w:gridCol w:w="933"/>
      </w:tblGrid>
      <w:tr>
        <w:trPr>
          <w:trHeight w:val="287" w:hRule="atLeast"/>
          <w:jc w:val="center"/>
        </w:trPr>
        <w:tc>
          <w:tcPr>
            <w:tcW w:w="2315" w:type="pct"/>
            <w:gridSpan w:val="3"/>
            <w:tcBorders>
              <w:top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变量</w:t>
            </w:r>
          </w:p>
        </w:tc>
        <w:tc>
          <w:tcPr>
            <w:tcW w:w="495" w:type="pct"/>
            <w:tcBorders>
              <w:top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样本量</w:t>
            </w:r>
          </w:p>
        </w:tc>
        <w:tc>
          <w:tcPr>
            <w:tcW w:w="547" w:type="pct"/>
            <w:tcBorders>
              <w:top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均值</w:t>
            </w:r>
          </w:p>
        </w:tc>
        <w:tc>
          <w:tcPr>
            <w:tcW w:w="547" w:type="pct"/>
            <w:tcBorders>
              <w:top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标准差</w:t>
            </w:r>
          </w:p>
        </w:tc>
        <w:tc>
          <w:tcPr>
            <w:tcW w:w="547" w:type="pct"/>
            <w:tcBorders>
              <w:top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最小值</w:t>
            </w:r>
          </w:p>
        </w:tc>
        <w:tc>
          <w:tcPr>
            <w:tcW w:w="547" w:type="pct"/>
            <w:tcBorders>
              <w:top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最大值</w:t>
            </w:r>
          </w:p>
        </w:tc>
      </w:tr>
      <w:tr>
        <w:trPr>
          <w:trHeight w:val="287" w:hRule="atLeast"/>
          <w:jc w:val="center"/>
        </w:trPr>
        <w:tc>
          <w:tcPr>
            <w:tcW w:w="514" w:type="pct"/>
            <w:vMerge w:val="restart"/>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因变量</w:t>
            </w:r>
          </w:p>
        </w:tc>
        <w:tc>
          <w:tcPr>
            <w:tcW w:w="556" w:type="pct"/>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基准回归</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债务率</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13971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2.345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2.619</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59.960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债务细分</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地方政府债务余额（亿元）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14393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40.991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64.519</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1894.050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一般债余额（亿元）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14088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21.717</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30.585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565.930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专项债余额（亿元）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12528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20</w:t>
            </w:r>
            <w:r>
              <w:rPr>
                <w:rFonts w:ascii="Times New Roman Regular" w:hAnsi="Times New Roman Regular" w:eastAsia="宋体" w:cs="Times New Roman Regular"/>
                <w:color w:val="000000" w:themeColor="text1"/>
                <w:sz w:val="15"/>
                <w:szCs w:val="15"/>
                <w:lang w:eastAsia="zh-Hans"/>
                <w14:textFill>
                  <w14:solidFill>
                    <w14:schemeClr w14:val="tx1"/>
                  </w14:solidFill>
                </w14:textFill>
              </w:rPr>
              <w:t>.656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42.675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1328.110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融资平台有息债务</w:t>
            </w:r>
            <w:r>
              <w:rPr>
                <w:rFonts w:hint="eastAsia" w:ascii="Times New Roman Regular" w:hAnsi="Times New Roman Regular" w:eastAsia="宋体" w:cs="Times New Roman Regular"/>
                <w:i/>
                <w:iCs/>
                <w:color w:val="000000" w:themeColor="text1"/>
                <w:kern w:val="0"/>
                <w:sz w:val="15"/>
                <w:szCs w:val="15"/>
                <w:lang w:bidi="ar"/>
                <w14:textFill>
                  <w14:solidFill>
                    <w14:schemeClr w14:val="tx1"/>
                  </w14:solidFill>
                </w14:textFill>
              </w:rPr>
              <w:t>余额</w:t>
            </w: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13971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44.038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153.982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2876.200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财力细分</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一般公共预算收入（亿元）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19383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19.915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41.743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0.130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1173.700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转移性收入（亿元）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4193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32.066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27.724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345.850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政府性基金</w:t>
            </w:r>
            <w:r>
              <w:rPr>
                <w:rFonts w:ascii="Times New Roman Regular" w:hAnsi="Times New Roman Regular" w:eastAsia="宋体" w:cs="Times New Roman Regular"/>
                <w:i/>
                <w:iCs/>
                <w:color w:val="000000" w:themeColor="text1"/>
                <w:kern w:val="0"/>
                <w:sz w:val="15"/>
                <w:szCs w:val="15"/>
                <w:lang w:eastAsia="zh-Hans" w:bidi="ar"/>
                <w14:textFill>
                  <w14:solidFill>
                    <w14:schemeClr w14:val="tx1"/>
                  </w14:solidFill>
                </w14:textFill>
              </w:rPr>
              <w:t>预算</w:t>
            </w: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收入（亿元）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15435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14.560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36.844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861.750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textAlignment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bidi="ar"/>
                <w14:textFill>
                  <w14:solidFill>
                    <w14:schemeClr w14:val="tx1"/>
                  </w14:solidFill>
                </w14:textFill>
              </w:rPr>
              <w:t>国有资本经营收入（亿元）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8419</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0.388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1.747</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69.310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税收收入（亿元）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17885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15.562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36.266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0.040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1040.280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机制变量</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土地成交（宗数）</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21944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26.038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34.482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877.000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土地流拍（宗数）</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20096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2.358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5.878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162.000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土地推出（宗数）</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21888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34.661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43.579</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1797.000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土地出让收入（亿元）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12823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14.948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36.921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844.870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风险表现</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票面利率（%）</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19836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3.495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0.366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2.662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4.283</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专项债限额空间（亿元）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12528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2.204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15.313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576.600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固定资产投资（亿元）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12818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178.899</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202.718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w:t>
            </w:r>
            <w:r>
              <w:rPr>
                <w:rFonts w:ascii="Times New Roman Regular" w:hAnsi="Times New Roman Regular" w:eastAsia="宋体" w:cs="Times New Roman Regular"/>
                <w:color w:val="000000" w:themeColor="text1"/>
                <w:sz w:val="15"/>
                <w:szCs w:val="15"/>
                <w:lang w:eastAsia="zh-Hans"/>
                <w14:textFill>
                  <w14:solidFill>
                    <w14:schemeClr w14:val="tx1"/>
                  </w14:solidFill>
                </w14:textFill>
              </w:rPr>
              <w:t>.000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5780.150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GDP增长率（%）</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17988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6.781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4.041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-45.980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58.100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政府行为</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债券平均期限（年）</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19836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8.889</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3.678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4.833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19.500</w:t>
            </w:r>
          </w:p>
        </w:tc>
      </w:tr>
      <w:tr>
        <w:trPr>
          <w:trHeight w:val="287" w:hRule="atLeast"/>
          <w:jc w:val="center"/>
        </w:trPr>
        <w:tc>
          <w:tcPr>
            <w:tcW w:w="514" w:type="pct"/>
            <w:vMerge w:val="continue"/>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再融资债券占比</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19836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0.097</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0.172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w:t>
            </w:r>
            <w:r>
              <w:rPr>
                <w:rFonts w:ascii="Times New Roman Regular" w:hAnsi="Times New Roman Regular" w:eastAsia="宋体" w:cs="Times New Roman Regular"/>
                <w:color w:val="000000" w:themeColor="text1"/>
                <w:sz w:val="15"/>
                <w:szCs w:val="15"/>
                <w:lang w:eastAsia="zh-Hans"/>
                <w14:textFill>
                  <w14:solidFill>
                    <w14:schemeClr w14:val="tx1"/>
                  </w14:solidFill>
                </w14:textFill>
              </w:rPr>
              <w:t>.000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0.850</w:t>
            </w:r>
          </w:p>
        </w:tc>
      </w:tr>
      <w:tr>
        <w:trPr>
          <w:trHeight w:val="287" w:hRule="atLeast"/>
          <w:jc w:val="center"/>
        </w:trPr>
        <w:tc>
          <w:tcPr>
            <w:tcW w:w="1070" w:type="pct"/>
            <w:gridSpan w:val="2"/>
            <w:vMerge w:val="restart"/>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解释变量</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处理强度</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17928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0.220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0.162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0.974</w:t>
            </w:r>
          </w:p>
        </w:tc>
      </w:tr>
      <w:tr>
        <w:trPr>
          <w:trHeight w:val="287" w:hRule="atLeast"/>
          <w:jc w:val="center"/>
        </w:trPr>
        <w:tc>
          <w:tcPr>
            <w:tcW w:w="1070" w:type="pct"/>
            <w:gridSpan w:val="2"/>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post</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21992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0.500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0.500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1.000</w:t>
            </w:r>
          </w:p>
        </w:tc>
      </w:tr>
      <w:tr>
        <w:trPr>
          <w:trHeight w:val="287" w:hRule="atLeast"/>
          <w:jc w:val="center"/>
        </w:trPr>
        <w:tc>
          <w:tcPr>
            <w:tcW w:w="514" w:type="pct"/>
            <w:vMerge w:val="restart"/>
            <w:tcBorders>
              <w:bottom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控制变量</w:t>
            </w:r>
          </w:p>
        </w:tc>
        <w:tc>
          <w:tcPr>
            <w:tcW w:w="556" w:type="pct"/>
            <w:vMerge w:val="restart"/>
            <w:shd w:val="clear" w:color="auto" w:fill="auto"/>
            <w:noWrap/>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前定变量</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人均GDP（元）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18376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50844.700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40245.580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5880.610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highlight w:val="none"/>
                <w14:textFill>
                  <w14:solidFill>
                    <w14:schemeClr w14:val="tx1"/>
                  </w14:solidFill>
                </w14:textFill>
              </w:rPr>
              <w:t>324068.200</w:t>
            </w:r>
          </w:p>
        </w:tc>
      </w:tr>
      <w:tr>
        <w:trPr>
          <w:trHeight w:val="287" w:hRule="atLeast"/>
          <w:jc w:val="center"/>
        </w:trPr>
        <w:tc>
          <w:tcPr>
            <w:tcW w:w="514" w:type="pct"/>
            <w:vMerge w:val="continue"/>
            <w:tcBorders>
              <w:top w:val="double" w:color="auto" w:sz="4" w:space="0"/>
              <w:bottom w:val="double" w:color="auto" w:sz="4" w:space="0"/>
            </w:tcBorders>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财政自给率</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21872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0.428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0.866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0.018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42.435</w:t>
            </w:r>
          </w:p>
        </w:tc>
      </w:tr>
      <w:tr>
        <w:trPr>
          <w:trHeight w:val="287" w:hRule="atLeast"/>
          <w:jc w:val="center"/>
        </w:trPr>
        <w:tc>
          <w:tcPr>
            <w:tcW w:w="514" w:type="pct"/>
            <w:vMerge w:val="continue"/>
            <w:tcBorders>
              <w:top w:val="double" w:color="auto" w:sz="4" w:space="0"/>
              <w:bottom w:val="double" w:color="auto" w:sz="4" w:space="0"/>
            </w:tcBorders>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一般公共预算支出（亿元）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21872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34.983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40.662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0.443</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1043.107</w:t>
            </w:r>
          </w:p>
        </w:tc>
      </w:tr>
      <w:tr>
        <w:trPr>
          <w:trHeight w:val="287" w:hRule="atLeast"/>
          <w:jc w:val="center"/>
        </w:trPr>
        <w:tc>
          <w:tcPr>
            <w:tcW w:w="514" w:type="pct"/>
            <w:vMerge w:val="continue"/>
            <w:tcBorders>
              <w:top w:val="double" w:color="auto" w:sz="4" w:space="0"/>
              <w:bottom w:val="double" w:color="auto" w:sz="4" w:space="0"/>
            </w:tcBorders>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政府性基金预算支出（亿元）</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21008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9.851</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22.550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377.940</w:t>
            </w:r>
          </w:p>
        </w:tc>
      </w:tr>
      <w:tr>
        <w:trPr>
          <w:trHeight w:val="287" w:hRule="atLeast"/>
          <w:jc w:val="center"/>
        </w:trPr>
        <w:tc>
          <w:tcPr>
            <w:tcW w:w="514" w:type="pct"/>
            <w:vMerge w:val="continue"/>
            <w:tcBorders>
              <w:top w:val="double" w:color="auto" w:sz="4" w:space="0"/>
              <w:bottom w:val="double" w:color="auto" w:sz="4" w:space="0"/>
            </w:tcBorders>
          </w:tcPr>
          <w:p>
            <w:pPr>
              <w:keepNext w:val="0"/>
              <w:keepLines w:val="0"/>
              <w:pageBreakBefore w:val="0"/>
              <w:widowControl/>
              <w:kinsoku/>
              <w:wordWrap/>
              <w:overflowPunct/>
              <w:topLinePunct w:val="0"/>
              <w:bidi w:val="0"/>
              <w:spacing w:line="360" w:lineRule="exac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同期政策</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城投债约束</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10720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0.095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0.215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0.999</w:t>
            </w:r>
          </w:p>
        </w:tc>
      </w:tr>
      <w:tr>
        <w:trPr>
          <w:trHeight w:val="287" w:hRule="atLeast"/>
          <w:jc w:val="center"/>
        </w:trPr>
        <w:tc>
          <w:tcPr>
            <w:tcW w:w="514" w:type="pct"/>
            <w:vMerge w:val="continue"/>
            <w:tcBorders>
              <w:top w:val="double" w:color="auto" w:sz="4" w:space="0"/>
              <w:bottom w:val="double" w:color="auto" w:sz="4" w:space="0"/>
            </w:tcBorders>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减税降费</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21752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0.256</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0.288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0.973</w:t>
            </w:r>
          </w:p>
        </w:tc>
      </w:tr>
      <w:tr>
        <w:trPr>
          <w:trHeight w:val="287" w:hRule="atLeast"/>
          <w:jc w:val="center"/>
        </w:trPr>
        <w:tc>
          <w:tcPr>
            <w:tcW w:w="514" w:type="pct"/>
            <w:vMerge w:val="continue"/>
            <w:tcBorders>
              <w:top w:val="double" w:color="auto" w:sz="4" w:space="0"/>
              <w:bottom w:val="double" w:color="auto" w:sz="4" w:space="0"/>
            </w:tcBorders>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hint="default" w:ascii="Times New Roman Regular" w:hAnsi="Times New Roman Regular" w:eastAsia="宋体" w:cs="Times New Roman Regular"/>
                <w:i/>
                <w:iCs/>
                <w:color w:val="000000" w:themeColor="text1"/>
                <w:kern w:val="0"/>
                <w:sz w:val="15"/>
                <w:szCs w:val="15"/>
                <w:lang w:val="en-US" w:eastAsia="zh-Hans"/>
                <w14:textFill>
                  <w14:solidFill>
                    <w14:schemeClr w14:val="tx1"/>
                  </w14:solidFill>
                </w14:textFill>
              </w:rPr>
            </w:pPr>
            <w:r>
              <w:rPr>
                <w:rFonts w:hint="default" w:ascii="Times New Roman Regular" w:hAnsi="Times New Roman Regular" w:eastAsia="宋体" w:cs="Times New Roman Regular"/>
                <w:i/>
                <w:iCs/>
                <w:color w:val="000000" w:themeColor="text1"/>
                <w:kern w:val="0"/>
                <w:sz w:val="15"/>
                <w:szCs w:val="15"/>
                <w:highlight w:val="none"/>
                <w:lang w:val="en-US" w:eastAsia="zh-Hans"/>
                <w14:textFill>
                  <w14:solidFill>
                    <w14:schemeClr w14:val="tx1"/>
                  </w14:solidFill>
                </w14:textFill>
              </w:rPr>
              <w:t>COVID-19</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21295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0.002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0.034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1.000</w:t>
            </w:r>
          </w:p>
        </w:tc>
      </w:tr>
      <w:tr>
        <w:trPr>
          <w:trHeight w:val="287" w:hRule="atLeast"/>
          <w:jc w:val="center"/>
        </w:trPr>
        <w:tc>
          <w:tcPr>
            <w:tcW w:w="514" w:type="pct"/>
            <w:vMerge w:val="continue"/>
            <w:tcBorders>
              <w:top w:val="double" w:color="auto" w:sz="4" w:space="0"/>
              <w:bottom w:val="double" w:color="auto" w:sz="4" w:space="0"/>
            </w:tcBorders>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restart"/>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异质性</w:t>
            </w: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5"/>
                <w:szCs w:val="15"/>
                <w14:textFill>
                  <w14:solidFill>
                    <w14:schemeClr w14:val="tx1"/>
                  </w14:solidFill>
                </w14:textFill>
              </w:rPr>
              <w:t>城投债存量</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15048</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31.705</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117.994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1806.850</w:t>
            </w:r>
          </w:p>
        </w:tc>
      </w:tr>
      <w:tr>
        <w:trPr>
          <w:trHeight w:val="287" w:hRule="atLeast"/>
          <w:jc w:val="center"/>
        </w:trPr>
        <w:tc>
          <w:tcPr>
            <w:tcW w:w="514" w:type="pct"/>
            <w:vMerge w:val="continue"/>
            <w:tcBorders>
              <w:top w:val="double" w:color="auto" w:sz="4" w:space="0"/>
              <w:bottom w:val="double" w:color="auto" w:sz="4" w:space="0"/>
            </w:tcBorders>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p>
        </w:tc>
        <w:tc>
          <w:tcPr>
            <w:tcW w:w="1245" w:type="pct"/>
            <w:shd w:val="clear" w:color="auto" w:fill="auto"/>
            <w:noWrap/>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5"/>
                <w:szCs w:val="15"/>
                <w14:textFill>
                  <w14:solidFill>
                    <w14:schemeClr w14:val="tx1"/>
                  </w14:solidFill>
                </w14:textFill>
              </w:rPr>
              <w:t>专项债存量</w:t>
            </w:r>
          </w:p>
        </w:tc>
        <w:tc>
          <w:tcPr>
            <w:tcW w:w="495"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12912</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12.437</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28.974</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0.000</w:t>
            </w:r>
          </w:p>
        </w:tc>
        <w:tc>
          <w:tcPr>
            <w:tcW w:w="547" w:type="pct"/>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589.155</w:t>
            </w:r>
          </w:p>
        </w:tc>
      </w:tr>
      <w:tr>
        <w:trPr>
          <w:trHeight w:val="287" w:hRule="atLeast"/>
          <w:jc w:val="center"/>
        </w:trPr>
        <w:tc>
          <w:tcPr>
            <w:tcW w:w="514" w:type="pct"/>
            <w:vMerge w:val="continue"/>
            <w:tcBorders>
              <w:top w:val="double" w:color="auto" w:sz="4" w:space="0"/>
              <w:bottom w:val="double" w:color="auto" w:sz="4" w:space="0"/>
            </w:tcBorders>
            <w:vAlign w:val="center"/>
          </w:tcPr>
          <w:p>
            <w:pPr>
              <w:keepNext w:val="0"/>
              <w:keepLines w:val="0"/>
              <w:pageBreakBefore w:val="0"/>
              <w:widowControl/>
              <w:kinsoku/>
              <w:wordWrap/>
              <w:overflowPunct/>
              <w:topLinePunct w:val="0"/>
              <w:bidi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56" w:type="pct"/>
            <w:vMerge w:val="continue"/>
            <w:tcBorders>
              <w:bottom w:val="double" w:color="auto" w:sz="4" w:space="0"/>
            </w:tcBorders>
            <w:vAlign w:val="center"/>
          </w:tcPr>
          <w:p>
            <w:pPr>
              <w:keepNext w:val="0"/>
              <w:keepLines w:val="0"/>
              <w:pageBreakBefore w:val="0"/>
              <w:widowControl/>
              <w:kinsoku/>
              <w:wordWrap/>
              <w:overflowPunct/>
              <w:topLinePunct w:val="0"/>
              <w:bidi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p>
        </w:tc>
        <w:tc>
          <w:tcPr>
            <w:tcW w:w="1245" w:type="pct"/>
            <w:tcBorders>
              <w:bottom w:val="double" w:color="auto" w:sz="4" w:space="0"/>
            </w:tcBorders>
            <w:shd w:val="clear" w:color="auto" w:fill="auto"/>
            <w:noWrap/>
            <w:vAlign w:val="center"/>
          </w:tcPr>
          <w:p>
            <w:pPr>
              <w:keepNext w:val="0"/>
              <w:keepLines w:val="0"/>
              <w:pageBreakBefore w:val="0"/>
              <w:widowControl/>
              <w:kinsoku/>
              <w:wordWrap/>
              <w:overflowPunct/>
              <w:topLinePunct w:val="0"/>
              <w:bidi w:val="0"/>
              <w:spacing w:line="360" w:lineRule="exact"/>
              <w:jc w:val="left"/>
              <w:rPr>
                <w:rFonts w:hint="eastAsia" w:ascii="Times New Roman Regular" w:hAnsi="Times New Roman Regular" w:eastAsia="宋体" w:cs="Times New Roman Regular"/>
                <w:i/>
                <w:iCs/>
                <w:color w:val="000000" w:themeColor="text1"/>
                <w:kern w:val="0"/>
                <w:sz w:val="15"/>
                <w:szCs w:val="15"/>
                <w:lang w:eastAsia="zh-CN"/>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5"/>
                <w:szCs w:val="15"/>
                <w:lang w:eastAsia="zh-CN"/>
                <w14:textFill>
                  <w14:solidFill>
                    <w14:schemeClr w14:val="tx1"/>
                  </w14:solidFill>
                </w14:textFill>
              </w:rPr>
              <w:t>财政收入质量</w:t>
            </w:r>
          </w:p>
        </w:tc>
        <w:tc>
          <w:tcPr>
            <w:tcW w:w="495" w:type="pct"/>
            <w:tcBorders>
              <w:bottom w:val="double" w:color="auto" w:sz="4" w:space="0"/>
            </w:tcBorders>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21752</w:t>
            </w:r>
          </w:p>
        </w:tc>
        <w:tc>
          <w:tcPr>
            <w:tcW w:w="547" w:type="pct"/>
            <w:tcBorders>
              <w:bottom w:val="double" w:color="auto" w:sz="4" w:space="0"/>
            </w:tcBorders>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0.512</w:t>
            </w:r>
          </w:p>
        </w:tc>
        <w:tc>
          <w:tcPr>
            <w:tcW w:w="547" w:type="pct"/>
            <w:tcBorders>
              <w:bottom w:val="double" w:color="auto" w:sz="4" w:space="0"/>
            </w:tcBorders>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0.185</w:t>
            </w:r>
          </w:p>
        </w:tc>
        <w:tc>
          <w:tcPr>
            <w:tcW w:w="547" w:type="pct"/>
            <w:tcBorders>
              <w:bottom w:val="double" w:color="auto" w:sz="4" w:space="0"/>
            </w:tcBorders>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0.027</w:t>
            </w:r>
          </w:p>
        </w:tc>
        <w:tc>
          <w:tcPr>
            <w:tcW w:w="547" w:type="pct"/>
            <w:tcBorders>
              <w:bottom w:val="double" w:color="auto" w:sz="4" w:space="0"/>
            </w:tcBorders>
            <w:shd w:val="clear" w:color="auto" w:fill="auto"/>
            <w:noWrap/>
            <w:vAlign w:val="center"/>
          </w:tcPr>
          <w:p>
            <w:pPr>
              <w:keepNext w:val="0"/>
              <w:keepLines w:val="0"/>
              <w:pageBreakBefore w:val="0"/>
              <w:kinsoku/>
              <w:wordWrap/>
              <w:overflowPunct/>
              <w:topLinePunct w:val="0"/>
              <w:bidi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0.973</w:t>
            </w:r>
          </w:p>
        </w:tc>
      </w:tr>
    </w:tbl>
    <w:p>
      <w:pPr>
        <w:keepNext w:val="0"/>
        <w:keepLines w:val="0"/>
        <w:pageBreakBefore w:val="0"/>
        <w:kinsoku/>
        <w:wordWrap/>
        <w:overflowPunct/>
        <w:topLinePunct w:val="0"/>
        <w:bidi w:val="0"/>
        <w:spacing w:line="360" w:lineRule="exact"/>
        <w:rPr>
          <w:rFonts w:hint="eastAsia" w:ascii="黑体" w:hAnsi="黑体" w:eastAsia="黑体" w:cs="黑体"/>
          <w:color w:val="000000" w:themeColor="text1"/>
          <w:sz w:val="18"/>
          <w:szCs w:val="18"/>
          <w:lang w:val="en-US" w:eastAsia="zh-CN"/>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4</w:t>
      </w:r>
      <w:r>
        <w:rPr>
          <w:rFonts w:hint="eastAsia" w:ascii="黑体" w:hAnsi="黑体" w:eastAsia="黑体" w:cs="黑体"/>
          <w:color w:val="000000" w:themeColor="text1"/>
          <w:sz w:val="18"/>
          <w:szCs w:val="18"/>
          <w14:textFill>
            <w14:solidFill>
              <w14:schemeClr w14:val="tx1"/>
            </w14:solidFill>
          </w14:textFill>
        </w:rPr>
        <w:t xml:space="preserve">       </w:t>
      </w:r>
      <w:r>
        <w:rPr>
          <w:rFonts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 xml:space="preserve">  </w:t>
      </w:r>
      <w:r>
        <w:rPr>
          <w:rFonts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稳健性检验</w:t>
      </w:r>
      <w:r>
        <w:rPr>
          <w:rFonts w:hint="eastAsia" w:ascii="黑体" w:hAnsi="黑体" w:eastAsia="黑体" w:cs="黑体"/>
          <w:color w:val="000000" w:themeColor="text1"/>
          <w:sz w:val="18"/>
          <w:szCs w:val="18"/>
          <w14:textFill>
            <w14:solidFill>
              <w14:schemeClr w14:val="tx1"/>
            </w14:solidFill>
          </w14:textFill>
        </w:rPr>
        <w:t>：</w:t>
      </w:r>
      <w:r>
        <w:rPr>
          <w:rFonts w:hint="eastAsia" w:ascii="黑体" w:hAnsi="黑体" w:eastAsia="黑体" w:cs="黑体"/>
          <w:color w:val="000000" w:themeColor="text1"/>
          <w:sz w:val="18"/>
          <w:szCs w:val="18"/>
          <w:lang w:eastAsia="zh-Hans"/>
          <w14:textFill>
            <w14:solidFill>
              <w14:schemeClr w14:val="tx1"/>
            </w14:solidFill>
          </w14:textFill>
        </w:rPr>
        <w:t>更换处理强度变量设置方式</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383"/>
        <w:gridCol w:w="1517"/>
        <w:gridCol w:w="1517"/>
        <w:gridCol w:w="1517"/>
        <w:gridCol w:w="1519"/>
      </w:tblGrid>
      <w:tr>
        <w:trPr>
          <w:jc w:val="center"/>
        </w:trPr>
        <w:tc>
          <w:tcPr>
            <w:tcW w:w="1410"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3589" w:type="pct"/>
            <w:gridSpan w:val="4"/>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债务率</w:t>
            </w:r>
          </w:p>
        </w:tc>
      </w:tr>
      <w:tr>
        <w:trPr>
          <w:jc w:val="center"/>
        </w:trPr>
        <w:tc>
          <w:tcPr>
            <w:tcW w:w="1410" w:type="pct"/>
            <w:vMerge w:val="restar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处理强度平均数以上作为处理组</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处理强度较高1/2作为处理组</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处理强度较高1/3作为处理组</w:t>
            </w:r>
          </w:p>
        </w:tc>
        <w:tc>
          <w:tcPr>
            <w:tcW w:w="898" w:type="pct"/>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处理强度较高1/4作为处理组</w:t>
            </w:r>
          </w:p>
        </w:tc>
      </w:tr>
      <w:tr>
        <w:trPr>
          <w:jc w:val="center"/>
        </w:trPr>
        <w:tc>
          <w:tcPr>
            <w:tcW w:w="1410"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9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89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89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898"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(4)</w:t>
            </w:r>
          </w:p>
        </w:tc>
      </w:tr>
      <w:tr>
        <w:trPr>
          <w:jc w:val="center"/>
        </w:trPr>
        <w:tc>
          <w:tcPr>
            <w:tcW w:w="1410"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897"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0.322***</w:t>
            </w:r>
          </w:p>
        </w:tc>
        <w:tc>
          <w:tcPr>
            <w:tcW w:w="897"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0.226*</w:t>
            </w:r>
          </w:p>
        </w:tc>
        <w:tc>
          <w:tcPr>
            <w:tcW w:w="897"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0.333**</w:t>
            </w:r>
          </w:p>
        </w:tc>
        <w:tc>
          <w:tcPr>
            <w:tcW w:w="89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0.394**</w:t>
            </w:r>
          </w:p>
        </w:tc>
      </w:tr>
      <w:tr>
        <w:trPr>
          <w:jc w:val="center"/>
        </w:trPr>
        <w:tc>
          <w:tcPr>
            <w:tcW w:w="1410"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9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(0.122)</w:t>
            </w:r>
          </w:p>
        </w:tc>
        <w:tc>
          <w:tcPr>
            <w:tcW w:w="89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(0.118)</w:t>
            </w:r>
          </w:p>
        </w:tc>
        <w:tc>
          <w:tcPr>
            <w:tcW w:w="89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(0.139)</w:t>
            </w:r>
          </w:p>
        </w:tc>
        <w:tc>
          <w:tcPr>
            <w:tcW w:w="89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(0.155)</w:t>
            </w:r>
          </w:p>
        </w:tc>
      </w:tr>
      <w:tr>
        <w:trPr>
          <w:trHeight w:val="90" w:hRule="atLeast"/>
          <w:jc w:val="center"/>
        </w:trPr>
        <w:tc>
          <w:tcPr>
            <w:tcW w:w="141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89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41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8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89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41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控制变量×year dummy</w:t>
            </w:r>
          </w:p>
        </w:tc>
        <w:tc>
          <w:tcPr>
            <w:tcW w:w="1542"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542"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542"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54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41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89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89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89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89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r>
      <w:tr>
        <w:trPr>
          <w:jc w:val="center"/>
        </w:trPr>
        <w:tc>
          <w:tcPr>
            <w:tcW w:w="1410"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89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0.687</w:t>
            </w:r>
          </w:p>
        </w:tc>
        <w:tc>
          <w:tcPr>
            <w:tcW w:w="89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0.687</w:t>
            </w:r>
          </w:p>
        </w:tc>
        <w:tc>
          <w:tcPr>
            <w:tcW w:w="89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0.687</w:t>
            </w:r>
          </w:p>
        </w:tc>
        <w:tc>
          <w:tcPr>
            <w:tcW w:w="89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0.687</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5</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稳健性检验：排除同期政策干扰</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598"/>
        <w:gridCol w:w="1463"/>
        <w:gridCol w:w="1463"/>
        <w:gridCol w:w="1463"/>
        <w:gridCol w:w="1466"/>
      </w:tblGrid>
      <w:tr>
        <w:trPr>
          <w:jc w:val="center"/>
        </w:trPr>
        <w:tc>
          <w:tcPr>
            <w:tcW w:w="1537"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3462" w:type="pct"/>
            <w:gridSpan w:val="4"/>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债务</w:t>
            </w: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率</w:t>
            </w:r>
          </w:p>
        </w:tc>
      </w:tr>
      <w:tr>
        <w:trPr>
          <w:jc w:val="center"/>
        </w:trPr>
        <w:tc>
          <w:tcPr>
            <w:tcW w:w="1537"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865"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865"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867"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(4)</w:t>
            </w:r>
          </w:p>
        </w:tc>
      </w:tr>
      <w:tr>
        <w:trPr>
          <w:jc w:val="center"/>
        </w:trPr>
        <w:tc>
          <w:tcPr>
            <w:tcW w:w="1537"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865"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1.600***</w:t>
            </w:r>
          </w:p>
        </w:tc>
        <w:tc>
          <w:tcPr>
            <w:tcW w:w="865"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1.312***</w:t>
            </w:r>
          </w:p>
        </w:tc>
        <w:tc>
          <w:tcPr>
            <w:tcW w:w="865"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1.274***</w:t>
            </w:r>
          </w:p>
        </w:tc>
        <w:tc>
          <w:tcPr>
            <w:tcW w:w="867"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1.790***</w:t>
            </w:r>
          </w:p>
        </w:tc>
      </w:tr>
      <w:tr>
        <w:trPr>
          <w:jc w:val="center"/>
        </w:trPr>
        <w:tc>
          <w:tcPr>
            <w:tcW w:w="153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(0.553)</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(0.459)</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(0.451)</w:t>
            </w: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(0.547)</w:t>
            </w:r>
          </w:p>
        </w:tc>
      </w:tr>
      <w:tr>
        <w:trPr>
          <w:jc w:val="center"/>
        </w:trPr>
        <w:tc>
          <w:tcPr>
            <w:tcW w:w="153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城投债约束</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0.520</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0.467</w:t>
            </w:r>
          </w:p>
        </w:tc>
      </w:tr>
      <w:tr>
        <w:trPr>
          <w:jc w:val="center"/>
        </w:trPr>
        <w:tc>
          <w:tcPr>
            <w:tcW w:w="153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(0.323)</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(0.325)</w:t>
            </w:r>
          </w:p>
        </w:tc>
      </w:tr>
      <w:tr>
        <w:trPr>
          <w:jc w:val="center"/>
        </w:trPr>
        <w:tc>
          <w:tcPr>
            <w:tcW w:w="153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减税降费</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-1.261***</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-1.229***</w:t>
            </w:r>
          </w:p>
        </w:tc>
      </w:tr>
      <w:tr>
        <w:trPr>
          <w:jc w:val="center"/>
        </w:trPr>
        <w:tc>
          <w:tcPr>
            <w:tcW w:w="153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(0.320)</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(0.361)</w:t>
            </w:r>
          </w:p>
        </w:tc>
      </w:tr>
      <w:tr>
        <w:trPr>
          <w:jc w:val="center"/>
        </w:trPr>
        <w:tc>
          <w:tcPr>
            <w:tcW w:w="153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COVID-19</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0.612*</w:t>
            </w: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0.418</w:t>
            </w:r>
          </w:p>
        </w:tc>
      </w:tr>
      <w:tr>
        <w:trPr>
          <w:jc w:val="center"/>
        </w:trPr>
        <w:tc>
          <w:tcPr>
            <w:tcW w:w="153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(0.313)</w:t>
            </w:r>
          </w:p>
        </w:tc>
        <w:tc>
          <w:tcPr>
            <w:tcW w:w="86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(0.368)</w:t>
            </w:r>
          </w:p>
        </w:tc>
      </w:tr>
      <w:tr>
        <w:trPr>
          <w:jc w:val="center"/>
        </w:trPr>
        <w:tc>
          <w:tcPr>
            <w:tcW w:w="1537"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86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537"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865"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86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537"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控制变量×year dummy</w:t>
            </w:r>
          </w:p>
        </w:tc>
        <w:tc>
          <w:tcPr>
            <w:tcW w:w="1487"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487"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487"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491"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537"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6500</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10093</w:t>
            </w:r>
          </w:p>
        </w:tc>
        <w:tc>
          <w:tcPr>
            <w:tcW w:w="865"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9869</w:t>
            </w:r>
          </w:p>
        </w:tc>
        <w:tc>
          <w:tcPr>
            <w:tcW w:w="86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6360</w:t>
            </w:r>
          </w:p>
        </w:tc>
      </w:tr>
      <w:tr>
        <w:trPr>
          <w:jc w:val="center"/>
        </w:trPr>
        <w:tc>
          <w:tcPr>
            <w:tcW w:w="1537"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865"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0.658</w:t>
            </w:r>
          </w:p>
        </w:tc>
        <w:tc>
          <w:tcPr>
            <w:tcW w:w="865"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0.688</w:t>
            </w:r>
          </w:p>
        </w:tc>
        <w:tc>
          <w:tcPr>
            <w:tcW w:w="865"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0.693</w:t>
            </w:r>
          </w:p>
        </w:tc>
        <w:tc>
          <w:tcPr>
            <w:tcW w:w="86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0.667</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6</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 xml:space="preserve"> 稳健性检验：排除2015年干扰</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036"/>
        <w:gridCol w:w="1603"/>
        <w:gridCol w:w="1603"/>
        <w:gridCol w:w="1603"/>
        <w:gridCol w:w="1608"/>
      </w:tblGrid>
      <w:tr>
        <w:trPr>
          <w:jc w:val="center"/>
        </w:trPr>
        <w:tc>
          <w:tcPr>
            <w:tcW w:w="1204"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3795" w:type="pct"/>
            <w:gridSpan w:val="4"/>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债务率</w:t>
            </w:r>
          </w:p>
        </w:tc>
      </w:tr>
      <w:tr>
        <w:trPr>
          <w:jc w:val="center"/>
        </w:trPr>
        <w:tc>
          <w:tcPr>
            <w:tcW w:w="1204"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48"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(1)</w:t>
            </w:r>
          </w:p>
        </w:tc>
        <w:tc>
          <w:tcPr>
            <w:tcW w:w="948"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(2)</w:t>
            </w:r>
          </w:p>
        </w:tc>
        <w:tc>
          <w:tcPr>
            <w:tcW w:w="948"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(3)</w:t>
            </w:r>
          </w:p>
        </w:tc>
        <w:tc>
          <w:tcPr>
            <w:tcW w:w="951"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(4)</w:t>
            </w:r>
          </w:p>
        </w:tc>
      </w:tr>
      <w:tr>
        <w:trPr>
          <w:jc w:val="center"/>
        </w:trPr>
        <w:tc>
          <w:tcPr>
            <w:tcW w:w="1204"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1.080**</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1.082**</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0.930*</w:t>
            </w:r>
          </w:p>
        </w:tc>
        <w:tc>
          <w:tcPr>
            <w:tcW w:w="951"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0.921*</w:t>
            </w:r>
          </w:p>
        </w:tc>
      </w:tr>
      <w:tr>
        <w:trPr>
          <w:jc w:val="center"/>
        </w:trPr>
        <w:tc>
          <w:tcPr>
            <w:tcW w:w="1204"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(0.444)</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(0.441)</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(0.482)</w:t>
            </w:r>
          </w:p>
        </w:tc>
        <w:tc>
          <w:tcPr>
            <w:tcW w:w="95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(0.482)</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948"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948"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948"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951"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948"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948"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948"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951"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变量×year dummy</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9549</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9438</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9375</w:t>
            </w:r>
          </w:p>
        </w:tc>
        <w:tc>
          <w:tcPr>
            <w:tcW w:w="95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9265</w:t>
            </w:r>
          </w:p>
        </w:tc>
      </w:tr>
      <w:tr>
        <w:trPr>
          <w:jc w:val="center"/>
        </w:trPr>
        <w:tc>
          <w:tcPr>
            <w:tcW w:w="1204"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0.696</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0.699</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0.697</w:t>
            </w:r>
          </w:p>
        </w:tc>
        <w:tc>
          <w:tcPr>
            <w:tcW w:w="951"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0.701</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第（1）列仅删除2015年样本进行回归；第（2）列删除2015年及以前样本进行回归；第（3）列在计算处理强度变量时排除2015年，且仅删除2015年样本进行回归；第（4）列在计算处理强度变量时排除2015年，且删除2015年及以前样本进行回归。</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其他说明</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hint="default" w:ascii="Times New Roman Regular" w:hAnsi="Times New Roman Regular" w:eastAsia="宋体" w:cs="Times New Roman Regular"/>
          <w:color w:val="000000" w:themeColor="text1"/>
          <w:sz w:val="18"/>
          <w:szCs w:val="18"/>
          <w:lang w:val="en-US" w:eastAsia="zh-CN"/>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7</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 xml:space="preserve"> 稳健性检验：将30个特定城市作为处理组</w:t>
      </w:r>
    </w:p>
    <w:tbl>
      <w:tblPr>
        <w:tblStyle w:val="4"/>
        <w:tblW w:w="4997"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1568"/>
        <w:gridCol w:w="1144"/>
        <w:gridCol w:w="1144"/>
        <w:gridCol w:w="1145"/>
        <w:gridCol w:w="1145"/>
        <w:gridCol w:w="1145"/>
        <w:gridCol w:w="1160"/>
      </w:tblGrid>
      <w:tr>
        <w:trPr>
          <w:jc w:val="center"/>
        </w:trPr>
        <w:tc>
          <w:tcPr>
            <w:tcW w:w="928"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4071" w:type="pct"/>
            <w:gridSpan w:val="6"/>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债务率</w:t>
            </w:r>
          </w:p>
        </w:tc>
      </w:tr>
      <w:tr>
        <w:trPr>
          <w:jc w:val="center"/>
        </w:trPr>
        <w:tc>
          <w:tcPr>
            <w:tcW w:w="928"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67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(1)</w:t>
            </w:r>
          </w:p>
        </w:tc>
        <w:tc>
          <w:tcPr>
            <w:tcW w:w="67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(2)</w:t>
            </w:r>
          </w:p>
        </w:tc>
        <w:tc>
          <w:tcPr>
            <w:tcW w:w="67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(3)</w:t>
            </w:r>
          </w:p>
        </w:tc>
        <w:tc>
          <w:tcPr>
            <w:tcW w:w="67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(4)</w:t>
            </w:r>
          </w:p>
        </w:tc>
        <w:tc>
          <w:tcPr>
            <w:tcW w:w="677"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w:t>
            </w: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5</w:t>
            </w: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w:t>
            </w:r>
          </w:p>
        </w:tc>
        <w:tc>
          <w:tcPr>
            <w:tcW w:w="684" w:type="pct"/>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w:t>
            </w: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6</w:t>
            </w: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w:t>
            </w:r>
          </w:p>
        </w:tc>
      </w:tr>
      <w:tr>
        <w:trPr>
          <w:jc w:val="center"/>
        </w:trPr>
        <w:tc>
          <w:tcPr>
            <w:tcW w:w="928"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0.903**</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1.151**</w:t>
            </w:r>
          </w:p>
        </w:tc>
        <w:tc>
          <w:tcPr>
            <w:tcW w:w="68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1.197***</w:t>
            </w:r>
          </w:p>
        </w:tc>
      </w:tr>
      <w:tr>
        <w:trPr>
          <w:jc w:val="center"/>
        </w:trPr>
        <w:tc>
          <w:tcPr>
            <w:tcW w:w="928"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(0.388)</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(0.454)</w:t>
            </w:r>
          </w:p>
        </w:tc>
        <w:tc>
          <w:tcPr>
            <w:tcW w:w="684"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(0.451)</w:t>
            </w:r>
          </w:p>
        </w:tc>
      </w:tr>
      <w:tr>
        <w:trPr>
          <w:jc w:val="center"/>
        </w:trPr>
        <w:tc>
          <w:tcPr>
            <w:tcW w:w="92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i/>
                <w:iCs/>
                <w:color w:val="000000" w:themeColor="text1"/>
                <w:kern w:val="0"/>
                <w:sz w:val="18"/>
                <w:szCs w:val="18"/>
                <w:lang w:val="en-US" w:eastAsia="zh-CN" w:bidi="ar-SA"/>
                <w14:textFill>
                  <w14:solidFill>
                    <w14:schemeClr w14:val="tx1"/>
                  </w14:solidFill>
                </w14:textFill>
              </w:rPr>
            </w:pPr>
            <w:r>
              <w:rPr>
                <w:rFonts w:hint="eastAsia" w:ascii="Times New Roman Regular" w:hAnsi="Times New Roman Regular" w:eastAsia="宋体" w:cs="Times New Roman Regular"/>
                <w:i/>
                <w:iCs/>
                <w:color w:val="000000" w:themeColor="text1"/>
                <w:kern w:val="0"/>
                <w:sz w:val="18"/>
                <w:szCs w:val="18"/>
                <w:lang w:val="en-US" w:eastAsia="zh-CN"/>
                <w14:textFill>
                  <w14:solidFill>
                    <w14:schemeClr w14:val="tx1"/>
                  </w14:solidFill>
                </w14:textFill>
              </w:rPr>
              <w:t>30个城市政策冲击</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0.208</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0.285**</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0.273**</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-0.08</w:t>
            </w: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5</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0.050</w:t>
            </w:r>
          </w:p>
        </w:tc>
        <w:tc>
          <w:tcPr>
            <w:tcW w:w="68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0.02</w:t>
            </w: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4</w:t>
            </w:r>
          </w:p>
        </w:tc>
      </w:tr>
      <w:tr>
        <w:trPr>
          <w:jc w:val="center"/>
        </w:trPr>
        <w:tc>
          <w:tcPr>
            <w:tcW w:w="92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(0.130)</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(0.138)</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(0.137)</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(0.150)</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(0.157)</w:t>
            </w:r>
          </w:p>
        </w:tc>
        <w:tc>
          <w:tcPr>
            <w:tcW w:w="68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bidi="ar-SA"/>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(0.157)</w:t>
            </w:r>
          </w:p>
        </w:tc>
      </w:tr>
      <w:tr>
        <w:trPr>
          <w:jc w:val="center"/>
        </w:trPr>
        <w:tc>
          <w:tcPr>
            <w:tcW w:w="92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92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928"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928"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r>
              <w:rPr>
                <w:rFonts w:ascii="Times New Roman Regular" w:hAnsi="Times New Roman Regular" w:eastAsia="宋体" w:cs="Times New Roman Regular"/>
                <w:color w:val="000000" w:themeColor="text1"/>
                <w:kern w:val="0"/>
                <w:sz w:val="18"/>
                <w:szCs w:val="18"/>
                <w:vertAlign w:val="superscript"/>
                <w14:textFill>
                  <w14:solidFill>
                    <w14:schemeClr w14:val="tx1"/>
                  </w14:solidFill>
                </w14:textFill>
              </w:rPr>
              <w:t>2</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928"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r>
              <w:rPr>
                <w:rFonts w:ascii="Times New Roman Regular" w:hAnsi="Times New Roman Regular" w:eastAsia="宋体" w:cs="Times New Roman Regular"/>
                <w:color w:val="000000" w:themeColor="text1"/>
                <w:kern w:val="0"/>
                <w:sz w:val="18"/>
                <w:szCs w:val="18"/>
                <w:vertAlign w:val="superscript"/>
                <w14:textFill>
                  <w14:solidFill>
                    <w14:schemeClr w14:val="tx1"/>
                  </w14:solidFill>
                </w14:textFill>
              </w:rPr>
              <w:t>3</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928"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变量×post</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92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变量×year dummy</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677" w:type="pct"/>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44"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159"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92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3756</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3756</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3756</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677"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68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r>
      <w:tr>
        <w:trPr>
          <w:jc w:val="center"/>
        </w:trPr>
        <w:tc>
          <w:tcPr>
            <w:tcW w:w="928"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67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0.753</w:t>
            </w:r>
          </w:p>
        </w:tc>
        <w:tc>
          <w:tcPr>
            <w:tcW w:w="67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0.747</w:t>
            </w:r>
          </w:p>
        </w:tc>
        <w:tc>
          <w:tcPr>
            <w:tcW w:w="67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0.754</w:t>
            </w:r>
          </w:p>
        </w:tc>
        <w:tc>
          <w:tcPr>
            <w:tcW w:w="67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0.686</w:t>
            </w:r>
          </w:p>
        </w:tc>
        <w:tc>
          <w:tcPr>
            <w:tcW w:w="677"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0.679</w:t>
            </w:r>
          </w:p>
        </w:tc>
        <w:tc>
          <w:tcPr>
            <w:tcW w:w="684"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0.687</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注：为关注30个明确受到</w:t>
      </w:r>
      <w:r>
        <w:rPr>
          <w:rFonts w:hint="eastAsia" w:ascii="Times New Roman Regular" w:hAnsi="Times New Roman Regular" w:eastAsia="宋体" w:cs="Times New Roman Regular"/>
          <w:color w:val="000000" w:themeColor="text1"/>
          <w:sz w:val="18"/>
          <w:szCs w:val="18"/>
          <w:lang w:eastAsia="zh-CN"/>
          <w14:textFill>
            <w14:solidFill>
              <w14:schemeClr w14:val="tx1"/>
            </w14:solidFill>
          </w14:textFill>
        </w:rPr>
        <w:t>《关于在部分城市先行开展打击侵害群众利益违法违规行为 治理房地产市场乱象专项行动的通知》</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政策影响的城市样本的反应情况，本文重新设定倍差法的实证框架，将处理组设定为开展先行试点的30个城市即北京、上海、广州、深圳、天津、南京、苏州、无锡、杭州、合肥、福州、厦门、济南、郑州、武汉、成都、长沙、重庆、西安、昆明、佛山、徐州、太原、海口、宁波、宜昌、哈尔滨、长春、兰州、贵阳下属地区，将控制组设定为其他城市下属地区，将政策实施时点设定为2018年及以后，由此构建“30个城市政策冲击”虚拟变量。将倍差法实证模型的核心解释变量更换为“30个城市政策冲击”，样本仅限定在市区</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范围</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进行回归，结果如第（1）~（3）列所示</w:t>
      </w:r>
      <w:r>
        <w:rPr>
          <w:rFonts w:hint="eastAsia" w:ascii="Times New Roman Regular" w:hAnsi="Times New Roman Regular" w:eastAsia="宋体" w:cs="Times New Roman Regular"/>
          <w:color w:val="000000" w:themeColor="text1"/>
          <w:sz w:val="18"/>
          <w:szCs w:val="18"/>
          <w:lang w:eastAsia="zh-CN"/>
          <w14:textFill>
            <w14:solidFill>
              <w14:schemeClr w14:val="tx1"/>
            </w14:solidFill>
          </w14:textFill>
        </w:rPr>
        <w:t>，</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括号内为稳健标准误</w:t>
      </w:r>
      <w:r>
        <w:rPr>
          <w:rFonts w:hint="eastAsia" w:ascii="Times New Roman Regular" w:hAnsi="Times New Roman Regular" w:eastAsia="宋体" w:cs="Times New Roman Regular"/>
          <w:color w:val="000000" w:themeColor="text1"/>
          <w:sz w:val="18"/>
          <w:szCs w:val="18"/>
          <w:lang w:eastAsia="zh-CN"/>
          <w14:textFill>
            <w14:solidFill>
              <w14:schemeClr w14:val="tx1"/>
            </w14:solidFill>
          </w14:textFill>
        </w:rPr>
        <w:t>。</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此外，</w:t>
      </w:r>
      <w:r>
        <w:rPr>
          <w:rFonts w:hint="eastAsia" w:ascii="Times New Roman Regular" w:hAnsi="Times New Roman Regular" w:eastAsia="宋体" w:cs="Times New Roman Regular"/>
          <w:color w:val="000000" w:themeColor="text1"/>
          <w:sz w:val="18"/>
          <w:szCs w:val="18"/>
          <w:lang w:eastAsia="zh-CN"/>
          <w14:textFill>
            <w14:solidFill>
              <w14:schemeClr w14:val="tx1"/>
            </w14:solidFill>
          </w14:textFill>
        </w:rPr>
        <w:t>将“30个城市政策冲击”作为控制变量加入到基准回归模型中，并基于全部区县样本进行回归，结果如第（4）~（6）列所示</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，括号内为区县层面聚类标准误。</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其他说明</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hint="eastAsia" w:ascii="黑体" w:hAnsi="黑体" w:eastAsia="黑体" w:cs="黑体"/>
          <w:color w:val="000000" w:themeColor="text1"/>
          <w:sz w:val="18"/>
          <w:szCs w:val="18"/>
          <w:lang w:val="en-US" w:eastAsia="zh-CN"/>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8</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 xml:space="preserve"> 稳健性检验：数据缩尾</w:t>
      </w:r>
      <w:r>
        <w:rPr>
          <w:rFonts w:hint="eastAsia" w:ascii="黑体" w:hAnsi="黑体" w:eastAsia="黑体" w:cs="黑体"/>
          <w:color w:val="000000" w:themeColor="text1"/>
          <w:sz w:val="18"/>
          <w:szCs w:val="18"/>
          <w:lang w:val="en-US" w:eastAsia="zh-CN"/>
          <w14:textFill>
            <w14:solidFill>
              <w14:schemeClr w14:val="tx1"/>
            </w14:solidFill>
          </w14:textFill>
        </w:rPr>
        <w:t>与缩小样本范围</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036"/>
        <w:gridCol w:w="1603"/>
        <w:gridCol w:w="1603"/>
        <w:gridCol w:w="1603"/>
        <w:gridCol w:w="1608"/>
      </w:tblGrid>
      <w:tr>
        <w:trPr>
          <w:jc w:val="center"/>
        </w:trPr>
        <w:tc>
          <w:tcPr>
            <w:tcW w:w="1204"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3795" w:type="pct"/>
            <w:gridSpan w:val="4"/>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债务率</w:t>
            </w:r>
          </w:p>
        </w:tc>
      </w:tr>
      <w:tr>
        <w:trPr>
          <w:jc w:val="center"/>
        </w:trPr>
        <w:tc>
          <w:tcPr>
            <w:tcW w:w="1204"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1630" w:type="dxa"/>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1630" w:type="dxa"/>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1630" w:type="dxa"/>
            <w:tcBorders>
              <w:bottom w:val="single" w:color="auto" w:sz="4" w:space="0"/>
            </w:tcBorders>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948"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14:textFill>
                  <w14:solidFill>
                    <w14:schemeClr w14:val="tx1"/>
                  </w14:solidFill>
                </w14:textFill>
              </w:rPr>
            </w:pPr>
            <w:r>
              <w:rPr>
                <w:rFonts w:hint="default" w:ascii="Times New Roman Regular" w:hAnsi="Times New Roman Regular" w:eastAsia="宋体" w:cs="Times New Roman Regular"/>
                <w:color w:val="000000" w:themeColor="text1"/>
                <w:kern w:val="0"/>
                <w:sz w:val="18"/>
                <w:szCs w:val="18"/>
                <w:lang w:val="en-US"/>
                <w14:textFill>
                  <w14:solidFill>
                    <w14:schemeClr w14:val="tx1"/>
                  </w14:solidFill>
                </w14:textFill>
              </w:rPr>
              <w:t>(4)</w:t>
            </w:r>
          </w:p>
        </w:tc>
      </w:tr>
      <w:tr>
        <w:trPr>
          <w:jc w:val="center"/>
        </w:trPr>
        <w:tc>
          <w:tcPr>
            <w:tcW w:w="1204"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0.423</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0.648**</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0.687**</w:t>
            </w:r>
          </w:p>
        </w:tc>
        <w:tc>
          <w:tcPr>
            <w:tcW w:w="94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1.511***</w:t>
            </w:r>
          </w:p>
        </w:tc>
      </w:tr>
      <w:tr>
        <w:trPr>
          <w:jc w:val="center"/>
        </w:trPr>
        <w:tc>
          <w:tcPr>
            <w:tcW w:w="1204"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(0.272)</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(0.321)</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(0.319)</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(0.537)</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r>
              <w:rPr>
                <w:rFonts w:ascii="Times New Roman Regular" w:hAnsi="Times New Roman Regular" w:eastAsia="宋体" w:cs="Times New Roman Regular"/>
                <w:color w:val="000000" w:themeColor="text1"/>
                <w:kern w:val="0"/>
                <w:sz w:val="18"/>
                <w:szCs w:val="18"/>
                <w:vertAlign w:val="superscript"/>
                <w14:textFill>
                  <w14:solidFill>
                    <w14:schemeClr w14:val="tx1"/>
                  </w14:solidFill>
                </w14:textFill>
              </w:rPr>
              <w:t>2</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r>
              <w:rPr>
                <w:rFonts w:ascii="Times New Roman Regular" w:hAnsi="Times New Roman Regular" w:eastAsia="宋体" w:cs="Times New Roman Regular"/>
                <w:color w:val="000000" w:themeColor="text1"/>
                <w:kern w:val="0"/>
                <w:sz w:val="18"/>
                <w:szCs w:val="18"/>
                <w:vertAlign w:val="superscript"/>
                <w14:textFill>
                  <w14:solidFill>
                    <w14:schemeClr w14:val="tx1"/>
                  </w14:solidFill>
                </w14:textFill>
              </w:rPr>
              <w:t>3</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变量×post</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val="en-US"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变量×year dummy</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630"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635" w:type="dxa"/>
            <w:vAlign w:val="top"/>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2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94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7475</w:t>
            </w:r>
          </w:p>
        </w:tc>
      </w:tr>
      <w:tr>
        <w:trPr>
          <w:jc w:val="center"/>
        </w:trPr>
        <w:tc>
          <w:tcPr>
            <w:tcW w:w="1204"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0.718</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0.715</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0.720</w:t>
            </w:r>
          </w:p>
        </w:tc>
        <w:tc>
          <w:tcPr>
            <w:tcW w:w="948"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Hans"/>
                <w14:textFill>
                  <w14:solidFill>
                    <w14:schemeClr w14:val="tx1"/>
                  </w14:solidFill>
                </w14:textFill>
              </w:rPr>
              <w:t>0.672</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第（1）～（3）列</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是缩尾结果；</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第（</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4</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列仅对除市区样本以外的县、旗、县级市等样本进行检验。其他说明</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9</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 xml:space="preserve"> 稳健性检验：排除预期效应</w:t>
      </w:r>
    </w:p>
    <w:tbl>
      <w:tblPr>
        <w:tblStyle w:val="4"/>
        <w:tblW w:w="4998" w:type="pct"/>
        <w:jc w:val="center"/>
        <w:tblBorders>
          <w:top w:val="none" w:color="auto" w:sz="4" w:space="0"/>
          <w:left w:val="none" w:color="auto" w:sz="4" w:space="0"/>
          <w:bottom w:val="none" w:color="auto" w:sz="4" w:space="0"/>
          <w:right w:val="none" w:color="auto" w:sz="4" w:space="0"/>
          <w:insideH w:val="none" w:color="auto" w:sz="0" w:space="0"/>
          <w:insideV w:val="none" w:color="auto" w:sz="0" w:space="0"/>
        </w:tblBorders>
        <w:tblLayout w:type="autofit"/>
        <w:tblCellMar>
          <w:top w:w="0" w:type="dxa"/>
          <w:left w:w="75" w:type="dxa"/>
          <w:bottom w:w="0" w:type="dxa"/>
          <w:right w:w="75" w:type="dxa"/>
        </w:tblCellMar>
      </w:tblPr>
      <w:tblGrid>
        <w:gridCol w:w="2281"/>
        <w:gridCol w:w="1542"/>
        <w:gridCol w:w="1542"/>
        <w:gridCol w:w="1544"/>
        <w:gridCol w:w="1544"/>
      </w:tblGrid>
      <w:tr>
        <w:trPr>
          <w:jc w:val="center"/>
        </w:trPr>
        <w:tc>
          <w:tcPr>
            <w:tcW w:w="1349" w:type="pct"/>
            <w:vMerge w:val="restart"/>
            <w:tcBorders>
              <w:top w:val="double" w:color="auto" w:sz="4" w:space="0"/>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3650" w:type="pct"/>
            <w:gridSpan w:val="4"/>
            <w:tcBorders>
              <w:top w:val="double" w:color="auto" w:sz="4" w:space="0"/>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债务率</w:t>
            </w:r>
          </w:p>
        </w:tc>
      </w:tr>
      <w:tr>
        <w:trPr>
          <w:jc w:val="center"/>
        </w:trPr>
        <w:tc>
          <w:tcPr>
            <w:tcW w:w="1349" w:type="pct"/>
            <w:vMerge w:val="continue"/>
            <w:tcBorders>
              <w:left w:val="nil"/>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p>
        </w:tc>
        <w:tc>
          <w:tcPr>
            <w:tcW w:w="2737" w:type="pct"/>
            <w:gridSpan w:val="3"/>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以2016年为</w:t>
            </w:r>
          </w:p>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政策冲击时点</w:t>
            </w:r>
          </w:p>
        </w:tc>
        <w:tc>
          <w:tcPr>
            <w:tcW w:w="913" w:type="pct"/>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以2018年为</w:t>
            </w:r>
          </w:p>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政策冲击时点</w:t>
            </w:r>
          </w:p>
        </w:tc>
      </w:tr>
      <w:tr>
        <w:trPr>
          <w:jc w:val="center"/>
        </w:trPr>
        <w:tc>
          <w:tcPr>
            <w:tcW w:w="1349" w:type="pct"/>
            <w:vMerge w:val="continue"/>
            <w:tcBorders>
              <w:left w:val="nil"/>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12"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912"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913"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913" w:type="pct"/>
            <w:tcBorders>
              <w:bottom w:val="single" w:color="auto" w:sz="4" w:space="0"/>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(4)</w:t>
            </w:r>
          </w:p>
        </w:tc>
      </w:tr>
      <w:tr>
        <w:trPr>
          <w:jc w:val="center"/>
        </w:trPr>
        <w:tc>
          <w:tcPr>
            <w:tcW w:w="1349" w:type="pct"/>
            <w:vMerge w:val="restart"/>
            <w:tcBorders>
              <w:top w:val="single" w:color="auto" w:sz="4" w:space="0"/>
              <w:left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912" w:type="pct"/>
            <w:tcBorders>
              <w:top w:val="single" w:color="auto" w:sz="4" w:space="0"/>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0.569</w:t>
            </w:r>
          </w:p>
        </w:tc>
        <w:tc>
          <w:tcPr>
            <w:tcW w:w="912" w:type="pct"/>
            <w:tcBorders>
              <w:top w:val="single" w:color="auto" w:sz="4" w:space="0"/>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0.029</w:t>
            </w:r>
          </w:p>
        </w:tc>
        <w:tc>
          <w:tcPr>
            <w:tcW w:w="913" w:type="pct"/>
            <w:tcBorders>
              <w:top w:val="single" w:color="auto" w:sz="4" w:space="0"/>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0.086</w:t>
            </w:r>
          </w:p>
        </w:tc>
        <w:tc>
          <w:tcPr>
            <w:tcW w:w="913" w:type="pct"/>
            <w:tcBorders>
              <w:top w:val="single" w:color="auto" w:sz="4" w:space="0"/>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1.780*</w:t>
            </w:r>
          </w:p>
        </w:tc>
      </w:tr>
      <w:tr>
        <w:trPr>
          <w:jc w:val="center"/>
        </w:trPr>
        <w:tc>
          <w:tcPr>
            <w:tcW w:w="1349" w:type="pct"/>
            <w:vMerge w:val="continue"/>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(0.665)</w:t>
            </w: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(0.912)</w:t>
            </w:r>
          </w:p>
        </w:tc>
        <w:tc>
          <w:tcPr>
            <w:tcW w:w="913"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(0.896)</w:t>
            </w:r>
          </w:p>
        </w:tc>
        <w:tc>
          <w:tcPr>
            <w:tcW w:w="913" w:type="pct"/>
            <w:tcBorders>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(0.916)</w:t>
            </w:r>
          </w:p>
        </w:tc>
      </w:tr>
      <w:tr>
        <w:trPr>
          <w:jc w:val="center"/>
        </w:trPr>
        <w:tc>
          <w:tcPr>
            <w:tcW w:w="1349" w:type="pct"/>
            <w:vMerge w:val="restart"/>
            <w:tcBorders>
              <w:left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处理强度</w:t>
            </w: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post2017</w:t>
            </w: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tcBorders>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1.123</w:t>
            </w:r>
          </w:p>
        </w:tc>
      </w:tr>
      <w:tr>
        <w:trPr>
          <w:jc w:val="center"/>
        </w:trPr>
        <w:tc>
          <w:tcPr>
            <w:tcW w:w="1349" w:type="pct"/>
            <w:vMerge w:val="continue"/>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tcBorders>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(0.831)</w:t>
            </w:r>
          </w:p>
        </w:tc>
      </w:tr>
      <w:tr>
        <w:trPr>
          <w:jc w:val="center"/>
        </w:trPr>
        <w:tc>
          <w:tcPr>
            <w:tcW w:w="1349" w:type="pct"/>
            <w:vMerge w:val="restart"/>
            <w:tcBorders>
              <w:left w:val="nil"/>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处理强度</w:t>
            </w: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post2016</w:t>
            </w: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tcBorders>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-0.035</w:t>
            </w:r>
          </w:p>
        </w:tc>
      </w:tr>
      <w:tr>
        <w:trPr>
          <w:jc w:val="center"/>
        </w:trPr>
        <w:tc>
          <w:tcPr>
            <w:tcW w:w="1349" w:type="pct"/>
            <w:vMerge w:val="continue"/>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p>
        </w:tc>
        <w:tc>
          <w:tcPr>
            <w:tcW w:w="913" w:type="pct"/>
            <w:tcBorders>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(0.817)</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r>
              <w:rPr>
                <w:rFonts w:ascii="Times New Roman Regular" w:hAnsi="Times New Roman Regular" w:eastAsia="宋体" w:cs="Times New Roman Regular"/>
                <w:color w:val="000000" w:themeColor="text1"/>
                <w:kern w:val="0"/>
                <w:sz w:val="18"/>
                <w:szCs w:val="18"/>
                <w:vertAlign w:val="superscript"/>
                <w14:textFill>
                  <w14:solidFill>
                    <w14:schemeClr w14:val="tx1"/>
                  </w14:solidFill>
                </w14:textFill>
              </w:rPr>
              <w:t>2</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变量×t</w:t>
            </w:r>
            <w:r>
              <w:rPr>
                <w:rFonts w:ascii="Times New Roman Regular" w:hAnsi="Times New Roman Regular" w:eastAsia="宋体" w:cs="Times New Roman Regular"/>
                <w:color w:val="000000" w:themeColor="text1"/>
                <w:kern w:val="0"/>
                <w:sz w:val="18"/>
                <w:szCs w:val="18"/>
                <w:vertAlign w:val="superscript"/>
                <w14:textFill>
                  <w14:solidFill>
                    <w14:schemeClr w14:val="tx1"/>
                  </w14:solidFill>
                </w14:textFill>
              </w:rPr>
              <w:t>3</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变量×post</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前定</w:t>
            </w:r>
            <w:r>
              <w:rPr>
                <w:rFonts w:ascii="Times New Roman Regular" w:hAnsi="Times New Roman Regular" w:eastAsia="宋体" w:cs="Times New Roman Regular"/>
                <w:color w:val="000000" w:themeColor="text1"/>
                <w:kern w:val="0"/>
                <w:sz w:val="18"/>
                <w:szCs w:val="18"/>
                <w14:textFill>
                  <w14:solidFill>
                    <w14:schemeClr w14:val="tx1"/>
                  </w14:solidFill>
                </w14:textFill>
              </w:rPr>
              <w:t>变量×year dummy</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2"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否</w:t>
            </w:r>
          </w:p>
        </w:tc>
        <w:tc>
          <w:tcPr>
            <w:tcW w:w="1544"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544" w:type="dxa"/>
            <w:tcBorders>
              <w:righ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349" w:type="pct"/>
            <w:tcBorders>
              <w:left w:val="nil"/>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4890</w:t>
            </w:r>
          </w:p>
        </w:tc>
        <w:tc>
          <w:tcPr>
            <w:tcW w:w="912"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4890</w:t>
            </w:r>
          </w:p>
        </w:tc>
        <w:tc>
          <w:tcPr>
            <w:tcW w:w="913" w:type="pct"/>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4890</w:t>
            </w:r>
          </w:p>
        </w:tc>
        <w:tc>
          <w:tcPr>
            <w:tcW w:w="913" w:type="pct"/>
            <w:tcBorders>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10114</w:t>
            </w:r>
          </w:p>
        </w:tc>
      </w:tr>
      <w:tr>
        <w:trPr>
          <w:jc w:val="center"/>
        </w:trPr>
        <w:tc>
          <w:tcPr>
            <w:tcW w:w="1349" w:type="pct"/>
            <w:tcBorders>
              <w:left w:val="nil"/>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912" w:type="pct"/>
            <w:tcBorders>
              <w:bottom w:val="double" w:color="auto" w:sz="4" w:space="0"/>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0.655</w:t>
            </w:r>
          </w:p>
        </w:tc>
        <w:tc>
          <w:tcPr>
            <w:tcW w:w="912" w:type="pct"/>
            <w:tcBorders>
              <w:bottom w:val="double" w:color="auto" w:sz="4" w:space="0"/>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0.644</w:t>
            </w:r>
          </w:p>
        </w:tc>
        <w:tc>
          <w:tcPr>
            <w:tcW w:w="913" w:type="pct"/>
            <w:tcBorders>
              <w:bottom w:val="double" w:color="auto" w:sz="4" w:space="0"/>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t>0.659</w:t>
            </w:r>
          </w:p>
        </w:tc>
        <w:tc>
          <w:tcPr>
            <w:tcW w:w="913" w:type="pct"/>
            <w:tcBorders>
              <w:bottom w:val="double" w:color="auto" w:sz="4" w:space="0"/>
              <w:right w:val="nil"/>
            </w:tcBorders>
            <w:vAlign w:val="center"/>
          </w:tcPr>
          <w:p>
            <w:pPr>
              <w:keepNext w:val="0"/>
              <w:keepLines w:val="0"/>
              <w:pageBreakBefore w:val="0"/>
              <w:widowControl/>
              <w:kinsoku/>
              <w:wordWrap/>
              <w:overflowPunct/>
              <w:topLinePunct w:val="0"/>
              <w:bidi w:val="0"/>
              <w:spacing w:line="360" w:lineRule="exact"/>
              <w:jc w:val="center"/>
              <w:textAlignment w:val="center"/>
              <w:rPr>
                <w:rFonts w:ascii="Times New Roman Regular" w:hAnsi="Times New Roman Regular" w:eastAsia="宋体" w:cs="Times New Roman Regular"/>
                <w:color w:val="000000" w:themeColor="text1"/>
                <w:kern w:val="0"/>
                <w:sz w:val="18"/>
                <w:szCs w:val="18"/>
                <w:lang w:bidi="ar"/>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0.687</w:t>
            </w:r>
          </w:p>
        </w:tc>
      </w:tr>
    </w:tbl>
    <w:p>
      <w:pPr>
        <w:keepNext w:val="0"/>
        <w:keepLines w:val="0"/>
        <w:pageBreakBefore w:val="0"/>
        <w:kinsoku/>
        <w:wordWrap/>
        <w:overflowPunct/>
        <w:topLinePunct w:val="0"/>
        <w:bidi w:val="0"/>
        <w:spacing w:line="360" w:lineRule="exact"/>
        <w:ind w:firstLine="360" w:firstLineChars="200"/>
        <w:rPr>
          <w:rFonts w:ascii="Times New Roman Regular" w:hAnsi="Times New Roman Regular" w:eastAsia="宋体" w:cs="Times New Roman Regular"/>
          <w:color w:val="000000" w:themeColor="text1"/>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第（1）~（3）列以2016年作为政策冲击时点</w:t>
      </w:r>
      <w:r>
        <w:rPr>
          <w:rFonts w:hint="eastAsia" w:ascii="Times New Roman Regular" w:hAnsi="Times New Roman Regular" w:eastAsia="宋体" w:cs="Times New Roman Regular"/>
          <w:color w:val="000000" w:themeColor="text1"/>
          <w:sz w:val="18"/>
          <w:szCs w:val="18"/>
          <w:lang w:eastAsia="zh-CN"/>
          <w14:textFill>
            <w14:solidFill>
              <w14:schemeClr w14:val="tx1"/>
            </w14:solidFill>
          </w14:textFill>
        </w:rPr>
        <w:t>；</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第（</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4</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列</w:t>
      </w:r>
      <w:r>
        <w:rPr>
          <w:rFonts w:hint="eastAsia" w:ascii="Times New Roman Regular" w:hAnsi="Times New Roman Regular" w:eastAsia="宋体" w:cs="Times New Roman Regular"/>
          <w:color w:val="000000" w:themeColor="text1"/>
          <w:sz w:val="18"/>
          <w:szCs w:val="18"/>
          <w:lang w:eastAsia="zh-CN"/>
          <w14:textFill>
            <w14:solidFill>
              <w14:schemeClr w14:val="tx1"/>
            </w14:solidFill>
          </w14:textFill>
        </w:rPr>
        <w:t>在基准回归模型的基础上加入处理强度与2016年和2017年虚拟变量的交互项。</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其他说明</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360" w:firstLineChars="200"/>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pPr>
    </w:p>
    <w:p>
      <w:pPr>
        <w:keepNext w:val="0"/>
        <w:keepLines w:val="0"/>
        <w:pageBreakBefore w:val="0"/>
        <w:kinsoku/>
        <w:wordWrap/>
        <w:overflowPunct/>
        <w:topLinePunct w:val="0"/>
        <w:bidi w:val="0"/>
        <w:spacing w:line="240" w:lineRule="auto"/>
        <w:jc w:val="center"/>
        <w:rPr>
          <w:color w:val="000000" w:themeColor="text1"/>
          <w14:textFill>
            <w14:solidFill>
              <w14:schemeClr w14:val="tx1"/>
            </w14:solidFill>
          </w14:textFill>
        </w:rPr>
      </w:pPr>
      <w:r>
        <w:drawing>
          <wp:inline distT="0" distB="0" distL="114300" distR="114300">
            <wp:extent cx="3246120" cy="236093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46120" cy="2360930"/>
                    </a:xfrm>
                    <a:prstGeom prst="rect">
                      <a:avLst/>
                    </a:prstGeom>
                    <a:noFill/>
                    <a:ln>
                      <a:noFill/>
                    </a:ln>
                  </pic:spPr>
                </pic:pic>
              </a:graphicData>
            </a:graphic>
          </wp:inline>
        </w:drawing>
      </w:r>
    </w:p>
    <w:p>
      <w:pPr>
        <w:keepNext w:val="0"/>
        <w:keepLines w:val="0"/>
        <w:pageBreakBefore w:val="0"/>
        <w:kinsoku/>
        <w:wordWrap/>
        <w:overflowPunct/>
        <w:topLinePunct w:val="0"/>
        <w:bidi w:val="0"/>
        <w:spacing w:line="360" w:lineRule="exact"/>
        <w:jc w:val="center"/>
        <w:rPr>
          <w:rFonts w:ascii="黑体" w:hAnsi="黑体" w:eastAsia="黑体"/>
          <w:color w:val="000000" w:themeColor="text1"/>
          <w:sz w:val="18"/>
          <w:szCs w:val="21"/>
          <w14:textFill>
            <w14:solidFill>
              <w14:schemeClr w14:val="tx1"/>
            </w14:solidFill>
          </w14:textFill>
        </w:rPr>
      </w:pPr>
      <w:r>
        <w:rPr>
          <w:rFonts w:hint="eastAsia" w:ascii="黑体" w:hAnsi="黑体" w:eastAsia="黑体"/>
          <w:color w:val="000000" w:themeColor="text1"/>
          <w:sz w:val="18"/>
          <w:szCs w:val="21"/>
          <w:lang w:val="en-US" w:eastAsia="zh-CN"/>
          <w14:textFill>
            <w14:solidFill>
              <w14:schemeClr w14:val="tx1"/>
            </w14:solidFill>
          </w14:textFill>
        </w:rPr>
        <w:t>附</w:t>
      </w:r>
      <w:r>
        <w:rPr>
          <w:rFonts w:hint="eastAsia" w:ascii="黑体" w:hAnsi="黑体" w:eastAsia="黑体"/>
          <w:color w:val="000000" w:themeColor="text1"/>
          <w:sz w:val="18"/>
          <w:szCs w:val="21"/>
          <w14:textFill>
            <w14:solidFill>
              <w14:schemeClr w14:val="tx1"/>
            </w14:solidFill>
          </w14:textFill>
        </w:rPr>
        <w:t>图</w:t>
      </w:r>
      <w:r>
        <w:rPr>
          <w:rFonts w:hint="eastAsia" w:ascii="黑体" w:hAnsi="黑体" w:eastAsia="黑体"/>
          <w:color w:val="000000" w:themeColor="text1"/>
          <w:sz w:val="18"/>
          <w:szCs w:val="21"/>
          <w:lang w:val="en-US" w:eastAsia="zh-CN"/>
          <w14:textFill>
            <w14:solidFill>
              <w14:schemeClr w14:val="tx1"/>
            </w14:solidFill>
          </w14:textFill>
        </w:rPr>
        <w:t>1</w:t>
      </w:r>
      <w:r>
        <w:rPr>
          <w:rFonts w:hint="eastAsia" w:ascii="黑体" w:hAnsi="黑体" w:eastAsia="黑体"/>
          <w:color w:val="000000" w:themeColor="text1"/>
          <w:sz w:val="18"/>
          <w:szCs w:val="21"/>
          <w14:textFill>
            <w14:solidFill>
              <w14:schemeClr w14:val="tx1"/>
            </w14:solidFill>
          </w14:textFill>
        </w:rPr>
        <w:t xml:space="preserve"> </w:t>
      </w:r>
      <w:r>
        <w:rPr>
          <w:rFonts w:ascii="黑体" w:hAnsi="黑体" w:eastAsia="黑体"/>
          <w:color w:val="000000" w:themeColor="text1"/>
          <w:sz w:val="18"/>
          <w:szCs w:val="21"/>
          <w14:textFill>
            <w14:solidFill>
              <w14:schemeClr w14:val="tx1"/>
            </w14:solidFill>
          </w14:textFill>
        </w:rPr>
        <w:t xml:space="preserve"> </w:t>
      </w:r>
      <w:r>
        <w:rPr>
          <w:rFonts w:hint="eastAsia" w:ascii="黑体" w:hAnsi="黑体" w:eastAsia="黑体"/>
          <w:color w:val="000000" w:themeColor="text1"/>
          <w:sz w:val="18"/>
          <w:szCs w:val="21"/>
          <w14:textFill>
            <w14:solidFill>
              <w14:schemeClr w14:val="tx1"/>
            </w14:solidFill>
          </w14:textFill>
        </w:rPr>
        <w:t>安慰剂检验</w:t>
      </w:r>
    </w:p>
    <w:p>
      <w:pPr>
        <w:adjustRightInd w:val="0"/>
        <w:snapToGrid w:val="0"/>
        <w:spacing w:line="360" w:lineRule="atLeast"/>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sectPr>
          <w:footnotePr>
            <w:numFmt w:val="decimalEnclosedCircleChinese"/>
            <w:numRestart w:val="eachPage"/>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imes New Roman" w:hAnsi="Times New Roman" w:eastAsia="黑体" w:cs="Times New Roman"/>
          <w:color w:val="000000" w:themeColor="text1"/>
          <w:sz w:val="24"/>
          <w:szCs w:val="24"/>
          <w:lang w:val="en-US" w:eastAsia="zh-CN"/>
          <w14:textFill>
            <w14:solidFill>
              <w14:schemeClr w14:val="tx1"/>
            </w14:solidFill>
          </w14:textFill>
        </w:rPr>
      </w:pPr>
      <w:r>
        <w:rPr>
          <w:rFonts w:hint="eastAsia" w:ascii="Times New Roman" w:hAnsi="Times New Roman" w:eastAsia="黑体" w:cs="Times New Roman"/>
          <w:color w:val="000000" w:themeColor="text1"/>
          <w:sz w:val="24"/>
          <w:szCs w:val="24"/>
          <w:lang w:val="en-US" w:eastAsia="zh-CN"/>
          <w14:textFill>
            <w14:solidFill>
              <w14:schemeClr w14:val="tx1"/>
            </w14:solidFill>
          </w14:textFill>
        </w:rPr>
        <w:t>附录2 对财力端与债务端的补充分析</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r>
        <w:rPr>
          <w:rFonts w:hint="eastAsia"/>
          <w:color w:val="000000" w:themeColor="text1"/>
          <w:szCs w:val="21"/>
          <w:lang w:eastAsia="zh-Hans"/>
          <w14:textFill>
            <w14:solidFill>
              <w14:schemeClr w14:val="tx1"/>
            </w14:solidFill>
          </w14:textFill>
        </w:rPr>
        <w:t>由</w:t>
      </w:r>
      <w:r>
        <w:rPr>
          <w:rFonts w:hint="eastAsia"/>
          <w:color w:val="000000" w:themeColor="text1"/>
          <w:szCs w:val="21"/>
          <w:lang w:val="en-US" w:eastAsia="zh-CN"/>
          <w14:textFill>
            <w14:solidFill>
              <w14:schemeClr w14:val="tx1"/>
            </w14:solidFill>
          </w14:textFill>
        </w:rPr>
        <w:t>正文</w:t>
      </w:r>
      <w:r>
        <w:rPr>
          <w:rFonts w:hint="eastAsia"/>
          <w:color w:val="000000" w:themeColor="text1"/>
          <w:szCs w:val="21"/>
          <w:lang w:eastAsia="zh-Hans"/>
          <w14:textFill>
            <w14:solidFill>
              <w14:schemeClr w14:val="tx1"/>
            </w14:solidFill>
          </w14:textFill>
        </w:rPr>
        <w:t>机制分析的实证结果可以发现</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土地市场降温将直接导致地方政府土地出让收入下滑</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而土地出让收入是地方政府政府性基金预算收入的主要组成部分</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因此</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土地市场降温后</w:t>
      </w:r>
      <w:r>
        <w:rPr>
          <w:color w:val="000000" w:themeColor="text1"/>
          <w:szCs w:val="21"/>
          <w:lang w:eastAsia="zh-Hans"/>
          <w14:textFill>
            <w14:solidFill>
              <w14:schemeClr w14:val="tx1"/>
            </w14:solidFill>
          </w14:textFill>
        </w:rPr>
        <w:t>地方政府</w:t>
      </w:r>
      <w:r>
        <w:rPr>
          <w:rFonts w:hint="eastAsia"/>
          <w:color w:val="000000" w:themeColor="text1"/>
          <w:szCs w:val="21"/>
          <w:lang w:eastAsia="zh-Hans"/>
          <w14:textFill>
            <w14:solidFill>
              <w14:schemeClr w14:val="tx1"/>
            </w14:solidFill>
          </w14:textFill>
        </w:rPr>
        <w:t>的</w:t>
      </w:r>
      <w:r>
        <w:rPr>
          <w:color w:val="000000" w:themeColor="text1"/>
          <w:szCs w:val="21"/>
          <w:lang w:eastAsia="zh-Hans"/>
          <w14:textFill>
            <w14:solidFill>
              <w14:schemeClr w14:val="tx1"/>
            </w14:solidFill>
          </w14:textFill>
        </w:rPr>
        <w:t>政府性基金预算收入</w:t>
      </w:r>
      <w:r>
        <w:rPr>
          <w:rFonts w:hint="eastAsia"/>
          <w:color w:val="000000" w:themeColor="text1"/>
          <w:szCs w:val="21"/>
          <w:lang w:eastAsia="zh-Hans"/>
          <w14:textFill>
            <w14:solidFill>
              <w14:schemeClr w14:val="tx1"/>
            </w14:solidFill>
          </w14:textFill>
        </w:rPr>
        <w:t>也将出现下降</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但有待进一步观察的是</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地方政府是否会寻求其他领域的财政收入</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以弥补土地相关收入的缺失</w:t>
      </w:r>
      <w:r>
        <w:rPr>
          <w:color w:val="000000" w:themeColor="text1"/>
          <w:szCs w:val="21"/>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rFonts w:hint="default" w:eastAsiaTheme="minorEastAsia"/>
          <w:color w:val="000000" w:themeColor="text1"/>
          <w:szCs w:val="21"/>
          <w:lang w:val="en-US" w:eastAsia="zh-CN"/>
          <w14:textFill>
            <w14:solidFill>
              <w14:schemeClr w14:val="tx1"/>
            </w14:solidFill>
          </w14:textFill>
        </w:rPr>
      </w:pPr>
      <w:r>
        <w:rPr>
          <w:rFonts w:hint="eastAsia"/>
          <w:color w:val="000000" w:themeColor="text1"/>
          <w:szCs w:val="21"/>
          <w:lang w:eastAsia="zh-Hans"/>
          <w14:textFill>
            <w14:solidFill>
              <w14:schemeClr w14:val="tx1"/>
            </w14:solidFill>
          </w14:textFill>
        </w:rPr>
        <w:t>为了厘清上述问题</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本文将基准回归模型中的因变量分别更换为一般公共预算收入</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转移性收入</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政府性基金预算收入</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国有资本经营收入进行观察</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并在最右一列使用四项收入之和“总财力”作为因变量进行总体考察</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回归结果如</w:t>
      </w:r>
      <w:r>
        <w:rPr>
          <w:rFonts w:hint="eastAsia"/>
          <w:color w:val="000000" w:themeColor="text1"/>
          <w:szCs w:val="21"/>
          <w:lang w:val="en-US" w:eastAsia="zh-CN"/>
          <w14:textFill>
            <w14:solidFill>
              <w14:schemeClr w14:val="tx1"/>
            </w14:solidFill>
          </w14:textFill>
        </w:rPr>
        <w:t>附</w:t>
      </w:r>
      <w:r>
        <w:rPr>
          <w:rFonts w:hint="eastAsia"/>
          <w:color w:val="000000" w:themeColor="text1"/>
          <w:szCs w:val="21"/>
          <w:lang w:eastAsia="zh-Hans"/>
          <w14:textFill>
            <w14:solidFill>
              <w14:schemeClr w14:val="tx1"/>
            </w14:solidFill>
          </w14:textFill>
        </w:rPr>
        <w:t>表</w:t>
      </w:r>
      <w:r>
        <w:rPr>
          <w:rFonts w:ascii="Times New Roman Regular" w:hAnsi="Times New Roman Regular" w:cs="Times New Roman Regular"/>
          <w:color w:val="000000" w:themeColor="text1"/>
          <w:szCs w:val="21"/>
          <w:lang w:eastAsia="zh-Hans"/>
          <w14:textFill>
            <w14:solidFill>
              <w14:schemeClr w14:val="tx1"/>
            </w14:solidFill>
          </w14:textFill>
        </w:rPr>
        <w:t>1</w:t>
      </w:r>
      <w:r>
        <w:rPr>
          <w:rFonts w:hint="eastAsia" w:ascii="Times New Roman Regular" w:hAnsi="Times New Roman Regular" w:cs="Times New Roman Regular"/>
          <w:color w:val="000000" w:themeColor="text1"/>
          <w:szCs w:val="21"/>
          <w:lang w:val="en-US" w:eastAsia="zh-CN"/>
          <w14:textFill>
            <w14:solidFill>
              <w14:schemeClr w14:val="tx1"/>
            </w14:solidFill>
          </w14:textFill>
        </w:rPr>
        <w:t>0</w:t>
      </w:r>
      <w:r>
        <w:rPr>
          <w:rFonts w:hint="eastAsia"/>
          <w:color w:val="000000" w:themeColor="text1"/>
          <w:szCs w:val="21"/>
          <w:lang w:eastAsia="zh-Hans"/>
          <w14:textFill>
            <w14:solidFill>
              <w14:schemeClr w14:val="tx1"/>
            </w14:solidFill>
          </w14:textFill>
        </w:rPr>
        <w:t>所示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通过对第</w:t>
      </w:r>
      <w:r>
        <w:rP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lang w:eastAsia="zh-Hans"/>
          <w14:textFill>
            <w14:solidFill>
              <w14:schemeClr w14:val="tx1"/>
            </w14:solidFill>
          </w14:textFill>
        </w:rPr>
        <w:t>1）</w:t>
      </w:r>
      <w:r>
        <w:rPr>
          <w:rFonts w:hint="eastAsia"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lang w:eastAsia="zh-Hans"/>
          <w14:textFill>
            <w14:solidFill>
              <w14:schemeClr w14:val="tx1"/>
            </w14:solidFill>
          </w14:textFill>
        </w:rPr>
        <w:t>（4</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列的回归系数进行对比分析</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能够发现</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土地市场降温后</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地方政府的政府性基金预算收入出现显著下降</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但一般公共预算收入</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转移性收入</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国有资本经营收入则并未发生明显变化</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从总财力的角度看</w:t>
      </w:r>
      <w:r>
        <w:rPr>
          <w:color w:val="000000" w:themeColor="text1"/>
          <w:szCs w:val="21"/>
          <w:lang w:eastAsia="zh-Hans"/>
          <w14:textFill>
            <w14:solidFill>
              <w14:schemeClr w14:val="tx1"/>
            </w14:solidFill>
          </w14:textFill>
        </w:rPr>
        <w:t>，政府性基金预算收入</w:t>
      </w:r>
      <w:r>
        <w:rPr>
          <w:rFonts w:hint="eastAsia"/>
          <w:color w:val="000000" w:themeColor="text1"/>
          <w:szCs w:val="21"/>
          <w:lang w:eastAsia="zh-Hans"/>
          <w14:textFill>
            <w14:solidFill>
              <w14:schemeClr w14:val="tx1"/>
            </w14:solidFill>
          </w14:textFill>
        </w:rPr>
        <w:t>的下滑导致地方政府的总财力</w:t>
      </w:r>
      <w:r>
        <w:rPr>
          <w:rFonts w:hint="eastAsia"/>
          <w:color w:val="000000" w:themeColor="text1"/>
          <w:szCs w:val="21"/>
          <w14:textFill>
            <w14:solidFill>
              <w14:schemeClr w14:val="tx1"/>
            </w14:solidFill>
          </w14:textFill>
        </w:rPr>
        <w:t>存在下降的可能性</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该系数在统计上接近显著</w:t>
      </w:r>
      <w:r>
        <w:rP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lang w:eastAsia="zh-Hans"/>
          <w14:textFill>
            <w14:solidFill>
              <w14:schemeClr w14:val="tx1"/>
            </w14:solidFill>
          </w14:textFill>
        </w:rPr>
        <w:t>t</w:t>
      </w:r>
      <w:r>
        <w:rPr>
          <w:rFonts w:hint="eastAsia"/>
          <w:color w:val="000000" w:themeColor="text1"/>
          <w:szCs w:val="21"/>
          <w:lang w:eastAsia="zh-Hans"/>
          <w14:textFill>
            <w14:solidFill>
              <w14:schemeClr w14:val="tx1"/>
            </w14:solidFill>
          </w14:textFill>
        </w:rPr>
        <w:t>值约为</w:t>
      </w:r>
      <w:r>
        <w:rPr>
          <w:rFonts w:ascii="Times New Roman Regular" w:hAnsi="Times New Roman Regular" w:cs="Times New Roman Regular"/>
          <w:color w:val="000000" w:themeColor="text1"/>
          <w:szCs w:val="21"/>
          <w:lang w:eastAsia="zh-Hans"/>
          <w14:textFill>
            <w14:solidFill>
              <w14:schemeClr w14:val="tx1"/>
            </w14:solidFill>
          </w14:textFill>
        </w:rPr>
        <w:t>1.41</w:t>
      </w:r>
      <w:r>
        <w:rPr>
          <w:color w:val="000000" w:themeColor="text1"/>
          <w:szCs w:val="21"/>
          <w:lang w:eastAsia="zh-Hans"/>
          <w14:textFill>
            <w14:solidFill>
              <w14:schemeClr w14:val="tx1"/>
            </w14:solidFill>
          </w14:textFill>
        </w:rPr>
        <w:t>）</w:t>
      </w:r>
      <w:r>
        <w:rPr>
          <w:rStyle w:val="7"/>
          <w:color w:val="000000" w:themeColor="text1"/>
          <w:szCs w:val="21"/>
          <w:lang w:eastAsia="zh-Hans"/>
          <w14:textFill>
            <w14:solidFill>
              <w14:schemeClr w14:val="tx1"/>
            </w14:solidFill>
          </w14:textFill>
        </w:rPr>
        <w:footnoteReference w:id="0"/>
      </w:r>
      <w:r>
        <w:rPr>
          <w:color w:val="000000" w:themeColor="text1"/>
          <w:szCs w:val="21"/>
          <w:lang w:eastAsia="zh-Hans"/>
          <w14:textFill>
            <w14:solidFill>
              <w14:schemeClr w14:val="tx1"/>
            </w14:solidFill>
          </w14:textFill>
        </w:rPr>
        <w:t>。</w:t>
      </w:r>
      <w:r>
        <w:rPr>
          <w:rFonts w:hint="eastAsia"/>
          <w:color w:val="000000" w:themeColor="text1"/>
          <w:szCs w:val="21"/>
          <w14:textFill>
            <w14:solidFill>
              <w14:schemeClr w14:val="tx1"/>
            </w14:solidFill>
          </w14:textFill>
        </w:rPr>
        <w:t>这与既有文献的观点也基本一致，即</w:t>
      </w:r>
      <w:r>
        <w:rPr>
          <w:rFonts w:hint="eastAsia"/>
          <w:color w:val="000000" w:themeColor="text1"/>
          <w14:textFill>
            <w14:solidFill>
              <w14:schemeClr w14:val="tx1"/>
            </w14:solidFill>
          </w14:textFill>
        </w:rPr>
        <w:t>房地产市场发展状况和景气差异会影响地方政府土地财政收入（</w:t>
      </w:r>
      <w:r>
        <w:rPr>
          <w:color w:val="000000" w:themeColor="text1"/>
          <w:lang w:eastAsia="zh-Hans"/>
          <w14:textFill>
            <w14:solidFill>
              <w14:schemeClr w14:val="tx1"/>
            </w14:solidFill>
          </w14:textFill>
        </w:rPr>
        <w:t>李郇等，</w:t>
      </w:r>
      <w:r>
        <w:rPr>
          <w:rFonts w:ascii="Times New Roman Regular" w:hAnsi="Times New Roman Regular" w:cs="Times New Roman Regular"/>
          <w:color w:val="000000" w:themeColor="text1"/>
          <w:lang w:eastAsia="zh-Hans"/>
          <w14:textFill>
            <w14:solidFill>
              <w14:schemeClr w14:val="tx1"/>
            </w14:solidFill>
          </w14:textFill>
        </w:rPr>
        <w:t>2013</w:t>
      </w:r>
      <w:r>
        <w:rPr>
          <w:rFonts w:hint="eastAsia"/>
          <w:color w:val="000000" w:themeColor="text1"/>
          <w14:textFill>
            <w14:solidFill>
              <w14:schemeClr w14:val="tx1"/>
            </w14:solidFill>
          </w14:textFill>
        </w:rPr>
        <w:t>），当楼市出现降温、土地交易冷清时，地方政府财政收入会出现下降（贾康和刘微</w:t>
      </w:r>
      <w:r>
        <w:rPr>
          <w:rFonts w:ascii="Times New Roman Regular" w:hAnsi="Times New Roman Regular" w:cs="Times New Roman Regular"/>
          <w:color w:val="000000" w:themeColor="text1"/>
          <w14:textFill>
            <w14:solidFill>
              <w14:schemeClr w14:val="tx1"/>
            </w14:solidFill>
          </w14:textFill>
        </w:rPr>
        <w:t>，2012）</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以上结果进一步印证了机制分析的主要逻辑。</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表1</w:t>
      </w:r>
      <w:r>
        <w:rPr>
          <w:rFonts w:hint="eastAsia" w:ascii="黑体" w:hAnsi="黑体" w:eastAsia="黑体" w:cs="黑体"/>
          <w:color w:val="000000" w:themeColor="text1"/>
          <w:sz w:val="18"/>
          <w:szCs w:val="18"/>
          <w:lang w:val="en-US" w:eastAsia="zh-CN"/>
          <w14:textFill>
            <w14:solidFill>
              <w14:schemeClr w14:val="tx1"/>
            </w14:solidFill>
          </w14:textFill>
        </w:rPr>
        <w:t>0</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补充</w:t>
      </w:r>
      <w:r>
        <w:rPr>
          <w:rFonts w:hint="eastAsia" w:ascii="黑体" w:hAnsi="黑体" w:eastAsia="黑体" w:cs="黑体"/>
          <w:color w:val="000000" w:themeColor="text1"/>
          <w:sz w:val="18"/>
          <w:szCs w:val="18"/>
          <w:lang w:eastAsia="zh-Hans"/>
          <w14:textFill>
            <w14:solidFill>
              <w14:schemeClr w14:val="tx1"/>
            </w14:solidFill>
          </w14:textFill>
        </w:rPr>
        <w:t>分析：土地市场降温对地方政府财力的影响</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199"/>
        <w:gridCol w:w="1250"/>
        <w:gridCol w:w="1251"/>
        <w:gridCol w:w="1251"/>
        <w:gridCol w:w="1251"/>
        <w:gridCol w:w="1251"/>
      </w:tblGrid>
      <w:tr>
        <w:trPr>
          <w:jc w:val="center"/>
        </w:trPr>
        <w:tc>
          <w:tcPr>
            <w:tcW w:w="1300"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739"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一般公共预算收入对数</w:t>
            </w:r>
          </w:p>
        </w:tc>
        <w:tc>
          <w:tcPr>
            <w:tcW w:w="739"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转移性收入对数</w:t>
            </w:r>
          </w:p>
        </w:tc>
        <w:tc>
          <w:tcPr>
            <w:tcW w:w="739"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政府性基金</w:t>
            </w: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预算</w:t>
            </w:r>
            <w:r>
              <w:rPr>
                <w:rFonts w:ascii="Times New Roman Regular" w:hAnsi="Times New Roman Regular" w:eastAsia="宋体" w:cs="Times New Roman Regular"/>
                <w:color w:val="000000" w:themeColor="text1"/>
                <w:kern w:val="0"/>
                <w:sz w:val="18"/>
                <w:szCs w:val="18"/>
                <w14:textFill>
                  <w14:solidFill>
                    <w14:schemeClr w14:val="tx1"/>
                  </w14:solidFill>
                </w14:textFill>
              </w:rPr>
              <w:t>收入对数</w:t>
            </w:r>
          </w:p>
        </w:tc>
        <w:tc>
          <w:tcPr>
            <w:tcW w:w="739"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国有资本经营收入对数</w:t>
            </w:r>
          </w:p>
        </w:tc>
        <w:tc>
          <w:tcPr>
            <w:tcW w:w="739"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总财力对数</w:t>
            </w:r>
          </w:p>
        </w:tc>
      </w:tr>
      <w:tr>
        <w:trPr>
          <w:jc w:val="center"/>
        </w:trPr>
        <w:tc>
          <w:tcPr>
            <w:tcW w:w="1300"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739"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739"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739"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739"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(4)</w:t>
            </w:r>
          </w:p>
        </w:tc>
        <w:tc>
          <w:tcPr>
            <w:tcW w:w="739"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(5)</w:t>
            </w:r>
          </w:p>
        </w:tc>
      </w:tr>
      <w:tr>
        <w:trPr>
          <w:jc w:val="center"/>
        </w:trPr>
        <w:tc>
          <w:tcPr>
            <w:tcW w:w="1300"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739"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-0.007</w:t>
            </w:r>
          </w:p>
        </w:tc>
        <w:tc>
          <w:tcPr>
            <w:tcW w:w="739"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-0.091</w:t>
            </w:r>
          </w:p>
        </w:tc>
        <w:tc>
          <w:tcPr>
            <w:tcW w:w="739"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-0.585***</w:t>
            </w:r>
          </w:p>
        </w:tc>
        <w:tc>
          <w:tcPr>
            <w:tcW w:w="739"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-0.029</w:t>
            </w:r>
          </w:p>
        </w:tc>
        <w:tc>
          <w:tcPr>
            <w:tcW w:w="739"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-0.284</w:t>
            </w:r>
          </w:p>
        </w:tc>
      </w:tr>
      <w:tr>
        <w:trPr>
          <w:jc w:val="center"/>
        </w:trPr>
        <w:tc>
          <w:tcPr>
            <w:tcW w:w="1300"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(0.048)</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(0.185)</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(0.142)</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(0.086)</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(0.202)</w:t>
            </w:r>
          </w:p>
        </w:tc>
      </w:tr>
      <w:tr>
        <w:trPr>
          <w:jc w:val="center"/>
        </w:trPr>
        <w:tc>
          <w:tcPr>
            <w:tcW w:w="13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1250"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3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1250"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3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控制变量×year dummy</w:t>
            </w:r>
          </w:p>
        </w:tc>
        <w:tc>
          <w:tcPr>
            <w:tcW w:w="1250"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1251" w:type="dxa"/>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3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13783</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3162</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11688</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6492</w:t>
            </w:r>
          </w:p>
        </w:tc>
        <w:tc>
          <w:tcPr>
            <w:tcW w:w="739"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2114</w:t>
            </w:r>
          </w:p>
        </w:tc>
      </w:tr>
      <w:tr>
        <w:trPr>
          <w:jc w:val="center"/>
        </w:trPr>
        <w:tc>
          <w:tcPr>
            <w:tcW w:w="1300"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739"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0.965</w:t>
            </w:r>
          </w:p>
        </w:tc>
        <w:tc>
          <w:tcPr>
            <w:tcW w:w="739"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0.904</w:t>
            </w:r>
          </w:p>
        </w:tc>
        <w:tc>
          <w:tcPr>
            <w:tcW w:w="739"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0.881</w:t>
            </w:r>
          </w:p>
        </w:tc>
        <w:tc>
          <w:tcPr>
            <w:tcW w:w="739"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0.603</w:t>
            </w:r>
          </w:p>
        </w:tc>
        <w:tc>
          <w:tcPr>
            <w:tcW w:w="739"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0.976</w:t>
            </w:r>
          </w:p>
        </w:tc>
      </w:tr>
    </w:tbl>
    <w:p>
      <w:pPr>
        <w:keepNext w:val="0"/>
        <w:keepLines w:val="0"/>
        <w:pageBreakBefore w:val="0"/>
        <w:kinsoku/>
        <w:wordWrap/>
        <w:overflowPunct/>
        <w:topLinePunct w:val="0"/>
        <w:bidi w:val="0"/>
        <w:spacing w:line="360" w:lineRule="exact"/>
        <w:ind w:firstLine="360" w:firstLineChars="200"/>
        <w:rPr>
          <w:rFonts w:hint="default" w:ascii="Times New Roman Regular" w:hAnsi="Times New Roman Regular" w:eastAsia="宋体" w:cs="Times New Roman Regular"/>
          <w:color w:val="000000" w:themeColor="text1"/>
          <w:sz w:val="18"/>
          <w:szCs w:val="18"/>
          <w:lang w:val="en-US" w:eastAsia="zh-CN"/>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r>
        <w:rPr>
          <w:rFonts w:hint="eastAsia"/>
          <w:color w:val="000000" w:themeColor="text1"/>
          <w:szCs w:val="21"/>
          <w:lang w:val="en-US" w:eastAsia="zh-CN"/>
          <w14:textFill>
            <w14:solidFill>
              <w14:schemeClr w14:val="tx1"/>
            </w14:solidFill>
          </w14:textFill>
        </w:rPr>
        <w:t>进一步地，本文还将考察土地市场降温后，地方政府财力端发生变化的同时，债务端是否也会发生改变。</w:t>
      </w:r>
      <w:r>
        <w:rPr>
          <w:rFonts w:hint="eastAsia"/>
          <w:color w:val="000000" w:themeColor="text1"/>
          <w:szCs w:val="21"/>
          <w:lang w:eastAsia="zh-Hans"/>
          <w14:textFill>
            <w14:solidFill>
              <w14:schemeClr w14:val="tx1"/>
            </w14:solidFill>
          </w14:textFill>
        </w:rPr>
        <w:t>关于土地市场降温对地方政府债务规模的影响</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目前现有文献尚未形成共识</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本文将地方政府债务规模分为地方政府债券规模和城投债规模两方面具体展开分析</w:t>
      </w:r>
      <w:r>
        <w:rPr>
          <w:color w:val="000000" w:themeColor="text1"/>
          <w:szCs w:val="21"/>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r>
        <w:rPr>
          <w:rFonts w:hint="eastAsia"/>
          <w:color w:val="000000" w:themeColor="text1"/>
          <w:szCs w:val="21"/>
          <w:lang w:eastAsia="zh-Hans"/>
          <w14:textFill>
            <w14:solidFill>
              <w14:schemeClr w14:val="tx1"/>
            </w14:solidFill>
          </w14:textFill>
        </w:rPr>
        <w:t>本文观点认为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市场降温可能并不会导致地方政府债券规模出现显著变化</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其原因在于</w:t>
      </w:r>
      <w:r>
        <w:rPr>
          <w:color w:val="000000" w:themeColor="text1"/>
          <w:szCs w:val="21"/>
          <w:lang w:eastAsia="zh-Hans"/>
          <w14:textFill>
            <w14:solidFill>
              <w14:schemeClr w14:val="tx1"/>
            </w14:solidFill>
          </w14:textFill>
        </w:rPr>
        <w:t>，</w:t>
      </w:r>
      <w:r>
        <w:rPr>
          <w:rFonts w:hint="eastAsia"/>
          <w:color w:val="000000" w:themeColor="text1"/>
          <w:szCs w:val="21"/>
          <w:lang w:eastAsia="zh-CN"/>
          <w14:textFill>
            <w14:solidFill>
              <w14:schemeClr w14:val="tx1"/>
            </w14:solidFill>
          </w14:textFill>
        </w:rPr>
        <w:t>中国</w:t>
      </w:r>
      <w:r>
        <w:rPr>
          <w:rFonts w:hint="eastAsia"/>
          <w:color w:val="000000" w:themeColor="text1"/>
          <w:szCs w:val="21"/>
          <w:lang w:eastAsia="zh-Hans"/>
          <w14:textFill>
            <w14:solidFill>
              <w14:schemeClr w14:val="tx1"/>
            </w14:solidFill>
          </w14:textFill>
        </w:rPr>
        <w:t>实行地方政府债券规模的限额管理制度</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由国务院在对宏观经济形势综合研判的基础上确定全国总限额</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并由财政部根据各地区债务风险、财力状况</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重大项目支出、融资需求等因素分配至省级财政部门</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再由省级财政部门分配至地方</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因此</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地方政府债券规模的设定较为严格</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难以由区县级地方政府自行决定</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土地市场降温后</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地方政府行为也很难直接导致地方政府债券规模发生变化</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在城投债方面</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本文认为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土地市场降温可能在两个方向对城投债规模产生影响</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一方面</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土地相关收入的下降可能会导致地方政府转而在城投债领域产生更高的融资需求</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导致城投债规模增加</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但另一方面</w:t>
      </w:r>
      <w:r>
        <w:rPr>
          <w:color w:val="000000" w:themeColor="text1"/>
          <w:szCs w:val="21"/>
          <w:lang w:eastAsia="zh-Hans"/>
          <w14:textFill>
            <w14:solidFill>
              <w14:schemeClr w14:val="tx1"/>
            </w14:solidFill>
          </w14:textFill>
        </w:rPr>
        <w:t>，土地</w:t>
      </w:r>
      <w:r>
        <w:rPr>
          <w:rFonts w:hint="eastAsia"/>
          <w:color w:val="000000" w:themeColor="text1"/>
          <w:szCs w:val="21"/>
          <w:lang w:eastAsia="zh-Hans"/>
          <w14:textFill>
            <w14:solidFill>
              <w14:schemeClr w14:val="tx1"/>
            </w14:solidFill>
          </w14:textFill>
        </w:rPr>
        <w:t>资源</w:t>
      </w:r>
      <w:r>
        <w:rPr>
          <w:color w:val="000000" w:themeColor="text1"/>
          <w:szCs w:val="21"/>
          <w:lang w:eastAsia="zh-Hans"/>
          <w14:textFill>
            <w14:solidFill>
              <w14:schemeClr w14:val="tx1"/>
            </w14:solidFill>
          </w14:textFill>
        </w:rPr>
        <w:t>作为地方政府所拥有</w:t>
      </w:r>
      <w:r>
        <w:rPr>
          <w:rFonts w:hint="eastAsia"/>
          <w:color w:val="000000" w:themeColor="text1"/>
          <w:szCs w:val="21"/>
          <w:lang w:eastAsia="zh-Hans"/>
          <w14:textFill>
            <w14:solidFill>
              <w14:schemeClr w14:val="tx1"/>
            </w14:solidFill>
          </w14:textFill>
        </w:rPr>
        <w:t>的</w:t>
      </w:r>
      <w:r>
        <w:rPr>
          <w:color w:val="000000" w:themeColor="text1"/>
          <w:szCs w:val="21"/>
          <w:lang w:eastAsia="zh-Hans"/>
          <w14:textFill>
            <w14:solidFill>
              <w14:schemeClr w14:val="tx1"/>
            </w14:solidFill>
          </w14:textFill>
        </w:rPr>
        <w:t>优质资产，</w:t>
      </w:r>
      <w:r>
        <w:rPr>
          <w:rFonts w:hint="eastAsia"/>
          <w:color w:val="000000" w:themeColor="text1"/>
          <w:szCs w:val="21"/>
          <w:lang w:eastAsia="zh-Hans"/>
          <w14:textFill>
            <w14:solidFill>
              <w14:schemeClr w14:val="tx1"/>
            </w14:solidFill>
          </w14:textFill>
        </w:rPr>
        <w:t>早期</w:t>
      </w:r>
      <w:r>
        <w:rPr>
          <w:color w:val="000000" w:themeColor="text1"/>
          <w:szCs w:val="21"/>
          <w:lang w:eastAsia="zh-Hans"/>
          <w14:textFill>
            <w14:solidFill>
              <w14:schemeClr w14:val="tx1"/>
            </w14:solidFill>
          </w14:textFill>
        </w:rPr>
        <w:t>曾被作为政府支持向地方融资平台注入，</w:t>
      </w:r>
      <w:r>
        <w:rPr>
          <w:rFonts w:hint="eastAsia"/>
          <w:color w:val="000000" w:themeColor="text1"/>
          <w:szCs w:val="21"/>
          <w:lang w:eastAsia="zh-Hans"/>
          <w14:textFill>
            <w14:solidFill>
              <w14:schemeClr w14:val="tx1"/>
            </w14:solidFill>
          </w14:textFill>
        </w:rPr>
        <w:t>同时也是专项债还本付息支出的重要来源</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当地方政府土地财政收紧</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必将导致市场预期走弱</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进而使得城投债的发行难度进一步提升</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这会在一定程度上对冲城投债规模增加的效果</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在这两方面效应的共同作用下</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城投债规模可能难以发生显著变化</w:t>
      </w:r>
      <w:r>
        <w:rPr>
          <w:color w:val="000000" w:themeColor="text1"/>
          <w:szCs w:val="21"/>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r>
        <w:rPr>
          <w:rFonts w:hint="eastAsia"/>
          <w:color w:val="000000" w:themeColor="text1"/>
          <w:szCs w:val="21"/>
          <w:lang w:eastAsia="zh-Hans"/>
          <w14:textFill>
            <w14:solidFill>
              <w14:schemeClr w14:val="tx1"/>
            </w14:solidFill>
          </w14:textFill>
        </w:rPr>
        <w:t>为了验证上述假说</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本文将基准回归模型中的因变量分别更换为地方政府债务余额</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融资平台有息债务</w:t>
      </w:r>
      <w:r>
        <w:rPr>
          <w:rFonts w:hint="eastAsia"/>
          <w:color w:val="000000" w:themeColor="text1"/>
          <w:szCs w:val="21"/>
          <w14:textFill>
            <w14:solidFill>
              <w14:schemeClr w14:val="tx1"/>
            </w14:solidFill>
          </w14:textFill>
        </w:rPr>
        <w:t>余额</w:t>
      </w:r>
      <w:r>
        <w:rPr>
          <w:rFonts w:hint="eastAsia"/>
          <w:color w:val="000000" w:themeColor="text1"/>
          <w:szCs w:val="21"/>
          <w:lang w:eastAsia="zh-Hans"/>
          <w14:textFill>
            <w14:solidFill>
              <w14:schemeClr w14:val="tx1"/>
            </w14:solidFill>
          </w14:textFill>
        </w:rPr>
        <w:t>进行观察</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以分别代理地方政府债券规模和城投债规模</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其中</w:t>
      </w:r>
      <w:r>
        <w:rPr>
          <w:color w:val="000000" w:themeColor="text1"/>
          <w:szCs w:val="21"/>
          <w:lang w:eastAsia="zh-Hans"/>
          <w14:textFill>
            <w14:solidFill>
              <w14:schemeClr w14:val="tx1"/>
            </w14:solidFill>
          </w14:textFill>
        </w:rPr>
        <w:t>，地方政府债务余额</w:t>
      </w:r>
      <w:r>
        <w:rPr>
          <w:rFonts w:hint="eastAsia"/>
          <w:color w:val="000000" w:themeColor="text1"/>
          <w:szCs w:val="21"/>
          <w:lang w:eastAsia="zh-Hans"/>
          <w14:textFill>
            <w14:solidFill>
              <w14:schemeClr w14:val="tx1"/>
            </w14:solidFill>
          </w14:textFill>
        </w:rPr>
        <w:t>又进一步分为</w:t>
      </w:r>
      <w:r>
        <w:rPr>
          <w:color w:val="000000" w:themeColor="text1"/>
          <w:szCs w:val="21"/>
          <w:lang w:eastAsia="zh-Hans"/>
          <w14:textFill>
            <w14:solidFill>
              <w14:schemeClr w14:val="tx1"/>
            </w14:solidFill>
          </w14:textFill>
        </w:rPr>
        <w:t>一般债余额</w:t>
      </w:r>
      <w:r>
        <w:rPr>
          <w:rFonts w:hint="eastAsia"/>
          <w:color w:val="000000" w:themeColor="text1"/>
          <w:szCs w:val="21"/>
          <w:lang w:eastAsia="zh-Hans"/>
          <w14:textFill>
            <w14:solidFill>
              <w14:schemeClr w14:val="tx1"/>
            </w14:solidFill>
          </w14:textFill>
        </w:rPr>
        <w:t>和</w:t>
      </w:r>
      <w:r>
        <w:rPr>
          <w:color w:val="000000" w:themeColor="text1"/>
          <w:szCs w:val="21"/>
          <w:lang w:eastAsia="zh-Hans"/>
          <w14:textFill>
            <w14:solidFill>
              <w14:schemeClr w14:val="tx1"/>
            </w14:solidFill>
          </w14:textFill>
        </w:rPr>
        <w:t>专项债余额。</w:t>
      </w:r>
      <w:r>
        <w:rPr>
          <w:rFonts w:hint="eastAsia"/>
          <w:color w:val="000000" w:themeColor="text1"/>
          <w:szCs w:val="21"/>
          <w:lang w:eastAsia="zh-Hans"/>
          <w14:textFill>
            <w14:solidFill>
              <w14:schemeClr w14:val="tx1"/>
            </w14:solidFill>
          </w14:textFill>
        </w:rPr>
        <w:t>回归结果如</w:t>
      </w:r>
      <w:r>
        <w:rPr>
          <w:rFonts w:hint="eastAsia"/>
          <w:color w:val="000000" w:themeColor="text1"/>
          <w:szCs w:val="21"/>
          <w:lang w:val="en-US" w:eastAsia="zh-CN"/>
          <w14:textFill>
            <w14:solidFill>
              <w14:schemeClr w14:val="tx1"/>
            </w14:solidFill>
          </w14:textFill>
        </w:rPr>
        <w:t>附</w:t>
      </w:r>
      <w:r>
        <w:rPr>
          <w:rFonts w:hint="eastAsia"/>
          <w:color w:val="000000" w:themeColor="text1"/>
          <w:szCs w:val="21"/>
          <w:lang w:eastAsia="zh-Hans"/>
          <w14:textFill>
            <w14:solidFill>
              <w14:schemeClr w14:val="tx1"/>
            </w14:solidFill>
          </w14:textFill>
        </w:rPr>
        <w:t>表</w:t>
      </w:r>
      <w:r>
        <w:rPr>
          <w:rFonts w:ascii="Times New Roman Regular" w:hAnsi="Times New Roman Regular" w:cs="Times New Roman Regular"/>
          <w:color w:val="000000" w:themeColor="text1"/>
          <w:szCs w:val="21"/>
          <w:lang w:eastAsia="zh-Hans"/>
          <w14:textFill>
            <w14:solidFill>
              <w14:schemeClr w14:val="tx1"/>
            </w14:solidFill>
          </w14:textFill>
        </w:rPr>
        <w:t>1</w:t>
      </w:r>
      <w:r>
        <w:rPr>
          <w:rFonts w:hint="eastAsia" w:ascii="Times New Roman Regular" w:hAnsi="Times New Roman Regular" w:cs="Times New Roman Regular"/>
          <w:color w:val="000000" w:themeColor="text1"/>
          <w:szCs w:val="21"/>
          <w:lang w:val="en-US" w:eastAsia="zh-CN"/>
          <w14:textFill>
            <w14:solidFill>
              <w14:schemeClr w14:val="tx1"/>
            </w14:solidFill>
          </w14:textFill>
        </w:rPr>
        <w:t>1</w:t>
      </w:r>
      <w:r>
        <w:rPr>
          <w:rFonts w:hint="eastAsia"/>
          <w:color w:val="000000" w:themeColor="text1"/>
          <w:szCs w:val="21"/>
          <w:lang w:eastAsia="zh-Hans"/>
          <w14:textFill>
            <w14:solidFill>
              <w14:schemeClr w14:val="tx1"/>
            </w14:solidFill>
          </w14:textFill>
        </w:rPr>
        <w:t>所示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能够发现</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土地市场降温后</w:t>
      </w:r>
      <w:r>
        <w:rPr>
          <w:color w:val="000000" w:themeColor="text1"/>
          <w:szCs w:val="21"/>
          <w:lang w:eastAsia="zh-Hans"/>
          <w14:textFill>
            <w14:solidFill>
              <w14:schemeClr w14:val="tx1"/>
            </w14:solidFill>
          </w14:textFill>
        </w:rPr>
        <w:t>，地方政府债务余额、融资平台有息债务</w:t>
      </w:r>
      <w:r>
        <w:rPr>
          <w:rFonts w:hint="eastAsia"/>
          <w:color w:val="000000" w:themeColor="text1"/>
          <w:szCs w:val="21"/>
          <w14:textFill>
            <w14:solidFill>
              <w14:schemeClr w14:val="tx1"/>
            </w14:solidFill>
          </w14:textFill>
        </w:rPr>
        <w:t>余额</w:t>
      </w:r>
      <w:r>
        <w:rPr>
          <w:rFonts w:hint="eastAsia"/>
          <w:color w:val="000000" w:themeColor="text1"/>
          <w:szCs w:val="21"/>
          <w:lang w:eastAsia="zh-Hans"/>
          <w14:textFill>
            <w14:solidFill>
              <w14:schemeClr w14:val="tx1"/>
            </w14:solidFill>
          </w14:textFill>
        </w:rPr>
        <w:t>并未发生显著变化</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二者相加得到的“债务总额”也并未发生显著变化</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这些结果印证了上述假说</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即土地市场降温对地方政府债务规模并未产生显著影响</w:t>
      </w:r>
      <w:r>
        <w:rPr>
          <w:rFonts w:hint="eastAsia"/>
          <w:color w:val="000000" w:themeColor="text1"/>
          <w:szCs w:val="21"/>
          <w14:textFill>
            <w14:solidFill>
              <w14:schemeClr w14:val="tx1"/>
            </w14:solidFill>
          </w14:textFill>
        </w:rPr>
        <w:t>，这一结果反映的是政策冲击的平均效应，可能是由于不同类型地区债务规模反应方向有异、相互抵消所致，这也与既有文献暂未得到一致结论的现状相符合</w:t>
      </w:r>
      <w:r>
        <w:rPr>
          <w:color w:val="000000" w:themeColor="text1"/>
          <w:szCs w:val="21"/>
          <w:lang w:eastAsia="zh-Hans"/>
          <w14:textFill>
            <w14:solidFill>
              <w14:schemeClr w14:val="tx1"/>
            </w14:solidFill>
          </w14:textFill>
        </w:rPr>
        <w:t>。</w:t>
      </w:r>
      <w:r>
        <w:rPr>
          <w:rFonts w:hint="eastAsia"/>
          <w:color w:val="000000" w:themeColor="text1"/>
          <w:szCs w:val="21"/>
          <w:lang w:val="en-US" w:eastAsia="zh-CN"/>
          <w14:textFill>
            <w14:solidFill>
              <w14:schemeClr w14:val="tx1"/>
            </w14:solidFill>
          </w14:textFill>
        </w:rPr>
        <w:t>将该部分回归结果</w:t>
      </w:r>
      <w:r>
        <w:rPr>
          <w:rFonts w:hint="eastAsia"/>
          <w:color w:val="000000" w:themeColor="text1"/>
          <w:szCs w:val="21"/>
          <w:lang w:eastAsia="zh-Hans"/>
          <w14:textFill>
            <w14:solidFill>
              <w14:schemeClr w14:val="tx1"/>
            </w14:solidFill>
          </w14:textFill>
        </w:rPr>
        <w:t>与</w:t>
      </w:r>
      <w:r>
        <w:rPr>
          <w:rFonts w:hint="eastAsia"/>
          <w:color w:val="000000" w:themeColor="text1"/>
          <w:szCs w:val="21"/>
          <w:lang w:val="en-US" w:eastAsia="zh-CN"/>
          <w14:textFill>
            <w14:solidFill>
              <w14:schemeClr w14:val="tx1"/>
            </w14:solidFill>
          </w14:textFill>
        </w:rPr>
        <w:t>附</w:t>
      </w:r>
      <w:r>
        <w:rPr>
          <w:rFonts w:hint="eastAsia"/>
          <w:color w:val="000000" w:themeColor="text1"/>
          <w:szCs w:val="21"/>
          <w:lang w:eastAsia="zh-Hans"/>
          <w14:textFill>
            <w14:solidFill>
              <w14:schemeClr w14:val="tx1"/>
            </w14:solidFill>
          </w14:textFill>
        </w:rPr>
        <w:t>表</w:t>
      </w:r>
      <w:r>
        <w:rPr>
          <w:rFonts w:ascii="Times New Roman Regular" w:hAnsi="Times New Roman Regular" w:cs="Times New Roman Regular"/>
          <w:color w:val="000000" w:themeColor="text1"/>
          <w:szCs w:val="21"/>
          <w:lang w:eastAsia="zh-Hans"/>
          <w14:textFill>
            <w14:solidFill>
              <w14:schemeClr w14:val="tx1"/>
            </w14:solidFill>
          </w14:textFill>
        </w:rPr>
        <w:t>1</w:t>
      </w:r>
      <w:r>
        <w:rPr>
          <w:rFonts w:hint="eastAsia" w:ascii="Times New Roman Regular" w:hAnsi="Times New Roman Regular" w:cs="Times New Roman Regular"/>
          <w:color w:val="000000" w:themeColor="text1"/>
          <w:szCs w:val="21"/>
          <w:lang w:val="en-US" w:eastAsia="zh-CN"/>
          <w14:textFill>
            <w14:solidFill>
              <w14:schemeClr w14:val="tx1"/>
            </w14:solidFill>
          </w14:textFill>
        </w:rPr>
        <w:t>0</w:t>
      </w:r>
      <w:r>
        <w:rPr>
          <w:rFonts w:hint="eastAsia"/>
          <w:color w:val="000000" w:themeColor="text1"/>
          <w:szCs w:val="21"/>
          <w:lang w:eastAsia="zh-Hans"/>
          <w14:textFill>
            <w14:solidFill>
              <w14:schemeClr w14:val="tx1"/>
            </w14:solidFill>
          </w14:textFill>
        </w:rPr>
        <w:t>结合来看</w:t>
      </w:r>
      <w:r>
        <w:rPr>
          <w:rFonts w:hint="eastAsia"/>
          <w:color w:val="000000" w:themeColor="text1"/>
          <w:szCs w:val="21"/>
          <w:lang w:val="en-US" w:eastAsia="zh-CN"/>
          <w14:textFill>
            <w14:solidFill>
              <w14:schemeClr w14:val="tx1"/>
            </w14:solidFill>
          </w14:textFill>
        </w:rPr>
        <w:t>不难发现</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土地市场降温后</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地方政府财力领域的变化要明显大于债务领域的变化</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因而整体上</w:t>
      </w:r>
      <w:r>
        <w:rPr>
          <w:rFonts w:hint="eastAsia"/>
          <w:color w:val="000000" w:themeColor="text1"/>
          <w:szCs w:val="21"/>
          <w:lang w:val="en-US" w:eastAsia="zh-CN"/>
          <w14:textFill>
            <w14:solidFill>
              <w14:schemeClr w14:val="tx1"/>
            </w14:solidFill>
          </w14:textFill>
        </w:rPr>
        <w:t>导致</w:t>
      </w:r>
      <w:r>
        <w:rPr>
          <w:rFonts w:hint="eastAsia"/>
          <w:color w:val="000000" w:themeColor="text1"/>
          <w:szCs w:val="21"/>
          <w:lang w:eastAsia="zh-Hans"/>
          <w14:textFill>
            <w14:solidFill>
              <w14:schemeClr w14:val="tx1"/>
            </w14:solidFill>
          </w14:textFill>
        </w:rPr>
        <w:t>了债务率上升的</w:t>
      </w:r>
      <w:r>
        <w:rPr>
          <w:rFonts w:hint="eastAsia"/>
          <w:color w:val="000000" w:themeColor="text1"/>
          <w:szCs w:val="21"/>
          <w:lang w:val="en-US" w:eastAsia="zh-CN"/>
          <w14:textFill>
            <w14:solidFill>
              <w14:schemeClr w14:val="tx1"/>
            </w14:solidFill>
          </w14:textFill>
        </w:rPr>
        <w:t>结果</w:t>
      </w:r>
      <w:r>
        <w:rPr>
          <w:color w:val="000000" w:themeColor="text1"/>
          <w:szCs w:val="21"/>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表1</w:t>
      </w:r>
      <w:r>
        <w:rPr>
          <w:rFonts w:hint="eastAsia" w:ascii="黑体" w:hAnsi="黑体" w:eastAsia="黑体" w:cs="黑体"/>
          <w:color w:val="000000" w:themeColor="text1"/>
          <w:sz w:val="18"/>
          <w:szCs w:val="18"/>
          <w:lang w:val="en-US" w:eastAsia="zh-CN"/>
          <w14:textFill>
            <w14:solidFill>
              <w14:schemeClr w14:val="tx1"/>
            </w14:solidFill>
          </w14:textFill>
        </w:rPr>
        <w:t>1</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val="en-US" w:eastAsia="zh-CN"/>
          <w14:textFill>
            <w14:solidFill>
              <w14:schemeClr w14:val="tx1"/>
            </w14:solidFill>
          </w14:textFill>
        </w:rPr>
        <w:t>补充</w:t>
      </w:r>
      <w:r>
        <w:rPr>
          <w:rFonts w:hint="eastAsia" w:ascii="黑体" w:hAnsi="黑体" w:eastAsia="黑体" w:cs="黑体"/>
          <w:color w:val="000000" w:themeColor="text1"/>
          <w:sz w:val="18"/>
          <w:szCs w:val="18"/>
          <w:lang w:eastAsia="zh-Hans"/>
          <w14:textFill>
            <w14:solidFill>
              <w14:schemeClr w14:val="tx1"/>
            </w14:solidFill>
          </w14:textFill>
        </w:rPr>
        <w:t>分析：土地市场降温对地方政府债务规模的影响</w:t>
      </w:r>
    </w:p>
    <w:tbl>
      <w:tblPr>
        <w:tblStyle w:val="4"/>
        <w:tblW w:w="5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024"/>
        <w:gridCol w:w="1286"/>
        <w:gridCol w:w="1286"/>
        <w:gridCol w:w="1286"/>
        <w:gridCol w:w="1286"/>
        <w:gridCol w:w="1288"/>
      </w:tblGrid>
      <w:tr>
        <w:trPr>
          <w:jc w:val="center"/>
        </w:trPr>
        <w:tc>
          <w:tcPr>
            <w:tcW w:w="1196"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760"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地方政府债务余额对数</w:t>
            </w:r>
          </w:p>
        </w:tc>
        <w:tc>
          <w:tcPr>
            <w:tcW w:w="760"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一般债余额对数</w:t>
            </w:r>
          </w:p>
        </w:tc>
        <w:tc>
          <w:tcPr>
            <w:tcW w:w="760"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专项债余额对数</w:t>
            </w:r>
          </w:p>
        </w:tc>
        <w:tc>
          <w:tcPr>
            <w:tcW w:w="760"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融资平台有息债务</w:t>
            </w:r>
            <w:r>
              <w:rPr>
                <w:rFonts w:hint="eastAsia" w:ascii="Times New Roman Regular" w:hAnsi="Times New Roman Regular" w:eastAsia="宋体" w:cs="Times New Roman Regular"/>
                <w:color w:val="000000" w:themeColor="text1"/>
                <w:kern w:val="0"/>
                <w:sz w:val="18"/>
                <w:szCs w:val="18"/>
                <w14:textFill>
                  <w14:solidFill>
                    <w14:schemeClr w14:val="tx1"/>
                  </w14:solidFill>
                </w14:textFill>
              </w:rPr>
              <w:t>余额</w:t>
            </w:r>
            <w:r>
              <w:rPr>
                <w:rFonts w:ascii="Times New Roman Regular" w:hAnsi="Times New Roman Regular" w:eastAsia="宋体" w:cs="Times New Roman Regular"/>
                <w:color w:val="000000" w:themeColor="text1"/>
                <w:kern w:val="0"/>
                <w:sz w:val="18"/>
                <w:szCs w:val="18"/>
                <w14:textFill>
                  <w14:solidFill>
                    <w14:schemeClr w14:val="tx1"/>
                  </w14:solidFill>
                </w14:textFill>
              </w:rPr>
              <w:t>对数</w:t>
            </w:r>
          </w:p>
        </w:tc>
        <w:tc>
          <w:tcPr>
            <w:tcW w:w="761" w:type="pc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债务总额对数</w:t>
            </w:r>
          </w:p>
        </w:tc>
      </w:tr>
      <w:tr>
        <w:trPr>
          <w:jc w:val="center"/>
        </w:trPr>
        <w:tc>
          <w:tcPr>
            <w:tcW w:w="1196"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76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76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76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76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(4)</w:t>
            </w:r>
          </w:p>
        </w:tc>
        <w:tc>
          <w:tcPr>
            <w:tcW w:w="761"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(5)</w:t>
            </w:r>
          </w:p>
        </w:tc>
      </w:tr>
      <w:tr>
        <w:trPr>
          <w:jc w:val="center"/>
        </w:trPr>
        <w:tc>
          <w:tcPr>
            <w:tcW w:w="1196"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76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0.070</w:t>
            </w:r>
          </w:p>
        </w:tc>
        <w:tc>
          <w:tcPr>
            <w:tcW w:w="76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-0.087</w:t>
            </w:r>
          </w:p>
        </w:tc>
        <w:tc>
          <w:tcPr>
            <w:tcW w:w="76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0.230</w:t>
            </w:r>
          </w:p>
        </w:tc>
        <w:tc>
          <w:tcPr>
            <w:tcW w:w="76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0.152</w:t>
            </w:r>
          </w:p>
        </w:tc>
        <w:tc>
          <w:tcPr>
            <w:tcW w:w="761"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0.036</w:t>
            </w:r>
          </w:p>
        </w:tc>
      </w:tr>
      <w:tr>
        <w:trPr>
          <w:jc w:val="center"/>
        </w:trPr>
        <w:tc>
          <w:tcPr>
            <w:tcW w:w="1196" w:type="pct"/>
            <w:vMerge w:val="continue"/>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(0.133)</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(0.102)</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(0.197)</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(0.201)</w:t>
            </w:r>
          </w:p>
        </w:tc>
        <w:tc>
          <w:tcPr>
            <w:tcW w:w="76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(0.143)</w:t>
            </w:r>
          </w:p>
        </w:tc>
      </w:tr>
      <w:tr>
        <w:trPr>
          <w:jc w:val="center"/>
        </w:trPr>
        <w:tc>
          <w:tcPr>
            <w:tcW w:w="1196"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196"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196"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控制变量×year dummy</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c>
          <w:tcPr>
            <w:tcW w:w="76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eastAsia="zh-CN"/>
                <w14:textFill>
                  <w14:solidFill>
                    <w14:schemeClr w14:val="tx1"/>
                  </w14:solidFill>
                </w14:textFill>
              </w:rPr>
              <w:t>是</w:t>
            </w:r>
          </w:p>
        </w:tc>
      </w:tr>
      <w:tr>
        <w:trPr>
          <w:jc w:val="center"/>
        </w:trPr>
        <w:tc>
          <w:tcPr>
            <w:tcW w:w="1196"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10386</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10158</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10002</w:t>
            </w:r>
          </w:p>
        </w:tc>
        <w:tc>
          <w:tcPr>
            <w:tcW w:w="76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10114</w:t>
            </w:r>
          </w:p>
        </w:tc>
        <w:tc>
          <w:tcPr>
            <w:tcW w:w="76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10114</w:t>
            </w:r>
          </w:p>
        </w:tc>
      </w:tr>
      <w:tr>
        <w:trPr>
          <w:jc w:val="center"/>
        </w:trPr>
        <w:tc>
          <w:tcPr>
            <w:tcW w:w="1196"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76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0.931</w:t>
            </w:r>
          </w:p>
        </w:tc>
        <w:tc>
          <w:tcPr>
            <w:tcW w:w="76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0.930</w:t>
            </w:r>
          </w:p>
        </w:tc>
        <w:tc>
          <w:tcPr>
            <w:tcW w:w="76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0.914</w:t>
            </w:r>
          </w:p>
        </w:tc>
        <w:tc>
          <w:tcPr>
            <w:tcW w:w="76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0.960</w:t>
            </w:r>
          </w:p>
        </w:tc>
        <w:tc>
          <w:tcPr>
            <w:tcW w:w="761"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0.954</w:t>
            </w:r>
          </w:p>
        </w:tc>
      </w:tr>
    </w:tbl>
    <w:p>
      <w:pPr>
        <w:keepNext w:val="0"/>
        <w:keepLines w:val="0"/>
        <w:pageBreakBefore w:val="0"/>
        <w:kinsoku/>
        <w:wordWrap/>
        <w:overflowPunct/>
        <w:topLinePunct w:val="0"/>
        <w:bidi w:val="0"/>
        <w:spacing w:line="360" w:lineRule="exact"/>
        <w:ind w:firstLine="360" w:firstLineChars="200"/>
        <w:rPr>
          <w:rFonts w:hint="default" w:ascii="Times New Roman Regular" w:hAnsi="Times New Roman Regular" w:eastAsia="宋体" w:cs="Times New Roman Regular"/>
          <w:color w:val="000000" w:themeColor="text1"/>
          <w:sz w:val="18"/>
          <w:szCs w:val="18"/>
          <w:lang w:val="en-US" w:eastAsia="zh-CN"/>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adjustRightInd w:val="0"/>
        <w:snapToGrid w:val="0"/>
        <w:spacing w:line="360" w:lineRule="atLeast"/>
        <w:ind w:firstLine="420" w:firstLineChars="200"/>
        <w:rPr>
          <w:rFonts w:hint="eastAsia" w:ascii="Times New Roman" w:hAnsi="Times New Roman" w:eastAsia="宋体" w:cs="Times New Roman"/>
          <w:color w:val="000000" w:themeColor="text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imes New Roman" w:hAnsi="Times New Roman" w:eastAsia="黑体" w:cs="Times New Roman"/>
          <w:color w:val="000000" w:themeColor="text1"/>
          <w:sz w:val="24"/>
          <w:szCs w:val="24"/>
          <w:lang w:val="en-US" w:eastAsia="zh-CN"/>
          <w14:textFill>
            <w14:solidFill>
              <w14:schemeClr w14:val="tx1"/>
            </w14:solidFill>
          </w14:textFill>
        </w:rPr>
        <w:sectPr>
          <w:footnotePr>
            <w:numFmt w:val="decimalEnclosedCircleChinese"/>
            <w:numRestart w:val="eachPage"/>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Times New Roman" w:hAnsi="Times New Roman" w:eastAsia="黑体" w:cs="Times New Roman"/>
          <w:color w:val="000000" w:themeColor="text1"/>
          <w:sz w:val="24"/>
          <w:szCs w:val="24"/>
          <w:lang w:val="en-US" w:eastAsia="zh-Hans"/>
          <w14:textFill>
            <w14:solidFill>
              <w14:schemeClr w14:val="tx1"/>
            </w14:solidFill>
          </w14:textFill>
        </w:rPr>
      </w:pPr>
      <w:r>
        <w:rPr>
          <w:rFonts w:hint="eastAsia" w:ascii="Times New Roman" w:hAnsi="Times New Roman" w:eastAsia="黑体" w:cs="Times New Roman"/>
          <w:color w:val="000000" w:themeColor="text1"/>
          <w:sz w:val="24"/>
          <w:szCs w:val="24"/>
          <w:lang w:val="en-US" w:eastAsia="zh-CN"/>
          <w14:textFill>
            <w14:solidFill>
              <w14:schemeClr w14:val="tx1"/>
            </w14:solidFill>
          </w14:textFill>
        </w:rPr>
        <w:t xml:space="preserve">附录3 </w:t>
      </w:r>
      <w:r>
        <w:rPr>
          <w:rFonts w:hint="eastAsia" w:ascii="Times New Roman" w:hAnsi="Times New Roman" w:eastAsia="黑体" w:cs="Times New Roman"/>
          <w:color w:val="000000" w:themeColor="text1"/>
          <w:sz w:val="24"/>
          <w:szCs w:val="24"/>
          <w:lang w:val="en-US" w:eastAsia="zh-Hans"/>
          <w14:textFill>
            <w14:solidFill>
              <w14:schemeClr w14:val="tx1"/>
            </w14:solidFill>
          </w14:textFill>
        </w:rPr>
        <w:t>基于地理区域的异质性分析</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r>
        <w:rPr>
          <w:rFonts w:hint="eastAsia"/>
          <w:color w:val="000000" w:themeColor="text1"/>
          <w:szCs w:val="21"/>
          <w:lang w:eastAsia="zh-Hans"/>
          <w14:textFill>
            <w14:solidFill>
              <w14:schemeClr w14:val="tx1"/>
            </w14:solidFill>
          </w14:textFill>
        </w:rPr>
        <w:t>本文将全国各地区分为东部地区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中部地区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西部地区和东北地区</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其中</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东部地区包括</w:t>
      </w:r>
      <w:r>
        <w:rPr>
          <w:color w:val="000000" w:themeColor="text1"/>
          <w:szCs w:val="21"/>
          <w:lang w:eastAsia="zh-Hans"/>
          <w14:textFill>
            <w14:solidFill>
              <w14:schemeClr w14:val="tx1"/>
            </w14:solidFill>
          </w14:textFill>
        </w:rPr>
        <w:t>北京市、天津市、河北省、上海市、江苏省、浙江省、福建省、山东省、广东省、海南省，</w:t>
      </w:r>
      <w:r>
        <w:rPr>
          <w:rFonts w:hint="eastAsia"/>
          <w:color w:val="000000" w:themeColor="text1"/>
          <w:szCs w:val="21"/>
          <w:lang w:eastAsia="zh-Hans"/>
          <w14:textFill>
            <w14:solidFill>
              <w14:schemeClr w14:val="tx1"/>
            </w14:solidFill>
          </w14:textFill>
        </w:rPr>
        <w:t>中部地区包括</w:t>
      </w:r>
      <w:r>
        <w:rPr>
          <w:color w:val="000000" w:themeColor="text1"/>
          <w:szCs w:val="21"/>
          <w:lang w:eastAsia="zh-Hans"/>
          <w14:textFill>
            <w14:solidFill>
              <w14:schemeClr w14:val="tx1"/>
            </w14:solidFill>
          </w14:textFill>
        </w:rPr>
        <w:t>山西省、安徽省、江西省、河南省、湖北省、湖南省，</w:t>
      </w:r>
      <w:r>
        <w:rPr>
          <w:rFonts w:hint="eastAsia"/>
          <w:color w:val="000000" w:themeColor="text1"/>
          <w:szCs w:val="21"/>
          <w:lang w:eastAsia="zh-Hans"/>
          <w14:textFill>
            <w14:solidFill>
              <w14:schemeClr w14:val="tx1"/>
            </w14:solidFill>
          </w14:textFill>
        </w:rPr>
        <w:t>西部地区包括</w:t>
      </w:r>
      <w:r>
        <w:rPr>
          <w:color w:val="000000" w:themeColor="text1"/>
          <w:szCs w:val="21"/>
          <w:lang w:eastAsia="zh-Hans"/>
          <w14:textFill>
            <w14:solidFill>
              <w14:schemeClr w14:val="tx1"/>
            </w14:solidFill>
          </w14:textFill>
        </w:rPr>
        <w:t>内蒙古自治区、广西壮族自治区、重庆市、四川省、贵州省、云南省、西藏自治区、陕西省、甘肃省、青海省、宁夏回族自治区、新疆维吾尔自治区，</w:t>
      </w:r>
      <w:r>
        <w:rPr>
          <w:rFonts w:hint="eastAsia"/>
          <w:color w:val="000000" w:themeColor="text1"/>
          <w:szCs w:val="21"/>
          <w:lang w:eastAsia="zh-Hans"/>
          <w14:textFill>
            <w14:solidFill>
              <w14:schemeClr w14:val="tx1"/>
            </w14:solidFill>
          </w14:textFill>
        </w:rPr>
        <w:t>东北地区包括</w:t>
      </w:r>
      <w:r>
        <w:rPr>
          <w:color w:val="000000" w:themeColor="text1"/>
          <w:szCs w:val="21"/>
          <w:lang w:eastAsia="zh-Hans"/>
          <w14:textFill>
            <w14:solidFill>
              <w14:schemeClr w14:val="tx1"/>
            </w14:solidFill>
          </w14:textFill>
        </w:rPr>
        <w:t>辽宁省、吉林省、黑龙江省。</w:t>
      </w:r>
      <w:r>
        <w:rPr>
          <w:rFonts w:hint="eastAsia"/>
          <w:color w:val="000000" w:themeColor="text1"/>
          <w:szCs w:val="21"/>
          <w:lang w:eastAsia="zh-Hans"/>
          <w14:textFill>
            <w14:solidFill>
              <w14:schemeClr w14:val="tx1"/>
            </w14:solidFill>
          </w14:textFill>
        </w:rPr>
        <w:t>通过将四个地理区域虚拟变量分别与核心解释变量进行交互</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构建三重差分模型对政策效应</w:t>
      </w:r>
      <w:r>
        <w:rPr>
          <w:rFonts w:hint="eastAsia"/>
          <w:color w:val="000000" w:themeColor="text1"/>
          <w:szCs w:val="21"/>
          <w:lang w:val="en-US" w:eastAsia="zh-CN"/>
          <w14:textFill>
            <w14:solidFill>
              <w14:schemeClr w14:val="tx1"/>
            </w14:solidFill>
          </w14:textFill>
        </w:rPr>
        <w:t>的地理区域特征</w:t>
      </w:r>
      <w:r>
        <w:rPr>
          <w:rFonts w:hint="eastAsia"/>
          <w:color w:val="000000" w:themeColor="text1"/>
          <w:szCs w:val="21"/>
          <w:lang w:eastAsia="zh-Hans"/>
          <w14:textFill>
            <w14:solidFill>
              <w14:schemeClr w14:val="tx1"/>
            </w14:solidFill>
          </w14:textFill>
        </w:rPr>
        <w:t>进行异质性分析</w:t>
      </w:r>
      <w:r>
        <w:rPr>
          <w:color w:val="000000" w:themeColor="text1"/>
          <w:szCs w:val="21"/>
          <w:lang w:eastAsia="zh-Hans"/>
          <w14:textFill>
            <w14:solidFill>
              <w14:schemeClr w14:val="tx1"/>
            </w14:solidFill>
          </w14:textFill>
        </w:rPr>
        <w:t>。</w:t>
      </w:r>
      <w:r>
        <w:rPr>
          <w:rFonts w:hint="eastAsia"/>
          <w:color w:val="000000" w:themeColor="text1"/>
          <w:szCs w:val="21"/>
          <w:lang w:val="en-US" w:eastAsia="zh-CN"/>
          <w14:textFill>
            <w14:solidFill>
              <w14:schemeClr w14:val="tx1"/>
            </w14:solidFill>
          </w14:textFill>
        </w:rPr>
        <w:t>附</w:t>
      </w:r>
      <w:r>
        <w:rPr>
          <w:rFonts w:hint="eastAsia"/>
          <w:color w:val="000000" w:themeColor="text1"/>
          <w:szCs w:val="21"/>
          <w:lang w:eastAsia="zh-Hans"/>
          <w14:textFill>
            <w14:solidFill>
              <w14:schemeClr w14:val="tx1"/>
            </w14:solidFill>
          </w14:textFill>
        </w:rPr>
        <w:t>表</w:t>
      </w:r>
      <w:r>
        <w:rPr>
          <w:rFonts w:hint="eastAsia" w:ascii="Times New Roman Regular" w:hAnsi="Times New Roman Regular" w:cs="Times New Roman Regular"/>
          <w:color w:val="000000" w:themeColor="text1"/>
          <w:szCs w:val="21"/>
          <w:lang w:val="en-US" w:eastAsia="zh-CN"/>
          <w14:textFill>
            <w14:solidFill>
              <w14:schemeClr w14:val="tx1"/>
            </w14:solidFill>
          </w14:textFill>
        </w:rPr>
        <w:t>12</w:t>
      </w:r>
      <w:r>
        <w:rPr>
          <w:rFonts w:hint="eastAsia"/>
          <w:color w:val="000000" w:themeColor="text1"/>
          <w:szCs w:val="21"/>
          <w:lang w:eastAsia="zh-Hans"/>
          <w14:textFill>
            <w14:solidFill>
              <w14:schemeClr w14:val="tx1"/>
            </w14:solidFill>
          </w14:textFill>
        </w:rPr>
        <w:t>展示了基于地理区域进行异质性分析的实证回归结果</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第</w:t>
      </w:r>
      <w:r>
        <w:rPr>
          <w:rFonts w:ascii="Times New Roman Regular" w:hAnsi="Times New Roman Regular" w:cs="Times New Roman Regular"/>
          <w:color w:val="000000" w:themeColor="text1"/>
          <w:szCs w:val="21"/>
          <w:lang w:eastAsia="zh-Hans"/>
          <w14:textFill>
            <w14:solidFill>
              <w14:schemeClr w14:val="tx1"/>
            </w14:solidFill>
          </w14:textFill>
        </w:rPr>
        <w:t>（1）</w:t>
      </w:r>
      <w:r>
        <w:rPr>
          <w:rFonts w:hint="eastAsia"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lang w:eastAsia="zh-Hans"/>
          <w14:textFill>
            <w14:solidFill>
              <w14:schemeClr w14:val="tx1"/>
            </w14:solidFill>
          </w14:textFill>
        </w:rPr>
        <w:t>（4）</w:t>
      </w:r>
      <w:r>
        <w:rPr>
          <w:rFonts w:hint="eastAsia"/>
          <w:color w:val="000000" w:themeColor="text1"/>
          <w:szCs w:val="21"/>
          <w:lang w:eastAsia="zh-Hans"/>
          <w14:textFill>
            <w14:solidFill>
              <w14:schemeClr w14:val="tx1"/>
            </w14:solidFill>
          </w14:textFill>
        </w:rPr>
        <w:t>列回</w:t>
      </w:r>
      <w:r>
        <w:rPr>
          <w:rFonts w:ascii="Times New Roman Regular" w:hAnsi="Times New Roman Regular" w:cs="Times New Roman Regular"/>
          <w:color w:val="000000" w:themeColor="text1"/>
          <w:szCs w:val="21"/>
          <w:lang w:eastAsia="zh-Hans"/>
          <w14:textFill>
            <w14:solidFill>
              <w14:schemeClr w14:val="tx1"/>
            </w14:solidFill>
          </w14:textFill>
        </w:rPr>
        <w:t>归</w:t>
      </w:r>
      <w:r>
        <w:rPr>
          <w:rFonts w:hint="eastAsia"/>
          <w:color w:val="000000" w:themeColor="text1"/>
          <w:szCs w:val="21"/>
          <w:lang w:eastAsia="zh-Hans"/>
          <w14:textFill>
            <w14:solidFill>
              <w14:schemeClr w14:val="tx1"/>
            </w14:solidFill>
          </w14:textFill>
        </w:rPr>
        <w:t>系数表明</w:t>
      </w:r>
      <w:r>
        <w:rPr>
          <w:color w:val="000000" w:themeColor="text1"/>
          <w:szCs w:val="21"/>
          <w:lang w:eastAsia="zh-Hans"/>
          <w14:textFill>
            <w14:solidFill>
              <w14:schemeClr w14:val="tx1"/>
            </w14:solidFill>
          </w14:textFill>
        </w:rPr>
        <w:t>，</w:t>
      </w:r>
      <w:r>
        <w:rPr>
          <w:rFonts w:hint="eastAsia"/>
          <w:color w:val="000000" w:themeColor="text1"/>
          <w:szCs w:val="21"/>
          <w:lang w:eastAsia="zh-Hans"/>
          <w14:textFill>
            <w14:solidFill>
              <w14:schemeClr w14:val="tx1"/>
            </w14:solidFill>
          </w14:textFill>
        </w:rPr>
        <w:t>中部地区受到政策冲击的影响更为明显</w:t>
      </w:r>
      <w:r>
        <w:rPr>
          <w:color w:val="000000" w:themeColor="text1"/>
          <w:szCs w:val="21"/>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lang w:eastAsia="zh-Hans"/>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表1</w:t>
      </w:r>
      <w:r>
        <w:rPr>
          <w:rFonts w:hint="eastAsia" w:ascii="黑体" w:hAnsi="黑体" w:eastAsia="黑体" w:cs="黑体"/>
          <w:color w:val="000000" w:themeColor="text1"/>
          <w:sz w:val="18"/>
          <w:szCs w:val="18"/>
          <w:lang w:val="en-US" w:eastAsia="zh-CN"/>
          <w14:textFill>
            <w14:solidFill>
              <w14:schemeClr w14:val="tx1"/>
            </w14:solidFill>
          </w14:textFill>
        </w:rPr>
        <w:t xml:space="preserve">2 </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异质性分析：地理区域</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2362"/>
        <w:gridCol w:w="1522"/>
        <w:gridCol w:w="1522"/>
        <w:gridCol w:w="1522"/>
        <w:gridCol w:w="1525"/>
      </w:tblGrid>
      <w:tr>
        <w:trPr>
          <w:jc w:val="center"/>
        </w:trPr>
        <w:tc>
          <w:tcPr>
            <w:tcW w:w="1397"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变量</w:t>
            </w:r>
          </w:p>
        </w:tc>
        <w:tc>
          <w:tcPr>
            <w:tcW w:w="3602" w:type="pct"/>
            <w:gridSpan w:val="4"/>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债务率</w:t>
            </w:r>
          </w:p>
        </w:tc>
      </w:tr>
      <w:tr>
        <w:trPr>
          <w:jc w:val="center"/>
        </w:trPr>
        <w:tc>
          <w:tcPr>
            <w:tcW w:w="1397"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(1)</w:t>
            </w:r>
          </w:p>
        </w:tc>
        <w:tc>
          <w:tcPr>
            <w:tcW w:w="90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(2)</w:t>
            </w:r>
          </w:p>
        </w:tc>
        <w:tc>
          <w:tcPr>
            <w:tcW w:w="900"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(3)</w:t>
            </w:r>
          </w:p>
        </w:tc>
        <w:tc>
          <w:tcPr>
            <w:tcW w:w="901"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(4)</w:t>
            </w:r>
          </w:p>
        </w:tc>
      </w:tr>
      <w:tr>
        <w:trPr>
          <w:jc w:val="center"/>
        </w:trPr>
        <w:tc>
          <w:tcPr>
            <w:tcW w:w="1397"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东部地区</w:t>
            </w:r>
          </w:p>
        </w:tc>
        <w:tc>
          <w:tcPr>
            <w:tcW w:w="90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-0.232</w:t>
            </w:r>
          </w:p>
        </w:tc>
        <w:tc>
          <w:tcPr>
            <w:tcW w:w="90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1"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r>
      <w:tr>
        <w:trPr>
          <w:jc w:val="center"/>
        </w:trPr>
        <w:tc>
          <w:tcPr>
            <w:tcW w:w="139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(0.552)</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r>
      <w:tr>
        <w:trPr>
          <w:jc w:val="center"/>
        </w:trPr>
        <w:tc>
          <w:tcPr>
            <w:tcW w:w="139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中部地区</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1.434**</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r>
      <w:tr>
        <w:trPr>
          <w:jc w:val="center"/>
        </w:trPr>
        <w:tc>
          <w:tcPr>
            <w:tcW w:w="139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(0.660)</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r>
      <w:tr>
        <w:trPr>
          <w:jc w:val="center"/>
        </w:trPr>
        <w:tc>
          <w:tcPr>
            <w:tcW w:w="139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西部地区</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-0.108</w:t>
            </w: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r>
      <w:tr>
        <w:trPr>
          <w:jc w:val="center"/>
        </w:trPr>
        <w:tc>
          <w:tcPr>
            <w:tcW w:w="139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(1.029)</w:t>
            </w: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r>
      <w:tr>
        <w:trPr>
          <w:trHeight w:val="90" w:hRule="atLeast"/>
          <w:jc w:val="center"/>
        </w:trPr>
        <w:tc>
          <w:tcPr>
            <w:tcW w:w="139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8"/>
                <w:szCs w:val="18"/>
                <w:lang w:eastAsia="zh-Hans"/>
                <w14:textFill>
                  <w14:solidFill>
                    <w14:schemeClr w14:val="tx1"/>
                  </w14:solidFill>
                </w14:textFill>
              </w:rPr>
              <w:t>东北地区</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-1.959</w:t>
            </w:r>
          </w:p>
        </w:tc>
      </w:tr>
      <w:tr>
        <w:trPr>
          <w:jc w:val="center"/>
        </w:trPr>
        <w:tc>
          <w:tcPr>
            <w:tcW w:w="139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(1.684)</w:t>
            </w:r>
          </w:p>
        </w:tc>
      </w:tr>
      <w:tr>
        <w:trPr>
          <w:jc w:val="center"/>
        </w:trPr>
        <w:tc>
          <w:tcPr>
            <w:tcW w:w="1397"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i/>
                <w:iCs/>
                <w:color w:val="000000" w:themeColor="text1"/>
                <w:kern w:val="0"/>
                <w:sz w:val="18"/>
                <w:szCs w:val="18"/>
                <w14:textFill>
                  <w14:solidFill>
                    <w14:schemeClr w14:val="tx1"/>
                  </w14:solidFill>
                </w14:textFill>
              </w:rPr>
              <w:t>政策冲击</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1.192**</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0.666</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1.254***</w:t>
            </w: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1.176**</w:t>
            </w:r>
          </w:p>
        </w:tc>
      </w:tr>
      <w:tr>
        <w:trPr>
          <w:jc w:val="center"/>
        </w:trPr>
        <w:tc>
          <w:tcPr>
            <w:tcW w:w="1397"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(0.530)</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(0.625)</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(0.406)</w:t>
            </w: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(0.463)</w:t>
            </w:r>
          </w:p>
        </w:tc>
      </w:tr>
      <w:tr>
        <w:trPr>
          <w:jc w:val="center"/>
        </w:trPr>
        <w:tc>
          <w:tcPr>
            <w:tcW w:w="13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8"/>
                <w:szCs w:val="18"/>
                <w:lang w:eastAsia="zh-Hans"/>
                <w14:textFill>
                  <w14:solidFill>
                    <w14:schemeClr w14:val="tx1"/>
                  </w14:solidFill>
                </w14:textFill>
              </w:rPr>
              <w:t>三重差分所需要素</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3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年份固定效应</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3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地区固定效应</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3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控制变量×year dummy</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0"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c>
          <w:tcPr>
            <w:tcW w:w="901"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eastAsia"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t>是</w:t>
            </w:r>
          </w:p>
        </w:tc>
      </w:tr>
      <w:tr>
        <w:trPr>
          <w:jc w:val="center"/>
        </w:trPr>
        <w:tc>
          <w:tcPr>
            <w:tcW w:w="1397"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kern w:val="0"/>
                <w:sz w:val="18"/>
                <w:szCs w:val="18"/>
                <w14:textFill>
                  <w14:solidFill>
                    <w14:schemeClr w14:val="tx1"/>
                  </w14:solidFill>
                </w14:textFill>
              </w:rPr>
              <w:t>样本量</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10114</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10114</w:t>
            </w:r>
          </w:p>
        </w:tc>
        <w:tc>
          <w:tcPr>
            <w:tcW w:w="900"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10114</w:t>
            </w:r>
          </w:p>
        </w:tc>
        <w:tc>
          <w:tcPr>
            <w:tcW w:w="901"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10114</w:t>
            </w:r>
          </w:p>
        </w:tc>
      </w:tr>
      <w:tr>
        <w:trPr>
          <w:jc w:val="center"/>
        </w:trPr>
        <w:tc>
          <w:tcPr>
            <w:tcW w:w="1397"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hint="default" w:ascii="Times New Roman Italic" w:hAnsi="Times New Roman Italic" w:eastAsia="宋体" w:cs="Times New Roman Italic"/>
                <w:i/>
                <w:iCs/>
                <w:color w:val="000000" w:themeColor="text1"/>
                <w:kern w:val="0"/>
                <w:sz w:val="18"/>
                <w:szCs w:val="18"/>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8"/>
                <w:szCs w:val="18"/>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8"/>
                <w:szCs w:val="18"/>
                <w:vertAlign w:val="baseline"/>
                <w:lang w:val="en-US" w:eastAsia="zh-CN"/>
                <w14:textFill>
                  <w14:solidFill>
                    <w14:schemeClr w14:val="tx1"/>
                  </w14:solidFill>
                </w14:textFill>
              </w:rPr>
              <w:t>值</w:t>
            </w:r>
          </w:p>
        </w:tc>
        <w:tc>
          <w:tcPr>
            <w:tcW w:w="90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0.688</w:t>
            </w:r>
          </w:p>
        </w:tc>
        <w:tc>
          <w:tcPr>
            <w:tcW w:w="90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0.689</w:t>
            </w:r>
          </w:p>
        </w:tc>
        <w:tc>
          <w:tcPr>
            <w:tcW w:w="900"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0.688</w:t>
            </w:r>
          </w:p>
        </w:tc>
        <w:tc>
          <w:tcPr>
            <w:tcW w:w="901"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8"/>
                <w:szCs w:val="18"/>
                <w14:textFill>
                  <w14:solidFill>
                    <w14:schemeClr w14:val="tx1"/>
                  </w14:solidFill>
                </w14:textFill>
              </w:rPr>
            </w:pPr>
            <w:r>
              <w:rPr>
                <w:rFonts w:ascii="Times New Roman Regular" w:hAnsi="Times New Roman Regular" w:eastAsia="宋体" w:cs="Times New Roman Regular"/>
                <w:color w:val="000000" w:themeColor="text1"/>
                <w:sz w:val="18"/>
                <w:szCs w:val="18"/>
                <w14:textFill>
                  <w14:solidFill>
                    <w14:schemeClr w14:val="tx1"/>
                  </w14:solidFill>
                </w14:textFill>
              </w:rPr>
              <w:t>0.691</w:t>
            </w:r>
          </w:p>
        </w:tc>
      </w:tr>
    </w:tbl>
    <w:p>
      <w:pPr>
        <w:keepNext w:val="0"/>
        <w:keepLines w:val="0"/>
        <w:pageBreakBefore w:val="0"/>
        <w:kinsoku/>
        <w:wordWrap/>
        <w:overflowPunct/>
        <w:topLinePunct w:val="0"/>
        <w:bidi w:val="0"/>
        <w:spacing w:line="360" w:lineRule="exact"/>
        <w:ind w:firstLine="360" w:firstLineChars="200"/>
        <w:rPr>
          <w:rFonts w:hint="default" w:ascii="Times New Roman Regular" w:hAnsi="Times New Roman Regular" w:eastAsia="宋体" w:cs="Times New Roman Regular"/>
          <w:color w:val="000000" w:themeColor="text1"/>
          <w:sz w:val="18"/>
          <w:szCs w:val="18"/>
          <w:lang w:val="en-US" w:eastAsia="zh-CN"/>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p>
    <w:p>
      <w:pPr>
        <w:keepNext w:val="0"/>
        <w:keepLines w:val="0"/>
        <w:pageBreakBefore w:val="0"/>
        <w:kinsoku/>
        <w:wordWrap/>
        <w:overflowPunct/>
        <w:topLinePunct w:val="0"/>
        <w:bidi w:val="0"/>
        <w:spacing w:line="360" w:lineRule="exact"/>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为探究</w:t>
      </w:r>
      <w:r>
        <w:rPr>
          <w:rFonts w:hint="eastAsia"/>
          <w:color w:val="000000" w:themeColor="text1"/>
          <w:szCs w:val="21"/>
          <w:lang w:eastAsia="zh-Hans"/>
          <w14:textFill>
            <w14:solidFill>
              <w14:schemeClr w14:val="tx1"/>
            </w14:solidFill>
          </w14:textFill>
        </w:rPr>
        <w:t>中部地区</w:t>
      </w:r>
      <w:r>
        <w:rPr>
          <w:rFonts w:hint="eastAsia"/>
          <w:color w:val="000000" w:themeColor="text1"/>
          <w:szCs w:val="21"/>
          <w14:textFill>
            <w14:solidFill>
              <w14:schemeClr w14:val="tx1"/>
            </w14:solidFill>
          </w14:textFill>
        </w:rPr>
        <w:t>为何</w:t>
      </w:r>
      <w:r>
        <w:rPr>
          <w:rFonts w:hint="eastAsia"/>
          <w:color w:val="000000" w:themeColor="text1"/>
          <w:szCs w:val="21"/>
          <w:lang w:val="en-US" w:eastAsia="zh-CN"/>
          <w14:textFill>
            <w14:solidFill>
              <w14:schemeClr w14:val="tx1"/>
            </w14:solidFill>
          </w14:textFill>
        </w:rPr>
        <w:t>更容易</w:t>
      </w:r>
      <w:r>
        <w:rPr>
          <w:rFonts w:hint="eastAsia"/>
          <w:color w:val="000000" w:themeColor="text1"/>
          <w:szCs w:val="21"/>
          <w:lang w:eastAsia="zh-Hans"/>
          <w14:textFill>
            <w14:solidFill>
              <w14:schemeClr w14:val="tx1"/>
            </w14:solidFill>
          </w14:textFill>
        </w:rPr>
        <w:t>受到政策冲击影响</w:t>
      </w:r>
      <w:r>
        <w:rPr>
          <w:rFonts w:hint="eastAsia"/>
          <w:color w:val="000000" w:themeColor="text1"/>
          <w:szCs w:val="21"/>
          <w14:textFill>
            <w14:solidFill>
              <w14:schemeClr w14:val="tx1"/>
            </w14:solidFill>
          </w14:textFill>
        </w:rPr>
        <w:t>，本文在</w:t>
      </w:r>
      <w:r>
        <w:rPr>
          <w:rFonts w:hint="eastAsia"/>
          <w:color w:val="000000" w:themeColor="text1"/>
          <w:szCs w:val="21"/>
          <w:lang w:val="en-US" w:eastAsia="zh-CN"/>
          <w14:textFill>
            <w14:solidFill>
              <w14:schemeClr w14:val="tx1"/>
            </w14:solidFill>
          </w14:textFill>
        </w:rPr>
        <w:t>附</w:t>
      </w:r>
      <w:r>
        <w:rPr>
          <w:rFonts w:hint="eastAsia"/>
          <w:color w:val="000000" w:themeColor="text1"/>
          <w:szCs w:val="21"/>
          <w14:textFill>
            <w14:solidFill>
              <w14:schemeClr w14:val="tx1"/>
            </w14:solidFill>
          </w14:textFill>
        </w:rPr>
        <w:t>表</w:t>
      </w:r>
      <w:r>
        <w:rPr>
          <w:rFonts w:ascii="Times New Roman Regular" w:hAnsi="Times New Roman Regular" w:cs="Times New Roman Regular"/>
          <w:color w:val="000000" w:themeColor="text1"/>
          <w:szCs w:val="21"/>
          <w14:textFill>
            <w14:solidFill>
              <w14:schemeClr w14:val="tx1"/>
            </w14:solidFill>
          </w14:textFill>
        </w:rPr>
        <w:t>1</w:t>
      </w:r>
      <w:r>
        <w:rPr>
          <w:rFonts w:hint="eastAsia" w:ascii="Times New Roman Regular" w:hAnsi="Times New Roman Regular" w:cs="Times New Roman Regular"/>
          <w:color w:val="000000" w:themeColor="text1"/>
          <w:szCs w:val="21"/>
          <w:lang w:val="en-US" w:eastAsia="zh-CN"/>
          <w14:textFill>
            <w14:solidFill>
              <w14:schemeClr w14:val="tx1"/>
            </w14:solidFill>
          </w14:textFill>
        </w:rPr>
        <w:t>3</w:t>
      </w:r>
      <w:r>
        <w:rPr>
          <w:rFonts w:ascii="Times New Roman Regular" w:hAnsi="Times New Roman Regular" w:cs="Times New Roman Regular"/>
          <w:color w:val="000000" w:themeColor="text1"/>
          <w:szCs w:val="21"/>
          <w14:textFill>
            <w14:solidFill>
              <w14:schemeClr w14:val="tx1"/>
            </w14:solidFill>
          </w14:textFill>
        </w:rPr>
        <w:t>中对各地区土地市场降温后的债务总额对数和总财力对数进行了分解回归</w:t>
      </w:r>
      <w:r>
        <w:rPr>
          <w:rFonts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14:textFill>
            <w14:solidFill>
              <w14:schemeClr w14:val="tx1"/>
            </w14:solidFill>
          </w14:textFill>
        </w:rPr>
        <w:t>从Panel A第（1）</w:t>
      </w:r>
      <w:r>
        <w:rPr>
          <w:rFonts w:hint="eastAsia"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14:textFill>
            <w14:solidFill>
              <w14:schemeClr w14:val="tx1"/>
            </w14:solidFill>
          </w14:textFill>
        </w:rPr>
        <w:t>（4）列能够发现，中部地区在政策冲击后的债务总额对数出现了更大程度的上升，而第（5）</w:t>
      </w:r>
      <w:r>
        <w:rPr>
          <w:rFonts w:hint="eastAsia"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14:textFill>
            <w14:solidFill>
              <w14:schemeClr w14:val="tx1"/>
            </w14:solidFill>
          </w14:textFill>
        </w:rPr>
        <w:t>（8）列结</w:t>
      </w:r>
      <w:r>
        <w:rPr>
          <w:rFonts w:hint="eastAsia"/>
          <w:color w:val="000000" w:themeColor="text1"/>
          <w:szCs w:val="21"/>
          <w14:textFill>
            <w14:solidFill>
              <w14:schemeClr w14:val="tx1"/>
            </w14:solidFill>
          </w14:textFill>
        </w:rPr>
        <w:t>果显示，中部地区的总财力并未发生显著变化。因此，中部地区的债务率在土地市场降温后出现了显著上升。西部地区的债务总额虽出现下降，但其总财力亦呈现下降趋势，二者效应相互抵消，导致西部地区债务率变化并不显著。</w:t>
      </w:r>
      <w:r>
        <w:rPr>
          <w:rFonts w:ascii="Times New Roman Regular" w:hAnsi="Times New Roman Regular" w:cs="Times New Roman Regular"/>
          <w:color w:val="000000" w:themeColor="text1"/>
          <w:szCs w:val="21"/>
          <w14:textFill>
            <w14:solidFill>
              <w14:schemeClr w14:val="tx1"/>
            </w14:solidFill>
          </w14:textFill>
        </w:rPr>
        <w:t>Panel B第（1）</w:t>
      </w:r>
      <w:r>
        <w:rPr>
          <w:rFonts w:hint="eastAsia"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14:textFill>
            <w14:solidFill>
              <w14:schemeClr w14:val="tx1"/>
            </w14:solidFill>
          </w14:textFill>
        </w:rPr>
        <w:t>（4）列</w:t>
      </w:r>
      <w:r>
        <w:rPr>
          <w:rFonts w:hint="eastAsia" w:ascii="Times New Roman Regular" w:hAnsi="Times New Roman Regular" w:cs="Times New Roman Regular"/>
          <w:color w:val="000000" w:themeColor="text1"/>
          <w:szCs w:val="21"/>
          <w14:textFill>
            <w14:solidFill>
              <w14:schemeClr w14:val="tx1"/>
            </w14:solidFill>
          </w14:textFill>
        </w:rPr>
        <w:t>展示了中部地区的债务分项情况，</w:t>
      </w:r>
      <w:r>
        <w:rPr>
          <w:rFonts w:ascii="Times New Roman Regular" w:hAnsi="Times New Roman Regular" w:cs="Times New Roman Regular"/>
          <w:color w:val="000000" w:themeColor="text1"/>
          <w:szCs w:val="21"/>
          <w14:textFill>
            <w14:solidFill>
              <w14:schemeClr w14:val="tx1"/>
            </w14:solidFill>
          </w14:textFill>
        </w:rPr>
        <w:t>第（</w:t>
      </w:r>
      <w:r>
        <w:rPr>
          <w:rFonts w:hint="eastAsia" w:ascii="Times New Roman Regular" w:hAnsi="Times New Roman Regular" w:cs="Times New Roman Regular"/>
          <w:color w:val="000000" w:themeColor="text1"/>
          <w:szCs w:val="21"/>
          <w14:textFill>
            <w14:solidFill>
              <w14:schemeClr w14:val="tx1"/>
            </w14:solidFill>
          </w14:textFill>
        </w:rPr>
        <w:t>5</w:t>
      </w:r>
      <w:r>
        <w:rPr>
          <w:rFonts w:ascii="Times New Roman Regular" w:hAnsi="Times New Roman Regular" w:cs="Times New Roman Regular"/>
          <w:color w:val="000000" w:themeColor="text1"/>
          <w:szCs w:val="21"/>
          <w14:textFill>
            <w14:solidFill>
              <w14:schemeClr w14:val="tx1"/>
            </w14:solidFill>
          </w14:textFill>
        </w:rPr>
        <w:t>）</w:t>
      </w:r>
      <w:r>
        <w:rPr>
          <w:rFonts w:hint="eastAsia" w:ascii="Times New Roman Regular" w:hAnsi="Times New Roman Regular" w:cs="Times New Roman Regular"/>
          <w:color w:val="000000" w:themeColor="text1"/>
          <w:szCs w:val="21"/>
          <w:lang w:eastAsia="zh-Hans"/>
          <w14:textFill>
            <w14:solidFill>
              <w14:schemeClr w14:val="tx1"/>
            </w14:solidFill>
          </w14:textFill>
        </w:rPr>
        <w:t>~</w:t>
      </w:r>
      <w:r>
        <w:rPr>
          <w:rFonts w:ascii="Times New Roman Regular" w:hAnsi="Times New Roman Regular" w:cs="Times New Roman Regular"/>
          <w:color w:val="000000" w:themeColor="text1"/>
          <w:szCs w:val="21"/>
          <w14:textFill>
            <w14:solidFill>
              <w14:schemeClr w14:val="tx1"/>
            </w14:solidFill>
          </w14:textFill>
        </w:rPr>
        <w:t>（</w:t>
      </w:r>
      <w:r>
        <w:rPr>
          <w:rFonts w:hint="eastAsia" w:ascii="Times New Roman Regular" w:hAnsi="Times New Roman Regular" w:cs="Times New Roman Regular"/>
          <w:color w:val="000000" w:themeColor="text1"/>
          <w:szCs w:val="21"/>
          <w14:textFill>
            <w14:solidFill>
              <w14:schemeClr w14:val="tx1"/>
            </w14:solidFill>
          </w14:textFill>
        </w:rPr>
        <w:t>8</w:t>
      </w:r>
      <w:r>
        <w:rPr>
          <w:rFonts w:ascii="Times New Roman Regular" w:hAnsi="Times New Roman Regular" w:cs="Times New Roman Regular"/>
          <w:color w:val="000000" w:themeColor="text1"/>
          <w:szCs w:val="21"/>
          <w14:textFill>
            <w14:solidFill>
              <w14:schemeClr w14:val="tx1"/>
            </w14:solidFill>
          </w14:textFill>
        </w:rPr>
        <w:t>）列</w:t>
      </w:r>
      <w:r>
        <w:rPr>
          <w:rFonts w:hint="eastAsia" w:ascii="Times New Roman Regular" w:hAnsi="Times New Roman Regular" w:cs="Times New Roman Regular"/>
          <w:color w:val="000000" w:themeColor="text1"/>
          <w:szCs w:val="21"/>
          <w14:textFill>
            <w14:solidFill>
              <w14:schemeClr w14:val="tx1"/>
            </w14:solidFill>
          </w14:textFill>
        </w:rPr>
        <w:t>展示了中部地区的财力分项情况。能够看出，中部地区在土地市场降温冲击后，地方政府债务余额尤其是专项债余额出现了显著上升。</w:t>
      </w:r>
    </w:p>
    <w:p>
      <w:pPr>
        <w:keepNext w:val="0"/>
        <w:keepLines w:val="0"/>
        <w:pageBreakBefore w:val="0"/>
        <w:kinsoku/>
        <w:wordWrap/>
        <w:overflowPunct/>
        <w:topLinePunct w:val="0"/>
        <w:bidi w:val="0"/>
        <w:spacing w:line="360" w:lineRule="exact"/>
        <w:ind w:firstLine="420" w:firstLineChars="200"/>
        <w:rPr>
          <w:color w:val="000000" w:themeColor="text1"/>
          <w:szCs w:val="21"/>
          <w:lang w:eastAsia="zh-Hans"/>
          <w14:textFill>
            <w14:solidFill>
              <w14:schemeClr w14:val="tx1"/>
            </w14:solidFill>
          </w14:textFill>
        </w:rPr>
      </w:pPr>
    </w:p>
    <w:p>
      <w:pPr>
        <w:keepNext w:val="0"/>
        <w:keepLines w:val="0"/>
        <w:pageBreakBefore w:val="0"/>
        <w:kinsoku/>
        <w:wordWrap/>
        <w:overflowPunct/>
        <w:topLinePunct w:val="0"/>
        <w:bidi w:val="0"/>
        <w:spacing w:line="360" w:lineRule="exact"/>
        <w:rPr>
          <w:rFonts w:ascii="黑体" w:hAnsi="黑体" w:eastAsia="黑体" w:cs="黑体"/>
          <w:color w:val="000000" w:themeColor="text1"/>
          <w:sz w:val="18"/>
          <w:szCs w:val="18"/>
          <w14:textFill>
            <w14:solidFill>
              <w14:schemeClr w14:val="tx1"/>
            </w14:solidFill>
          </w14:textFill>
        </w:rPr>
      </w:pPr>
      <w:r>
        <w:rPr>
          <w:rFonts w:hint="eastAsia" w:ascii="黑体" w:hAnsi="黑体" w:eastAsia="黑体" w:cs="黑体"/>
          <w:color w:val="000000" w:themeColor="text1"/>
          <w:sz w:val="18"/>
          <w:szCs w:val="18"/>
          <w:lang w:val="en-US" w:eastAsia="zh-CN"/>
          <w14:textFill>
            <w14:solidFill>
              <w14:schemeClr w14:val="tx1"/>
            </w14:solidFill>
          </w14:textFill>
        </w:rPr>
        <w:t>附</w:t>
      </w:r>
      <w:r>
        <w:rPr>
          <w:rFonts w:hint="eastAsia" w:ascii="黑体" w:hAnsi="黑体" w:eastAsia="黑体" w:cs="黑体"/>
          <w:color w:val="000000" w:themeColor="text1"/>
          <w:sz w:val="18"/>
          <w:szCs w:val="18"/>
          <w:lang w:eastAsia="zh-Hans"/>
          <w14:textFill>
            <w14:solidFill>
              <w14:schemeClr w14:val="tx1"/>
            </w14:solidFill>
          </w14:textFill>
        </w:rPr>
        <w:t>表</w:t>
      </w:r>
      <w:r>
        <w:rPr>
          <w:rFonts w:hint="eastAsia" w:ascii="黑体" w:hAnsi="黑体" w:eastAsia="黑体" w:cs="黑体"/>
          <w:color w:val="000000" w:themeColor="text1"/>
          <w:sz w:val="18"/>
          <w:szCs w:val="18"/>
          <w:lang w:val="en-US" w:eastAsia="zh-CN"/>
          <w14:textFill>
            <w14:solidFill>
              <w14:schemeClr w14:val="tx1"/>
            </w14:solidFill>
          </w14:textFill>
        </w:rPr>
        <w:t>13</w:t>
      </w:r>
      <w:r>
        <w:rPr>
          <w:rFonts w:hint="eastAsia" w:ascii="黑体" w:hAnsi="黑体" w:eastAsia="黑体" w:cs="黑体"/>
          <w:color w:val="000000" w:themeColor="text1"/>
          <w:sz w:val="18"/>
          <w:szCs w:val="18"/>
          <w:lang w:eastAsia="zh-Hans"/>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14:textFill>
            <w14:solidFill>
              <w14:schemeClr w14:val="tx1"/>
            </w14:solidFill>
          </w14:textFill>
        </w:rPr>
        <w:t xml:space="preserve">     </w:t>
      </w:r>
      <w:r>
        <w:rPr>
          <w:rFonts w:ascii="黑体" w:hAnsi="黑体" w:eastAsia="黑体" w:cs="黑体"/>
          <w:color w:val="000000" w:themeColor="text1"/>
          <w:sz w:val="18"/>
          <w:szCs w:val="18"/>
          <w:lang w:eastAsia="zh-Hans"/>
          <w14:textFill>
            <w14:solidFill>
              <w14:schemeClr w14:val="tx1"/>
            </w14:solidFill>
          </w14:textFill>
        </w:rPr>
        <w:t xml:space="preserve"> </w:t>
      </w:r>
      <w:r>
        <w:rPr>
          <w:rFonts w:hint="eastAsia" w:ascii="黑体" w:hAnsi="黑体" w:eastAsia="黑体" w:cs="黑体"/>
          <w:color w:val="000000" w:themeColor="text1"/>
          <w:sz w:val="18"/>
          <w:szCs w:val="18"/>
          <w:lang w:eastAsia="zh-Hans"/>
          <w14:textFill>
            <w14:solidFill>
              <w14:schemeClr w14:val="tx1"/>
            </w14:solidFill>
          </w14:textFill>
        </w:rPr>
        <w:t>异质性分析：地理区域</w:t>
      </w:r>
      <w:r>
        <w:rPr>
          <w:rFonts w:hint="eastAsia" w:ascii="黑体" w:hAnsi="黑体" w:eastAsia="黑体" w:cs="黑体"/>
          <w:color w:val="000000" w:themeColor="text1"/>
          <w:sz w:val="18"/>
          <w:szCs w:val="18"/>
          <w14:textFill>
            <w14:solidFill>
              <w14:schemeClr w14:val="tx1"/>
            </w14:solidFill>
          </w14:textFill>
        </w:rPr>
        <w:t>的进一步解释</w:t>
      </w:r>
    </w:p>
    <w:tbl>
      <w:tblPr>
        <w:tblStyle w:val="4"/>
        <w:tblW w:w="499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75" w:type="dxa"/>
          <w:bottom w:w="0" w:type="dxa"/>
          <w:right w:w="75" w:type="dxa"/>
        </w:tblCellMar>
      </w:tblPr>
      <w:tblGrid>
        <w:gridCol w:w="1622"/>
        <w:gridCol w:w="852"/>
        <w:gridCol w:w="852"/>
        <w:gridCol w:w="852"/>
        <w:gridCol w:w="852"/>
        <w:gridCol w:w="5"/>
        <w:gridCol w:w="847"/>
        <w:gridCol w:w="853"/>
        <w:gridCol w:w="853"/>
        <w:gridCol w:w="865"/>
      </w:tblGrid>
      <w:tr>
        <w:trPr>
          <w:trHeight w:val="302" w:hRule="atLeast"/>
          <w:jc w:val="center"/>
        </w:trPr>
        <w:tc>
          <w:tcPr>
            <w:tcW w:w="959" w:type="pct"/>
            <w:vMerge w:val="restart"/>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kern w:val="0"/>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kern w:val="0"/>
                <w:sz w:val="15"/>
                <w:szCs w:val="15"/>
                <w:lang w:val="en-US" w:eastAsia="zh-CN"/>
                <w14:textFill>
                  <w14:solidFill>
                    <w14:schemeClr w14:val="tx1"/>
                  </w14:solidFill>
                </w14:textFill>
              </w:rPr>
              <w:t>变量</w:t>
            </w:r>
          </w:p>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P</w:t>
            </w:r>
            <w:r>
              <w:rPr>
                <w:rFonts w:hint="eastAsia" w:ascii="Times New Roman Regular" w:hAnsi="Times New Roman Regular" w:eastAsia="宋体" w:cs="Times New Roman Regular"/>
                <w:color w:val="000000" w:themeColor="text1"/>
                <w:kern w:val="0"/>
                <w:sz w:val="15"/>
                <w:szCs w:val="15"/>
                <w14:textFill>
                  <w14:solidFill>
                    <w14:schemeClr w14:val="tx1"/>
                  </w14:solidFill>
                </w14:textFill>
              </w:rPr>
              <w:t xml:space="preserve">anel </w:t>
            </w:r>
            <w:r>
              <w:rPr>
                <w:rFonts w:ascii="Times New Roman Regular" w:hAnsi="Times New Roman Regular" w:eastAsia="宋体" w:cs="Times New Roman Regular"/>
                <w:color w:val="000000" w:themeColor="text1"/>
                <w:kern w:val="0"/>
                <w:sz w:val="15"/>
                <w:szCs w:val="15"/>
                <w14:textFill>
                  <w14:solidFill>
                    <w14:schemeClr w14:val="tx1"/>
                  </w14:solidFill>
                </w14:textFill>
              </w:rPr>
              <w:t>A</w:t>
            </w:r>
          </w:p>
        </w:tc>
        <w:tc>
          <w:tcPr>
            <w:tcW w:w="2019" w:type="pct"/>
            <w:gridSpan w:val="5"/>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kern w:val="0"/>
                <w:sz w:val="15"/>
                <w:szCs w:val="15"/>
                <w14:textFill>
                  <w14:solidFill>
                    <w14:schemeClr w14:val="tx1"/>
                  </w14:solidFill>
                </w14:textFill>
              </w:rPr>
              <w:t>债务总额对数</w:t>
            </w:r>
          </w:p>
        </w:tc>
        <w:tc>
          <w:tcPr>
            <w:tcW w:w="2020" w:type="pct"/>
            <w:gridSpan w:val="4"/>
            <w:tcBorders>
              <w:top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kern w:val="0"/>
                <w:sz w:val="15"/>
                <w:szCs w:val="15"/>
                <w14:textFill>
                  <w14:solidFill>
                    <w14:schemeClr w14:val="tx1"/>
                  </w14:solidFill>
                </w14:textFill>
              </w:rPr>
              <w:t>总财力对数</w:t>
            </w:r>
          </w:p>
        </w:tc>
      </w:tr>
      <w:tr>
        <w:trPr>
          <w:jc w:val="center"/>
        </w:trPr>
        <w:tc>
          <w:tcPr>
            <w:tcW w:w="959"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(1)</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(2)</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(3)</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(4)</w:t>
            </w:r>
          </w:p>
        </w:tc>
        <w:tc>
          <w:tcPr>
            <w:tcW w:w="504" w:type="pct"/>
            <w:gridSpan w:val="2"/>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(5)</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(6)</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(7)</w:t>
            </w:r>
          </w:p>
        </w:tc>
        <w:tc>
          <w:tcPr>
            <w:tcW w:w="508"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w:t>
            </w:r>
          </w:p>
        </w:tc>
      </w:tr>
      <w:tr>
        <w:trPr>
          <w:jc w:val="center"/>
        </w:trPr>
        <w:tc>
          <w:tcPr>
            <w:tcW w:w="959" w:type="pct"/>
            <w:vMerge w:val="restar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东部地区</w:t>
            </w:r>
          </w:p>
        </w:tc>
        <w:tc>
          <w:tcPr>
            <w:tcW w:w="504"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-0.382</w:t>
            </w:r>
          </w:p>
        </w:tc>
        <w:tc>
          <w:tcPr>
            <w:tcW w:w="504"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gridSpan w:val="2"/>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0.280</w:t>
            </w:r>
          </w:p>
        </w:tc>
        <w:tc>
          <w:tcPr>
            <w:tcW w:w="504"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8" w:type="pct"/>
            <w:tcBorders>
              <w:top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r>
      <w:tr>
        <w:trPr>
          <w:trHeight w:val="90" w:hRule="atLeast"/>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(0.261)</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(0.268)</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r>
      <w:tr>
        <w:trPr>
          <w:jc w:val="center"/>
        </w:trPr>
        <w:tc>
          <w:tcPr>
            <w:tcW w:w="959"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中部地区</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0.418**</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0.188</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r>
      <w:tr>
        <w:trPr>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(0.197)</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(0.486)</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r>
      <w:tr>
        <w:trPr>
          <w:jc w:val="center"/>
        </w:trPr>
        <w:tc>
          <w:tcPr>
            <w:tcW w:w="959"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西部地区</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-0.369**</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-0.335</w:t>
            </w: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r>
      <w:tr>
        <w:trPr>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(0.185)</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(0.271)</w:t>
            </w: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r>
      <w:tr>
        <w:trPr>
          <w:trHeight w:val="90" w:hRule="atLeast"/>
          <w:jc w:val="center"/>
        </w:trPr>
        <w:tc>
          <w:tcPr>
            <w:tcW w:w="959"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东北地区</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0.242</w:t>
            </w: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0.478</w:t>
            </w:r>
          </w:p>
        </w:tc>
      </w:tr>
      <w:tr>
        <w:trPr>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(0.320)</w:t>
            </w: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(0.631)</w:t>
            </w:r>
          </w:p>
        </w:tc>
      </w:tr>
      <w:tr>
        <w:trPr>
          <w:jc w:val="center"/>
        </w:trPr>
        <w:tc>
          <w:tcPr>
            <w:tcW w:w="959"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0.257**</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-0.176</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0.140</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0.005</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-0.342</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-0.300</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-0.078</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-0.304</w:t>
            </w:r>
          </w:p>
        </w:tc>
      </w:tr>
      <w:tr>
        <w:trPr>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(0.128)</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(0.190)</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(0.163)</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(0.153)</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(0.240)</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(0.213)</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(0.226)</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(0.213)</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三重差分所需要素</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年份固定效应</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地区固定效应</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trHeight w:val="90" w:hRule="atLeast"/>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控制变量×year dummy</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样本量</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10114</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10114</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10114</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10114</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2114</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2114</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2114</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2114</w:t>
            </w:r>
          </w:p>
        </w:tc>
      </w:tr>
      <w:tr>
        <w:trPr>
          <w:jc w:val="center"/>
        </w:trPr>
        <w:tc>
          <w:tcPr>
            <w:tcW w:w="959"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default" w:ascii="Times New Roman Italic" w:hAnsi="Times New Roman Italic" w:eastAsia="宋体" w:cs="Times New Roman Italic"/>
                <w:i/>
                <w:iCs/>
                <w:color w:val="000000" w:themeColor="text1"/>
                <w:kern w:val="0"/>
                <w:sz w:val="15"/>
                <w:szCs w:val="15"/>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5"/>
                <w:szCs w:val="15"/>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5"/>
                <w:szCs w:val="15"/>
                <w:vertAlign w:val="baseline"/>
                <w:lang w:val="en-US" w:eastAsia="zh-CN"/>
                <w14:textFill>
                  <w14:solidFill>
                    <w14:schemeClr w14:val="tx1"/>
                  </w14:solidFill>
                </w14:textFill>
              </w:rPr>
              <w:t>值</w:t>
            </w:r>
          </w:p>
        </w:tc>
        <w:tc>
          <w:tcPr>
            <w:tcW w:w="504" w:type="pct"/>
            <w:tcBorders>
              <w:bottom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0.955</w:t>
            </w:r>
          </w:p>
        </w:tc>
        <w:tc>
          <w:tcPr>
            <w:tcW w:w="504" w:type="pct"/>
            <w:tcBorders>
              <w:bottom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0.955</w:t>
            </w:r>
          </w:p>
        </w:tc>
        <w:tc>
          <w:tcPr>
            <w:tcW w:w="504" w:type="pct"/>
            <w:tcBorders>
              <w:bottom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0.955</w:t>
            </w:r>
          </w:p>
        </w:tc>
        <w:tc>
          <w:tcPr>
            <w:tcW w:w="504" w:type="pct"/>
            <w:tcBorders>
              <w:bottom w:val="sing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0.955</w:t>
            </w:r>
          </w:p>
        </w:tc>
        <w:tc>
          <w:tcPr>
            <w:tcW w:w="504" w:type="pct"/>
            <w:gridSpan w:val="2"/>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0.977</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0.976</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0.977</w:t>
            </w:r>
          </w:p>
        </w:tc>
        <w:tc>
          <w:tcPr>
            <w:tcW w:w="508"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0.976</w:t>
            </w:r>
          </w:p>
        </w:tc>
      </w:tr>
      <w:tr>
        <w:trPr>
          <w:trHeight w:val="302" w:hRule="atLeast"/>
          <w:jc w:val="center"/>
        </w:trPr>
        <w:tc>
          <w:tcPr>
            <w:tcW w:w="959" w:type="pct"/>
            <w:vMerge w:val="restar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P</w:t>
            </w:r>
            <w:r>
              <w:rPr>
                <w:rFonts w:hint="eastAsia" w:ascii="Times New Roman Regular" w:hAnsi="Times New Roman Regular" w:eastAsia="宋体" w:cs="Times New Roman Regular"/>
                <w:color w:val="000000" w:themeColor="text1"/>
                <w:kern w:val="0"/>
                <w:sz w:val="15"/>
                <w:szCs w:val="15"/>
                <w14:textFill>
                  <w14:solidFill>
                    <w14:schemeClr w14:val="tx1"/>
                  </w14:solidFill>
                </w14:textFill>
              </w:rPr>
              <w:t xml:space="preserve">anel </w:t>
            </w:r>
            <w:r>
              <w:rPr>
                <w:rFonts w:ascii="Times New Roman Regular" w:hAnsi="Times New Roman Regular" w:eastAsia="宋体" w:cs="Times New Roman Regular"/>
                <w:color w:val="000000" w:themeColor="text1"/>
                <w:kern w:val="0"/>
                <w:sz w:val="15"/>
                <w:szCs w:val="15"/>
                <w14:textFill>
                  <w14:solidFill>
                    <w14:schemeClr w14:val="tx1"/>
                  </w14:solidFill>
                </w14:textFill>
              </w:rPr>
              <w:t>B</w:t>
            </w:r>
          </w:p>
        </w:tc>
        <w:tc>
          <w:tcPr>
            <w:tcW w:w="504"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地方政府债务余额对数</w:t>
            </w:r>
          </w:p>
        </w:tc>
        <w:tc>
          <w:tcPr>
            <w:tcW w:w="504"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一般债余额对数</w:t>
            </w:r>
          </w:p>
        </w:tc>
        <w:tc>
          <w:tcPr>
            <w:tcW w:w="504"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专项债余额对数</w:t>
            </w:r>
          </w:p>
        </w:tc>
        <w:tc>
          <w:tcPr>
            <w:tcW w:w="504"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融资平台有息债务</w:t>
            </w:r>
            <w:r>
              <w:rPr>
                <w:rFonts w:hint="eastAsia" w:ascii="Times New Roman Regular" w:hAnsi="Times New Roman Regular" w:eastAsia="宋体" w:cs="Times New Roman Regular"/>
                <w:color w:val="000000" w:themeColor="text1"/>
                <w:kern w:val="0"/>
                <w:sz w:val="15"/>
                <w:szCs w:val="15"/>
                <w14:textFill>
                  <w14:solidFill>
                    <w14:schemeClr w14:val="tx1"/>
                  </w14:solidFill>
                </w14:textFill>
              </w:rPr>
              <w:t>余额</w:t>
            </w:r>
            <w:r>
              <w:rPr>
                <w:rFonts w:ascii="Times New Roman Regular" w:hAnsi="Times New Roman Regular" w:eastAsia="宋体" w:cs="Times New Roman Regular"/>
                <w:color w:val="000000" w:themeColor="text1"/>
                <w:kern w:val="0"/>
                <w:sz w:val="15"/>
                <w:szCs w:val="15"/>
                <w14:textFill>
                  <w14:solidFill>
                    <w14:schemeClr w14:val="tx1"/>
                  </w14:solidFill>
                </w14:textFill>
              </w:rPr>
              <w:t>对数</w:t>
            </w:r>
          </w:p>
        </w:tc>
        <w:tc>
          <w:tcPr>
            <w:tcW w:w="504" w:type="pct"/>
            <w:gridSpan w:val="2"/>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一般公共预算收入对数</w:t>
            </w:r>
          </w:p>
        </w:tc>
        <w:tc>
          <w:tcPr>
            <w:tcW w:w="504"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转移性收入对数</w:t>
            </w:r>
          </w:p>
        </w:tc>
        <w:tc>
          <w:tcPr>
            <w:tcW w:w="504"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政府性基金</w:t>
            </w: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预算</w:t>
            </w:r>
            <w:r>
              <w:rPr>
                <w:rFonts w:ascii="Times New Roman Regular" w:hAnsi="Times New Roman Regular" w:eastAsia="宋体" w:cs="Times New Roman Regular"/>
                <w:color w:val="000000" w:themeColor="text1"/>
                <w:kern w:val="0"/>
                <w:sz w:val="15"/>
                <w:szCs w:val="15"/>
                <w14:textFill>
                  <w14:solidFill>
                    <w14:schemeClr w14:val="tx1"/>
                  </w14:solidFill>
                </w14:textFill>
              </w:rPr>
              <w:t>收入对数</w:t>
            </w:r>
          </w:p>
        </w:tc>
        <w:tc>
          <w:tcPr>
            <w:tcW w:w="508" w:type="pct"/>
            <w:tcBorders>
              <w:top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国有资本经营收入对数</w:t>
            </w:r>
          </w:p>
        </w:tc>
      </w:tr>
      <w:tr>
        <w:trPr>
          <w:jc w:val="center"/>
        </w:trPr>
        <w:tc>
          <w:tcPr>
            <w:tcW w:w="959" w:type="pct"/>
            <w:vMerge w:val="continue"/>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left"/>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(1)</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(2)</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(3)</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(4)</w:t>
            </w:r>
          </w:p>
        </w:tc>
        <w:tc>
          <w:tcPr>
            <w:tcW w:w="504" w:type="pct"/>
            <w:gridSpan w:val="2"/>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(5)</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(6)</w:t>
            </w:r>
          </w:p>
        </w:tc>
        <w:tc>
          <w:tcPr>
            <w:tcW w:w="504"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(7)</w:t>
            </w:r>
          </w:p>
        </w:tc>
        <w:tc>
          <w:tcPr>
            <w:tcW w:w="508" w:type="pct"/>
            <w:tcBorders>
              <w:bottom w:val="sing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sz w:val="15"/>
                <w:szCs w:val="15"/>
                <w14:textFill>
                  <w14:solidFill>
                    <w14:schemeClr w14:val="tx1"/>
                  </w14:solidFill>
                </w14:textFill>
              </w:rPr>
              <w:t>(8)</w:t>
            </w:r>
          </w:p>
        </w:tc>
      </w:tr>
      <w:tr>
        <w:trPr>
          <w:jc w:val="center"/>
        </w:trPr>
        <w:tc>
          <w:tcPr>
            <w:tcW w:w="959"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r>
              <w:rPr>
                <w:rFonts w:ascii="Times New Roman Regular" w:hAnsi="Times New Roman Regular" w:eastAsia="宋体" w:cs="Times New Roman Regular"/>
                <w:i/>
                <w:iCs/>
                <w:color w:val="000000" w:themeColor="text1"/>
                <w:kern w:val="0"/>
                <w:sz w:val="15"/>
                <w:szCs w:val="15"/>
                <w:lang w:eastAsia="zh-Hans"/>
                <w14:textFill>
                  <w14:solidFill>
                    <w14:schemeClr w14:val="tx1"/>
                  </w14:solidFill>
                </w14:textFill>
              </w:rPr>
              <w:t>中部地区</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0.432**</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0.123</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0.5</w:t>
            </w: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29</w:t>
            </w:r>
            <w:r>
              <w:rPr>
                <w:rFonts w:hint="eastAsia" w:ascii="Times New Roman Regular" w:hAnsi="Times New Roman Regular" w:eastAsia="宋体" w:cs="Times New Roman Regular"/>
                <w:color w:val="000000" w:themeColor="text1"/>
                <w:sz w:val="15"/>
                <w:szCs w:val="15"/>
                <w14:textFill>
                  <w14:solidFill>
                    <w14:schemeClr w14:val="tx1"/>
                  </w14:solidFill>
                </w14:textFill>
              </w:rPr>
              <w:t>*</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0.559</w:t>
            </w: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-0.005</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0.217</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-0.217</w:t>
            </w: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-0.217</w:t>
            </w:r>
          </w:p>
        </w:tc>
      </w:tr>
      <w:tr>
        <w:trPr>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(0.182)</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(0.150)</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w:t>
            </w: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81</w:t>
            </w:r>
            <w:r>
              <w:rPr>
                <w:rFonts w:hint="eastAsia" w:ascii="Times New Roman Regular" w:hAnsi="Times New Roman Regular" w:eastAsia="宋体" w:cs="Times New Roman Regular"/>
                <w:color w:val="000000" w:themeColor="text1"/>
                <w:sz w:val="15"/>
                <w:szCs w:val="15"/>
                <w14:textFill>
                  <w14:solidFill>
                    <w14:schemeClr w14:val="tx1"/>
                  </w14:solidFill>
                </w14:textFill>
              </w:rPr>
              <w:t>)</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(0.348)</w:t>
            </w:r>
          </w:p>
        </w:tc>
        <w:tc>
          <w:tcPr>
            <w:tcW w:w="504" w:type="pct"/>
            <w:gridSpan w:val="2"/>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(0.079)</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(0.320)</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(0.195)</w:t>
            </w:r>
          </w:p>
        </w:tc>
        <w:tc>
          <w:tcPr>
            <w:tcW w:w="508"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(0.138)</w:t>
            </w:r>
          </w:p>
        </w:tc>
      </w:tr>
      <w:tr>
        <w:trPr>
          <w:jc w:val="center"/>
        </w:trPr>
        <w:tc>
          <w:tcPr>
            <w:tcW w:w="959" w:type="pct"/>
            <w:vMerge w:val="restar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i/>
                <w:iCs/>
                <w:color w:val="000000" w:themeColor="text1"/>
                <w:kern w:val="0"/>
                <w:sz w:val="15"/>
                <w:szCs w:val="15"/>
                <w14:textFill>
                  <w14:solidFill>
                    <w14:schemeClr w14:val="tx1"/>
                  </w14:solidFill>
                </w14:textFill>
              </w:rPr>
            </w:pPr>
            <w:r>
              <w:rPr>
                <w:rFonts w:ascii="Times New Roman Regular" w:hAnsi="Times New Roman Regular" w:eastAsia="宋体" w:cs="Times New Roman Regular"/>
                <w:i/>
                <w:iCs/>
                <w:color w:val="000000" w:themeColor="text1"/>
                <w:kern w:val="0"/>
                <w:sz w:val="15"/>
                <w:szCs w:val="15"/>
                <w14:textFill>
                  <w14:solidFill>
                    <w14:schemeClr w14:val="tx1"/>
                  </w14:solidFill>
                </w14:textFill>
              </w:rPr>
              <w:t>政策冲击</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-0.152</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-0.117</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w:t>
            </w: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129</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-0.108</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-0.044</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-0.127</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-0.621***</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0.034</w:t>
            </w:r>
          </w:p>
        </w:tc>
      </w:tr>
      <w:tr>
        <w:trPr>
          <w:jc w:val="center"/>
        </w:trPr>
        <w:tc>
          <w:tcPr>
            <w:tcW w:w="959" w:type="pct"/>
            <w:vMerge w:val="continue"/>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(0.179)</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(0.143)</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w:t>
            </w: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63</w:t>
            </w:r>
            <w:r>
              <w:rPr>
                <w:rFonts w:hint="eastAsia" w:ascii="Times New Roman Regular" w:hAnsi="Times New Roman Regular" w:eastAsia="宋体" w:cs="Times New Roman Regular"/>
                <w:color w:val="000000" w:themeColor="text1"/>
                <w:sz w:val="15"/>
                <w:szCs w:val="15"/>
                <w14:textFill>
                  <w14:solidFill>
                    <w14:schemeClr w14:val="tx1"/>
                  </w14:solidFill>
                </w14:textFill>
              </w:rPr>
              <w:t>)</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(0.236)</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(0.057)</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(0.213)</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(0.160)</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(0.098)</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pPr>
            <w:r>
              <w:rPr>
                <w:rFonts w:ascii="Times New Roman Regular" w:hAnsi="Times New Roman Regular" w:eastAsia="宋体" w:cs="Times New Roman Regular"/>
                <w:color w:val="000000" w:themeColor="text1"/>
                <w:kern w:val="0"/>
                <w:sz w:val="15"/>
                <w:szCs w:val="15"/>
                <w:lang w:eastAsia="zh-Hans"/>
                <w14:textFill>
                  <w14:solidFill>
                    <w14:schemeClr w14:val="tx1"/>
                  </w14:solidFill>
                </w14:textFill>
              </w:rPr>
              <w:t>三重差分所需要素</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hint="eastAsia" w:ascii="Times New Roman Regular" w:hAnsi="Times New Roman Regular" w:eastAsia="宋体" w:cs="Times New Roman Regular"/>
                <w:color w:val="000000" w:themeColor="text1"/>
                <w:sz w:val="15"/>
                <w:szCs w:val="15"/>
                <w:lang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年份固定效应</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地区固定效应</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trHeight w:val="90" w:hRule="atLeast"/>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控制变量×year dummy</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是</w:t>
            </w:r>
          </w:p>
        </w:tc>
      </w:tr>
      <w:tr>
        <w:trPr>
          <w:jc w:val="center"/>
        </w:trPr>
        <w:tc>
          <w:tcPr>
            <w:tcW w:w="959"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ascii="Times New Roman Regular" w:hAnsi="Times New Roman Regular" w:eastAsia="宋体" w:cs="Times New Roman Regular"/>
                <w:color w:val="000000" w:themeColor="text1"/>
                <w:kern w:val="0"/>
                <w:sz w:val="15"/>
                <w:szCs w:val="15"/>
                <w14:textFill>
                  <w14:solidFill>
                    <w14:schemeClr w14:val="tx1"/>
                  </w14:solidFill>
                </w14:textFill>
              </w:rPr>
              <w:t>样本量</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10386</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10158</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10002</w:t>
            </w:r>
          </w:p>
        </w:tc>
        <w:tc>
          <w:tcPr>
            <w:tcW w:w="504" w:type="pct"/>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10114</w:t>
            </w:r>
          </w:p>
        </w:tc>
        <w:tc>
          <w:tcPr>
            <w:tcW w:w="504" w:type="pct"/>
            <w:gridSpan w:val="2"/>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13783</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3162</w:t>
            </w:r>
          </w:p>
        </w:tc>
        <w:tc>
          <w:tcPr>
            <w:tcW w:w="504"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11688</w:t>
            </w:r>
          </w:p>
        </w:tc>
        <w:tc>
          <w:tcPr>
            <w:tcW w:w="508" w:type="pct"/>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6492</w:t>
            </w:r>
          </w:p>
        </w:tc>
      </w:tr>
      <w:tr>
        <w:trPr>
          <w:jc w:val="center"/>
        </w:trPr>
        <w:tc>
          <w:tcPr>
            <w:tcW w:w="959"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kern w:val="0"/>
                <w:sz w:val="15"/>
                <w:szCs w:val="15"/>
                <w14:textFill>
                  <w14:solidFill>
                    <w14:schemeClr w14:val="tx1"/>
                  </w14:solidFill>
                </w14:textFill>
              </w:rPr>
            </w:pPr>
            <w:r>
              <w:rPr>
                <w:rFonts w:hint="default" w:ascii="Times New Roman Italic" w:hAnsi="Times New Roman Italic" w:eastAsia="宋体" w:cs="Times New Roman Italic"/>
                <w:i/>
                <w:iCs/>
                <w:color w:val="000000" w:themeColor="text1"/>
                <w:kern w:val="0"/>
                <w:sz w:val="15"/>
                <w:szCs w:val="15"/>
                <w14:textFill>
                  <w14:solidFill>
                    <w14:schemeClr w14:val="tx1"/>
                  </w14:solidFill>
                </w14:textFill>
              </w:rPr>
              <w:t>R</w:t>
            </w:r>
            <w:r>
              <w:rPr>
                <w:rFonts w:hint="default" w:ascii="Times New Roman Italic" w:hAnsi="Times New Roman Italic" w:eastAsia="宋体" w:cs="Times New Roman Italic"/>
                <w:i/>
                <w:iCs/>
                <w:color w:val="000000" w:themeColor="text1"/>
                <w:kern w:val="0"/>
                <w:sz w:val="15"/>
                <w:szCs w:val="15"/>
                <w:vertAlign w:val="superscript"/>
                <w:lang w:val="en-US" w:eastAsia="zh-CN"/>
                <w14:textFill>
                  <w14:solidFill>
                    <w14:schemeClr w14:val="tx1"/>
                  </w14:solidFill>
                </w14:textFill>
              </w:rPr>
              <w:t>2</w:t>
            </w:r>
            <w:r>
              <w:rPr>
                <w:rFonts w:hint="eastAsia" w:ascii="Times New Roman Italic" w:hAnsi="Times New Roman Italic" w:eastAsia="宋体" w:cs="Times New Roman Italic"/>
                <w:i w:val="0"/>
                <w:iCs w:val="0"/>
                <w:color w:val="000000" w:themeColor="text1"/>
                <w:kern w:val="0"/>
                <w:sz w:val="15"/>
                <w:szCs w:val="15"/>
                <w:vertAlign w:val="baseline"/>
                <w:lang w:val="en-US" w:eastAsia="zh-CN"/>
                <w14:textFill>
                  <w14:solidFill>
                    <w14:schemeClr w14:val="tx1"/>
                  </w14:solidFill>
                </w14:textFill>
              </w:rPr>
              <w:t>值</w:t>
            </w:r>
          </w:p>
        </w:tc>
        <w:tc>
          <w:tcPr>
            <w:tcW w:w="504"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0.932</w:t>
            </w:r>
          </w:p>
        </w:tc>
        <w:tc>
          <w:tcPr>
            <w:tcW w:w="504"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0.931</w:t>
            </w:r>
          </w:p>
        </w:tc>
        <w:tc>
          <w:tcPr>
            <w:tcW w:w="504"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hint="default" w:ascii="Times New Roman Regular" w:hAnsi="Times New Roman Regular" w:eastAsia="宋体" w:cs="Times New Roman Regular"/>
                <w:color w:val="000000" w:themeColor="text1"/>
                <w:sz w:val="15"/>
                <w:szCs w:val="15"/>
                <w:lang w:val="en-US" w:eastAsia="zh-CN"/>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w:t>
            </w:r>
            <w:r>
              <w:rPr>
                <w:rFonts w:hint="eastAsia" w:ascii="Times New Roman Regular" w:hAnsi="Times New Roman Regular" w:eastAsia="宋体" w:cs="Times New Roman Regular"/>
                <w:color w:val="000000" w:themeColor="text1"/>
                <w:sz w:val="15"/>
                <w:szCs w:val="15"/>
                <w:lang w:val="en-US" w:eastAsia="zh-CN"/>
                <w14:textFill>
                  <w14:solidFill>
                    <w14:schemeClr w14:val="tx1"/>
                  </w14:solidFill>
                </w14:textFill>
              </w:rPr>
              <w:t>15</w:t>
            </w:r>
            <w:bookmarkStart w:id="1" w:name="_GoBack"/>
            <w:bookmarkEnd w:id="1"/>
          </w:p>
        </w:tc>
        <w:tc>
          <w:tcPr>
            <w:tcW w:w="504" w:type="pct"/>
            <w:tcBorders>
              <w:bottom w:val="double" w:color="auto" w:sz="4" w:space="0"/>
            </w:tcBorders>
            <w:vAlign w:val="center"/>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0.960</w:t>
            </w:r>
          </w:p>
        </w:tc>
        <w:tc>
          <w:tcPr>
            <w:tcW w:w="504" w:type="pct"/>
            <w:gridSpan w:val="2"/>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0.966</w:t>
            </w:r>
          </w:p>
        </w:tc>
        <w:tc>
          <w:tcPr>
            <w:tcW w:w="504"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0.905</w:t>
            </w:r>
          </w:p>
        </w:tc>
        <w:tc>
          <w:tcPr>
            <w:tcW w:w="504"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0.882</w:t>
            </w:r>
          </w:p>
        </w:tc>
        <w:tc>
          <w:tcPr>
            <w:tcW w:w="508" w:type="pct"/>
            <w:tcBorders>
              <w:bottom w:val="double" w:color="auto" w:sz="4" w:space="0"/>
            </w:tcBorders>
          </w:tcPr>
          <w:p>
            <w:pPr>
              <w:keepNext w:val="0"/>
              <w:keepLines w:val="0"/>
              <w:pageBreakBefore w:val="0"/>
              <w:kinsoku/>
              <w:wordWrap/>
              <w:overflowPunct/>
              <w:topLinePunct w:val="0"/>
              <w:autoSpaceDE w:val="0"/>
              <w:autoSpaceDN w:val="0"/>
              <w:bidi w:val="0"/>
              <w:adjustRightInd w:val="0"/>
              <w:spacing w:line="360" w:lineRule="exact"/>
              <w:jc w:val="center"/>
              <w:rPr>
                <w:rFonts w:ascii="Times New Roman Regular" w:hAnsi="Times New Roman Regular" w:eastAsia="宋体" w:cs="Times New Roman Regular"/>
                <w:color w:val="000000" w:themeColor="text1"/>
                <w:sz w:val="15"/>
                <w:szCs w:val="15"/>
                <w:lang w:eastAsia="zh-Hans"/>
                <w14:textFill>
                  <w14:solidFill>
                    <w14:schemeClr w14:val="tx1"/>
                  </w14:solidFill>
                </w14:textFill>
              </w:rPr>
            </w:pPr>
            <w:r>
              <w:rPr>
                <w:rFonts w:hint="eastAsia" w:ascii="Times New Roman Regular" w:hAnsi="Times New Roman Regular" w:eastAsia="宋体" w:cs="Times New Roman Regular"/>
                <w:color w:val="000000" w:themeColor="text1"/>
                <w:sz w:val="15"/>
                <w:szCs w:val="15"/>
                <w14:textFill>
                  <w14:solidFill>
                    <w14:schemeClr w14:val="tx1"/>
                  </w14:solidFill>
                </w14:textFill>
              </w:rPr>
              <w:t>0.603</w:t>
            </w:r>
          </w:p>
        </w:tc>
      </w:tr>
    </w:tbl>
    <w:p>
      <w:pPr>
        <w:keepNext w:val="0"/>
        <w:keepLines w:val="0"/>
        <w:pageBreakBefore w:val="0"/>
        <w:kinsoku/>
        <w:wordWrap/>
        <w:overflowPunct/>
        <w:topLinePunct w:val="0"/>
        <w:bidi w:val="0"/>
        <w:spacing w:line="360" w:lineRule="exact"/>
        <w:ind w:firstLine="360" w:firstLineChars="200"/>
        <w:rPr>
          <w:rFonts w:hint="default" w:ascii="Times New Roman Regular" w:hAnsi="Times New Roman Regular" w:eastAsia="宋体" w:cs="Times New Roman Regular"/>
          <w:color w:val="000000" w:themeColor="text1"/>
          <w:sz w:val="18"/>
          <w:szCs w:val="18"/>
          <w:lang w:val="en-US" w:eastAsia="zh-CN"/>
          <w14:textFill>
            <w14:solidFill>
              <w14:schemeClr w14:val="tx1"/>
            </w14:solidFill>
          </w14:textFill>
        </w:rPr>
      </w:pP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注：</w:t>
      </w:r>
      <w:r>
        <w:rPr>
          <w:rFonts w:hint="eastAsia" w:ascii="Times New Roman Regular" w:hAnsi="Times New Roman Regular" w:eastAsia="宋体" w:cs="Times New Roman Regular"/>
          <w:color w:val="000000" w:themeColor="text1"/>
          <w:sz w:val="18"/>
          <w:szCs w:val="18"/>
          <w:lang w:eastAsia="zh-Hans"/>
          <w14:textFill>
            <w14:solidFill>
              <w14:schemeClr w14:val="tx1"/>
            </w14:solidFill>
          </w14:textFill>
        </w:rPr>
        <w:t>同</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附</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表</w:t>
      </w:r>
      <w:r>
        <w:rPr>
          <w:rFonts w:hint="eastAsia" w:ascii="Times New Roman Regular" w:hAnsi="Times New Roman Regular" w:eastAsia="宋体" w:cs="Times New Roman Regular"/>
          <w:color w:val="000000" w:themeColor="text1"/>
          <w:sz w:val="18"/>
          <w:szCs w:val="18"/>
          <w:lang w:val="en-US" w:eastAsia="zh-CN"/>
          <w14:textFill>
            <w14:solidFill>
              <w14:schemeClr w14:val="tx1"/>
            </w14:solidFill>
          </w14:textFill>
        </w:rPr>
        <w:t>1</w:t>
      </w:r>
      <w:r>
        <w:rPr>
          <w:rFonts w:ascii="Times New Roman Regular" w:hAnsi="Times New Roman Regular" w:eastAsia="宋体" w:cs="Times New Roman Regular"/>
          <w:color w:val="000000" w:themeColor="text1"/>
          <w:sz w:val="18"/>
          <w:szCs w:val="18"/>
          <w:lang w:eastAsia="zh-Hans"/>
          <w14:textFill>
            <w14:solidFill>
              <w14:schemeClr w14:val="tx1"/>
            </w14:solidFill>
          </w14:textFill>
        </w:rPr>
        <w:t>。</w:t>
      </w:r>
    </w:p>
    <w:p>
      <w:pPr>
        <w:rPr>
          <w:color w:val="000000" w:themeColor="text1"/>
          <w14:textFill>
            <w14:solidFill>
              <w14:schemeClr w14:val="tx1"/>
            </w14:solidFill>
          </w14:textFill>
        </w:rPr>
      </w:pPr>
    </w:p>
    <w:sectPr>
      <w:footnotePr>
        <w:numFmt w:val="decimalEnclosedCircleChinese"/>
        <w:numRestart w:val="eachPage"/>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9" w:usb3="00000000" w:csb0="200001FF" w:csb1="00000000"/>
  </w:font>
  <w:font w:name="仿宋">
    <w:altName w:val="方正仿宋_GBK"/>
    <w:panose1 w:val="02010609060101010101"/>
    <w:charset w:val="86"/>
    <w:family w:val="modern"/>
    <w:pitch w:val="default"/>
    <w:sig w:usb0="00000000" w:usb1="00000000" w:usb2="00000016" w:usb3="00000000" w:csb0="00040001" w:csb1="00000000"/>
  </w:font>
  <w:font w:name="华文新魏">
    <w:altName w:val="宋体-简"/>
    <w:panose1 w:val="02010800040101010101"/>
    <w:charset w:val="86"/>
    <w:family w:val="auto"/>
    <w:pitch w:val="default"/>
    <w:sig w:usb0="00000000" w:usb1="00000000" w:usb2="00000000" w:usb3="00000000" w:csb0="00040000"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2"/>
        <w:keepNext w:val="0"/>
        <w:keepLines w:val="0"/>
        <w:pageBreakBefore w:val="0"/>
        <w:widowControl w:val="0"/>
        <w:kinsoku/>
        <w:wordWrap/>
        <w:overflowPunct/>
        <w:topLinePunct w:val="0"/>
        <w:bidi w:val="0"/>
        <w:adjustRightInd/>
        <w:snapToGrid w:val="0"/>
        <w:ind w:firstLine="360" w:firstLineChars="200"/>
        <w:textAlignment w:val="auto"/>
        <w:rPr>
          <w:rFonts w:hint="default" w:ascii="Times New Roman Regular" w:hAnsi="Times New Roman Regular" w:cs="Times New Roman Regular"/>
          <w:color w:val="000000" w:themeColor="text1"/>
          <w14:textFill>
            <w14:solidFill>
              <w14:schemeClr w14:val="tx1"/>
            </w14:solidFill>
          </w14:textFill>
        </w:rPr>
      </w:pPr>
      <w:r>
        <w:rPr>
          <w:rStyle w:val="7"/>
          <w:rFonts w:hint="default" w:ascii="Times New Roman Regular" w:hAnsi="Times New Roman Regular" w:cs="Times New Roman Regular"/>
          <w:color w:val="000000" w:themeColor="text1"/>
          <w:vertAlign w:val="baseline"/>
          <w14:textFill>
            <w14:solidFill>
              <w14:schemeClr w14:val="tx1"/>
            </w14:solidFill>
          </w14:textFill>
        </w:rPr>
        <w:footnoteRef/>
      </w:r>
      <w:r>
        <w:rPr>
          <w:rFonts w:hint="default" w:ascii="Times New Roman Regular" w:hAnsi="Times New Roman Regular" w:cs="Times New Roman Regular"/>
          <w:color w:val="000000" w:themeColor="text1"/>
          <w:vertAlign w:val="baseline"/>
          <w14:textFill>
            <w14:solidFill>
              <w14:schemeClr w14:val="tx1"/>
            </w14:solidFill>
          </w14:textFill>
        </w:rPr>
        <w:t xml:space="preserve"> </w:t>
      </w:r>
      <w:r>
        <w:rPr>
          <w:rFonts w:hint="default" w:ascii="Times New Roman Regular" w:hAnsi="Times New Roman Regular" w:cs="Times New Roman Regular"/>
          <w:color w:val="000000" w:themeColor="text1"/>
          <w14:textFill>
            <w14:solidFill>
              <w14:schemeClr w14:val="tx1"/>
            </w14:solidFill>
          </w14:textFill>
        </w:rPr>
        <w:t>如在</w:t>
      </w:r>
      <w:r>
        <w:rPr>
          <w:rFonts w:hint="eastAsia" w:ascii="Times New Roman Regular" w:hAnsi="Times New Roman Regular" w:cs="Times New Roman Regular"/>
          <w:color w:val="000000" w:themeColor="text1"/>
          <w:lang w:eastAsia="zh-CN"/>
          <w14:textFill>
            <w14:solidFill>
              <w14:schemeClr w14:val="tx1"/>
            </w14:solidFill>
          </w14:textFill>
        </w:rPr>
        <w:t>“</w:t>
      </w:r>
      <w:r>
        <w:rPr>
          <w:rFonts w:hint="default" w:ascii="Times New Roman Regular" w:hAnsi="Times New Roman Regular" w:cs="Times New Roman Regular"/>
          <w:color w:val="000000" w:themeColor="text1"/>
          <w14:textFill>
            <w14:solidFill>
              <w14:schemeClr w14:val="tx1"/>
            </w14:solidFill>
          </w14:textFill>
        </w:rPr>
        <w:t>总财力</w:t>
      </w:r>
      <w:r>
        <w:rPr>
          <w:rFonts w:hint="eastAsia" w:ascii="Times New Roman Regular" w:hAnsi="Times New Roman Regular" w:cs="Times New Roman Regular"/>
          <w:color w:val="000000" w:themeColor="text1"/>
          <w:lang w:eastAsia="zh-CN"/>
          <w14:textFill>
            <w14:solidFill>
              <w14:schemeClr w14:val="tx1"/>
            </w14:solidFill>
          </w14:textFill>
        </w:rPr>
        <w:t>”</w:t>
      </w:r>
      <w:r>
        <w:rPr>
          <w:rFonts w:hint="default" w:ascii="Times New Roman Regular" w:hAnsi="Times New Roman Regular" w:cs="Times New Roman Regular"/>
          <w:color w:val="000000" w:themeColor="text1"/>
          <w14:textFill>
            <w14:solidFill>
              <w14:schemeClr w14:val="tx1"/>
            </w14:solidFill>
          </w14:textFill>
        </w:rPr>
        <w:t>的计算过程中剔除缺失值较多的转移性收入，则第(5)列回归系数为-0.387***；如进一步剔除缺失值较多的国有资本经营收入，则第(5)列回归系数为-0.215***。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E49AD"/>
    <w:rsid w:val="0EFFD4E9"/>
    <w:rsid w:val="1E7EF790"/>
    <w:rsid w:val="1F73DA59"/>
    <w:rsid w:val="1FEF6759"/>
    <w:rsid w:val="373E49AD"/>
    <w:rsid w:val="37FB0706"/>
    <w:rsid w:val="539E9DEC"/>
    <w:rsid w:val="5CFB0B5E"/>
    <w:rsid w:val="5EFE4CFB"/>
    <w:rsid w:val="5F7CDFB1"/>
    <w:rsid w:val="6CFE83D2"/>
    <w:rsid w:val="6EF7DBD3"/>
    <w:rsid w:val="6EFF85E7"/>
    <w:rsid w:val="754A5C81"/>
    <w:rsid w:val="7586C70A"/>
    <w:rsid w:val="77F8CA0D"/>
    <w:rsid w:val="77FF719E"/>
    <w:rsid w:val="7B2385B9"/>
    <w:rsid w:val="7B7F31E0"/>
    <w:rsid w:val="7BF7346B"/>
    <w:rsid w:val="7F1FD6B5"/>
    <w:rsid w:val="7FE3B582"/>
    <w:rsid w:val="7FF8BA04"/>
    <w:rsid w:val="973B9D8D"/>
    <w:rsid w:val="9CF74D4F"/>
    <w:rsid w:val="9EFE3D45"/>
    <w:rsid w:val="A7EBF3F2"/>
    <w:rsid w:val="ABD71270"/>
    <w:rsid w:val="AFDDFE1F"/>
    <w:rsid w:val="B2DC3B20"/>
    <w:rsid w:val="BBF4A8F6"/>
    <w:rsid w:val="BEDED20E"/>
    <w:rsid w:val="C372699D"/>
    <w:rsid w:val="C97FE9D8"/>
    <w:rsid w:val="CFF7A42A"/>
    <w:rsid w:val="D7EDD11D"/>
    <w:rsid w:val="DEFE9B39"/>
    <w:rsid w:val="DFFC3A02"/>
    <w:rsid w:val="DFFF5A4D"/>
    <w:rsid w:val="E7FC68AB"/>
    <w:rsid w:val="EFFD790E"/>
    <w:rsid w:val="F3ED69C8"/>
    <w:rsid w:val="F777E43B"/>
    <w:rsid w:val="F9F43155"/>
    <w:rsid w:val="FBEF83E3"/>
    <w:rsid w:val="FBFCBE4A"/>
    <w:rsid w:val="FD7F56A1"/>
    <w:rsid w:val="FE7CF5B6"/>
    <w:rsid w:val="FEB47F54"/>
    <w:rsid w:val="FF0F6C30"/>
    <w:rsid w:val="FF966758"/>
    <w:rsid w:val="FFA732AF"/>
    <w:rsid w:val="FFBDC174"/>
    <w:rsid w:val="FFE3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otnote reference"/>
    <w:basedOn w:val="6"/>
    <w:qFormat/>
    <w:uiPriority w:val="0"/>
    <w:rPr>
      <w:vertAlign w:val="superscript"/>
    </w:rPr>
  </w:style>
  <w:style w:type="character" w:customStyle="1" w:styleId="8">
    <w:name w:val="font11"/>
    <w:basedOn w:val="6"/>
    <w:qFormat/>
    <w:uiPriority w:val="0"/>
    <w:rPr>
      <w:rFonts w:hint="default" w:ascii="仿宋" w:hAnsi="仿宋" w:eastAsia="仿宋" w:cs="仿宋"/>
      <w:b/>
      <w:bCs/>
      <w:color w:val="000000"/>
      <w:sz w:val="18"/>
      <w:szCs w:val="18"/>
      <w:u w:val="none"/>
    </w:rPr>
  </w:style>
  <w:style w:type="character" w:customStyle="1" w:styleId="9">
    <w:name w:val="font21"/>
    <w:basedOn w:val="6"/>
    <w:uiPriority w:val="0"/>
    <w:rPr>
      <w:rFonts w:hint="eastAsia" w:ascii="宋体" w:hAnsi="宋体" w:eastAsia="宋体" w:cs="宋体"/>
      <w:b/>
      <w:bCs/>
      <w:color w:val="000000"/>
      <w:sz w:val="18"/>
      <w:szCs w:val="18"/>
      <w:u w:val="none"/>
    </w:rPr>
  </w:style>
  <w:style w:type="character" w:customStyle="1" w:styleId="10">
    <w:name w:val="font31"/>
    <w:basedOn w:val="6"/>
    <w:uiPriority w:val="0"/>
    <w:rPr>
      <w:rFonts w:hint="default" w:ascii="仿宋" w:hAnsi="仿宋" w:eastAsia="仿宋" w:cs="仿宋"/>
      <w:b/>
      <w:bCs/>
      <w:color w:val="000000"/>
      <w:sz w:val="18"/>
      <w:szCs w:val="18"/>
      <w:u w:val="none"/>
    </w:rPr>
  </w:style>
  <w:style w:type="paragraph" w:customStyle="1" w:styleId="11">
    <w:name w:val="中文标题"/>
    <w:basedOn w:val="3"/>
    <w:autoRedefine/>
    <w:qFormat/>
    <w:uiPriority w:val="0"/>
    <w:pPr>
      <w:spacing w:before="0" w:after="0"/>
    </w:pPr>
    <w:rPr>
      <w:rFonts w:ascii="华文新魏" w:hAnsi="宋体" w:eastAsia="华文新魏"/>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73</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2024-05-14T02:48:00Z</dcterms:created>
  <dc:creator>ZJY</dc:creator>
  <cp:lastModifiedBy>ZJY</cp:lastModifiedBy>
  <dcterms:modified xsi:type="dcterms:W3CDTF">2024-05-14T21:47:59Z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75E5E6B0CB52AE14E3EF416603047CB0_41</vt:lpwstr>
  </property>
</Properties>
</file>