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2430"/>
        <w:gridCol w:w="1260"/>
        <w:gridCol w:w="1188"/>
      </w:tblGrid>
      <w:tr w:rsidR="00FB22E4" w14:paraId="2360B958" w14:textId="389CBBE9" w:rsidTr="00830B05">
        <w:tc>
          <w:tcPr>
            <w:tcW w:w="459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26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18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830B05">
        <w:trPr>
          <w:trHeight w:val="92"/>
        </w:trPr>
        <w:tc>
          <w:tcPr>
            <w:tcW w:w="459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26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18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6E0493CC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>,</w:t>
      </w:r>
      <w:r w:rsidR="008247F5">
        <w:rPr>
          <w:rStyle w:val="Emphasis"/>
          <w:sz w:val="24"/>
          <w:szCs w:val="24"/>
        </w:rPr>
        <w:t xml:space="preserve"> </w:t>
      </w:r>
      <w:r w:rsidR="00B95893">
        <w:rPr>
          <w:rStyle w:val="Emphasis"/>
          <w:sz w:val="24"/>
          <w:szCs w:val="24"/>
        </w:rPr>
        <w:t xml:space="preserve">Cardiac </w:t>
      </w:r>
      <w:r w:rsidR="008247F5">
        <w:rPr>
          <w:rStyle w:val="Emphasis"/>
          <w:sz w:val="24"/>
          <w:szCs w:val="24"/>
        </w:rPr>
        <w:t>Medicine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Serve custom Keras models with TensorFlow Serving and Docker-Compose to REST/gRPC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Fargate</w:t>
      </w:r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(DNAnexus) with Spark in JupyterLab/R-Studio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Plotly)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r w:rsidR="00E038FA" w:rsidRPr="00057F13">
        <w:rPr>
          <w:rStyle w:val="Emphasis"/>
          <w:sz w:val="24"/>
          <w:szCs w:val="24"/>
        </w:rPr>
        <w:t>Hectre</w:t>
      </w:r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CoLab</w:t>
      </w:r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 xml:space="preserve">test driven development (PyTest),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(PipEnv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Conda)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(PostgreSQL/PgAdmin),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Docker/AzureCR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>ash, Slurm,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80"/>
        <w:gridCol w:w="2952"/>
      </w:tblGrid>
      <w:tr w:rsidR="001B2064" w14:paraId="4423E0A5" w14:textId="77777777" w:rsidTr="001B2064">
        <w:trPr>
          <w:trHeight w:val="50"/>
        </w:trPr>
        <w:tc>
          <w:tcPr>
            <w:tcW w:w="6480" w:type="dxa"/>
          </w:tcPr>
          <w:p w14:paraId="0FB9AB40" w14:textId="2E08D6DF" w:rsidR="001B2064" w:rsidRDefault="001B2064" w:rsidP="001B2064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>
              <w:rPr>
                <w:color w:val="auto"/>
                <w:sz w:val="20"/>
                <w:szCs w:val="20"/>
                <w:lang w:eastAsia="zh-CN"/>
              </w:rPr>
              <w:t>,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2.8 Years Completion, </w:t>
            </w:r>
            <w:hyperlink r:id="rId20" w:history="1">
              <w:r w:rsidRPr="001F41A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>Top 1% Global Impact</w:t>
              </w:r>
            </w:hyperlink>
          </w:p>
        </w:tc>
        <w:tc>
          <w:tcPr>
            <w:tcW w:w="2952" w:type="dxa"/>
          </w:tcPr>
          <w:p w14:paraId="60EB763D" w14:textId="2BCED037" w:rsidR="001B2064" w:rsidRDefault="001B2064" w:rsidP="001B2064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Honours, 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5C432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3E7AD547" w14:textId="77777777" w:rsidR="009C15BC" w:rsidRDefault="009C15BC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A4AAA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78B484CB" w14:textId="77777777" w:rsidR="009C15BC" w:rsidRDefault="009C15BC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64" type="#_x0000_t75" style="width:169.1pt;height:169.1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064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1A8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C6E49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7F5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0B05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5BC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5893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17A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4678</TotalTime>
  <Pages>1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7405</cp:revision>
  <cp:lastPrinted>2023-02-01T00:28:00Z</cp:lastPrinted>
  <dcterms:created xsi:type="dcterms:W3CDTF">2018-01-31T23:48:00Z</dcterms:created>
  <dcterms:modified xsi:type="dcterms:W3CDTF">2023-02-02T11:20:00Z</dcterms:modified>
</cp:coreProperties>
</file>