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5993" w14:textId="1A014582" w:rsidR="00EA3E2B" w:rsidRPr="00C64851" w:rsidRDefault="00EA3E2B" w:rsidP="00EA3E2B">
      <w:pPr>
        <w:pStyle w:val="CPTInstructional"/>
        <w:jc w:val="center"/>
        <w:rPr>
          <w:b/>
          <w:bCs/>
        </w:rPr>
      </w:pPr>
      <w:bookmarkStart w:id="0" w:name="_Toc390276025"/>
      <w:bookmarkStart w:id="1" w:name="_Ref379895197"/>
      <w:bookmarkStart w:id="2" w:name="_Ref379895204"/>
      <w:bookmarkStart w:id="3" w:name="_Toc518466184"/>
      <w:bookmarkStart w:id="4" w:name="_Toc421709296"/>
      <w:bookmarkStart w:id="5" w:name="_Toc497118844"/>
      <w:bookmarkStart w:id="6" w:name="_Toc477961659"/>
      <w:bookmarkStart w:id="7" w:name="_Toc518655995"/>
      <w:bookmarkStart w:id="8" w:name="_Toc521400487"/>
      <w:bookmarkEnd w:id="0"/>
      <w:bookmarkEnd w:id="1"/>
      <w:bookmarkEnd w:id="2"/>
      <w:bookmarkEnd w:id="3"/>
      <w:bookmarkEnd w:id="4"/>
      <w:bookmarkEnd w:id="5"/>
      <w:bookmarkEnd w:id="6"/>
      <w:bookmarkEnd w:id="7"/>
      <w:bookmarkEnd w:id="8"/>
      <w:r w:rsidRPr="00B16BA1">
        <w:rPr>
          <w:rStyle w:val="DateChar"/>
        </w:rPr>
        <w:t>C</w:t>
      </w:r>
      <w:r w:rsidRPr="7E2C4AF2">
        <w:rPr>
          <w:b/>
          <w:bCs/>
        </w:rPr>
        <w:t>ommon Statistical Analysis Plan Template v</w:t>
      </w:r>
      <w:r w:rsidR="006A0BDE">
        <w:rPr>
          <w:b/>
          <w:bCs/>
        </w:rPr>
        <w:t>5</w:t>
      </w:r>
    </w:p>
    <w:p w14:paraId="711C296D" w14:textId="77777777" w:rsidR="00EA3E2B" w:rsidRDefault="00EA3E2B" w:rsidP="0048507C">
      <w:pPr>
        <w:pStyle w:val="CPTInstructional"/>
        <w:jc w:val="center"/>
        <w:rPr>
          <w:b/>
          <w:bCs/>
        </w:rPr>
      </w:pPr>
      <w:r w:rsidRPr="0048507C">
        <w:rPr>
          <w:b/>
          <w:bCs/>
        </w:rPr>
        <w:t>About This Template</w:t>
      </w:r>
    </w:p>
    <w:p w14:paraId="6E275B31" w14:textId="77777777" w:rsidR="006D4E72" w:rsidRPr="0048507C" w:rsidRDefault="006D4E72" w:rsidP="0048507C">
      <w:pPr>
        <w:pStyle w:val="CPTInstructional"/>
        <w:jc w:val="center"/>
        <w:rPr>
          <w:b/>
          <w:bCs/>
        </w:rPr>
      </w:pPr>
    </w:p>
    <w:p w14:paraId="606E304F" w14:textId="77777777" w:rsidR="00EA3E2B" w:rsidRPr="0048507C" w:rsidRDefault="00EA3E2B" w:rsidP="00C84EAF">
      <w:pPr>
        <w:pStyle w:val="CPTInstructional"/>
        <w:rPr>
          <w:b/>
          <w:bCs/>
        </w:rPr>
      </w:pPr>
      <w:r w:rsidRPr="0048507C">
        <w:rPr>
          <w:b/>
          <w:bCs/>
        </w:rPr>
        <w:t>Disclaimer</w:t>
      </w:r>
    </w:p>
    <w:p w14:paraId="6A7E69CE" w14:textId="199C9EC1" w:rsidR="00483AB0" w:rsidRDefault="00EA3E2B" w:rsidP="00C84EAF">
      <w:pPr>
        <w:pStyle w:val="CPTInstructional"/>
      </w:pPr>
      <w:r>
        <w:t>This document is a template</w:t>
      </w:r>
      <w:r w:rsidRPr="79FF059A">
        <w:t xml:space="preserve"> </w:t>
      </w:r>
      <w:r>
        <w:t>for a</w:t>
      </w:r>
      <w:r w:rsidRPr="79FF059A">
        <w:t xml:space="preserve"> </w:t>
      </w:r>
      <w:r w:rsidR="00940C72">
        <w:t>statistical analysis plan (SAP)</w:t>
      </w:r>
      <w:r>
        <w:t>. It contains sections marked as common text that may be used across SAPs with little to no editing if the user chooses to do so. The use of this template is at the discretion of the user. Recommendations for modifications in future releases of the common SAP template can be submitted at any time and will be reviewed on a routine basis.</w:t>
      </w:r>
    </w:p>
    <w:p w14:paraId="7F3E0801" w14:textId="430EF242" w:rsidR="00EA3E2B" w:rsidRPr="00C64851" w:rsidRDefault="00EA3E2B" w:rsidP="00C84EAF">
      <w:pPr>
        <w:pStyle w:val="CPTInstructional"/>
      </w:pPr>
      <w:r>
        <w: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w:t>
      </w:r>
    </w:p>
    <w:p w14:paraId="09C6171C" w14:textId="77777777" w:rsidR="00EA3E2B" w:rsidRPr="00C64851" w:rsidRDefault="00EA3E2B" w:rsidP="00C84EAF">
      <w:pPr>
        <w:pStyle w:val="CPTInstructional"/>
      </w:pPr>
      <w: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0F7153AF" w14:textId="77777777" w:rsidR="00EA3E2B" w:rsidRPr="00916654" w:rsidRDefault="00EA3E2B" w:rsidP="00C84EAF">
      <w:pPr>
        <w:pStyle w:val="CPTInstructional"/>
        <w:keepNext/>
        <w:rPr>
          <w:b/>
          <w:bCs/>
        </w:rPr>
      </w:pPr>
      <w:r w:rsidRPr="7E2C4AF2">
        <w:rPr>
          <w:b/>
          <w:bCs/>
        </w:rPr>
        <w:t xml:space="preserve">Components of the SAP </w:t>
      </w:r>
      <w:r w:rsidRPr="00916654">
        <w:rPr>
          <w:b/>
          <w:bCs/>
        </w:rPr>
        <w:t>Template</w:t>
      </w:r>
    </w:p>
    <w:p w14:paraId="09A41122" w14:textId="7A8166FD" w:rsidR="00EA3E2B" w:rsidRPr="00916654" w:rsidRDefault="00EA3E2B" w:rsidP="00C84EAF">
      <w:pPr>
        <w:pStyle w:val="CPTInstructional"/>
        <w:numPr>
          <w:ilvl w:val="0"/>
          <w:numId w:val="15"/>
        </w:numPr>
        <w:spacing w:before="0" w:after="200" w:line="276" w:lineRule="auto"/>
        <w:rPr>
          <w:rFonts w:eastAsia="Times New Roman" w:cs="Times New Roman"/>
        </w:rPr>
      </w:pPr>
      <w:r w:rsidRPr="00916654">
        <w:t xml:space="preserve">The </w:t>
      </w:r>
      <w:r w:rsidRPr="00916654">
        <w:rPr>
          <w:b/>
          <w:bCs/>
        </w:rPr>
        <w:t>Core Backbone</w:t>
      </w:r>
      <w:r w:rsidRPr="00916654">
        <w:t xml:space="preserve"> and </w:t>
      </w:r>
      <w:r w:rsidRPr="00916654">
        <w:rPr>
          <w:b/>
          <w:bCs/>
        </w:rPr>
        <w:t xml:space="preserve">Appendices </w:t>
      </w:r>
      <w:r w:rsidRPr="00916654">
        <w:t xml:space="preserve">are designed to cover, at minimum, the needs for regulatory reporting and the </w:t>
      </w:r>
      <w:r w:rsidR="005B542C">
        <w:t>c</w:t>
      </w:r>
      <w:r w:rsidRPr="00916654">
        <w:t xml:space="preserve">linical </w:t>
      </w:r>
      <w:r w:rsidR="005B542C">
        <w:t>s</w:t>
      </w:r>
      <w:r w:rsidRPr="00916654">
        <w:t xml:space="preserve">tudy </w:t>
      </w:r>
      <w:r w:rsidR="005B542C">
        <w:t>r</w:t>
      </w:r>
      <w:r w:rsidRPr="00916654">
        <w:t>eport (CSR). Level</w:t>
      </w:r>
      <w:r w:rsidR="005B542C">
        <w:t>s</w:t>
      </w:r>
      <w:r w:rsidRPr="00916654">
        <w:t xml:space="preserve"> 1 and 2 headings are aligned with Section 9 Statistical Considerat</w:t>
      </w:r>
      <w:r>
        <w:t>i</w:t>
      </w:r>
      <w:r w:rsidRPr="00916654">
        <w:t xml:space="preserve">ons in the </w:t>
      </w:r>
      <w:r w:rsidR="00FC6FDE">
        <w:t>c</w:t>
      </w:r>
      <w:r w:rsidRPr="00916654">
        <w:t xml:space="preserve">ommon </w:t>
      </w:r>
      <w:r w:rsidR="00FC6FDE">
        <w:t>p</w:t>
      </w:r>
      <w:r w:rsidRPr="00916654">
        <w:t xml:space="preserve">rotocol </w:t>
      </w:r>
      <w:r w:rsidR="00FC6FDE">
        <w:t>t</w:t>
      </w:r>
      <w:r w:rsidRPr="00916654">
        <w:t>emplate</w:t>
      </w:r>
      <w:r w:rsidR="00FC6FDE">
        <w:t xml:space="preserve"> (CPT)</w:t>
      </w:r>
      <w:r w:rsidRPr="00916654">
        <w:t>. Level 3 and lower headings can be deleted/added/modified if additional planned analyses need to be described.</w:t>
      </w:r>
    </w:p>
    <w:p w14:paraId="7631ED6F" w14:textId="77777777" w:rsidR="00EA3E2B" w:rsidRPr="00916654" w:rsidRDefault="00EA3E2B" w:rsidP="00C84EAF">
      <w:pPr>
        <w:pStyle w:val="CPTInstructional"/>
        <w:numPr>
          <w:ilvl w:val="1"/>
          <w:numId w:val="15"/>
        </w:numPr>
        <w:spacing w:before="0" w:after="200" w:line="276" w:lineRule="auto"/>
        <w:rPr>
          <w:rFonts w:eastAsia="Times New Roman" w:cs="Times New Roman"/>
        </w:rPr>
      </w:pPr>
      <w:r w:rsidRPr="00916654">
        <w:t>The</w:t>
      </w:r>
      <w:r w:rsidRPr="00916654">
        <w:rPr>
          <w:b/>
          <w:bCs/>
        </w:rPr>
        <w:t xml:space="preserve"> Core Backbone</w:t>
      </w:r>
      <w:r w:rsidRPr="00916654">
        <w:t xml:space="preserve"> contains analysis plan information common to all phases, study populations, and therapeutic areas. The core backbone is streamlined and focused on the regulatory reporting recommendations and/or requirements. </w:t>
      </w:r>
    </w:p>
    <w:p w14:paraId="553C9950" w14:textId="77777777" w:rsidR="007F7DB0" w:rsidRPr="007F7DB0" w:rsidRDefault="00EA3E2B" w:rsidP="007F7DB0">
      <w:pPr>
        <w:pStyle w:val="CPTInstructional"/>
        <w:numPr>
          <w:ilvl w:val="1"/>
          <w:numId w:val="15"/>
        </w:numPr>
        <w:spacing w:before="0" w:after="200" w:line="276" w:lineRule="auto"/>
        <w:rPr>
          <w:rFonts w:eastAsia="Times New Roman" w:cs="Times New Roman"/>
        </w:rPr>
      </w:pPr>
      <w:r w:rsidRPr="007F7DB0">
        <w:rPr>
          <w:b/>
          <w:bCs/>
        </w:rPr>
        <w:t>Appendices</w:t>
      </w:r>
      <w:r w:rsidRPr="00916654">
        <w:t xml:space="preserve"> provide additional information that can be accessed when needed</w:t>
      </w:r>
      <w:r w:rsidR="00FC6FDE">
        <w:t>,</w:t>
      </w:r>
      <w:r w:rsidRPr="00916654">
        <w:t xml:space="preserve"> eg, abbreviations, data handling conventions, CSR items </w:t>
      </w:r>
      <w:r w:rsidR="007F7DB0">
        <w:t xml:space="preserve">that are </w:t>
      </w:r>
      <w:r w:rsidRPr="00916654">
        <w:t xml:space="preserve">not critical for </w:t>
      </w:r>
      <w:r w:rsidR="007F7DB0">
        <w:t>prespecification</w:t>
      </w:r>
      <w:r w:rsidR="007F7DB0" w:rsidRPr="00916654">
        <w:t xml:space="preserve"> </w:t>
      </w:r>
    </w:p>
    <w:p w14:paraId="40F918FF" w14:textId="44A6FCCA" w:rsidR="00EA3E2B" w:rsidRPr="007F7DB0" w:rsidRDefault="00EA3E2B" w:rsidP="001158D3">
      <w:pPr>
        <w:pStyle w:val="CPTInstructional"/>
        <w:numPr>
          <w:ilvl w:val="2"/>
          <w:numId w:val="15"/>
        </w:numPr>
        <w:spacing w:before="0" w:after="200" w:line="276" w:lineRule="auto"/>
        <w:rPr>
          <w:rFonts w:eastAsia="Times New Roman" w:cs="Times New Roman"/>
        </w:rPr>
      </w:pPr>
      <w:r w:rsidRPr="00916654">
        <w:t>This information may also be contained in separate documentation and referenced.</w:t>
      </w:r>
    </w:p>
    <w:p w14:paraId="2F40BF90" w14:textId="77777777" w:rsidR="00EA3E2B" w:rsidRPr="00916654" w:rsidRDefault="00EA3E2B" w:rsidP="00C84EAF">
      <w:pPr>
        <w:pStyle w:val="CPTInstructional"/>
        <w:keepNext/>
        <w:rPr>
          <w:b/>
          <w:bCs/>
        </w:rPr>
      </w:pPr>
      <w:r w:rsidRPr="00916654">
        <w:rPr>
          <w:b/>
          <w:bCs/>
        </w:rPr>
        <w:t>Core Backbone Headings</w:t>
      </w:r>
    </w:p>
    <w:p w14:paraId="12E90AB6" w14:textId="77777777" w:rsidR="007F7DB0" w:rsidRPr="00916654" w:rsidRDefault="007F7DB0" w:rsidP="007F7DB0">
      <w:pPr>
        <w:pStyle w:val="CPTInstructional"/>
        <w:numPr>
          <w:ilvl w:val="0"/>
          <w:numId w:val="15"/>
        </w:numPr>
      </w:pPr>
      <w:r w:rsidRPr="00916654">
        <w:t>Level</w:t>
      </w:r>
      <w:r>
        <w:t>s</w:t>
      </w:r>
      <w:r w:rsidRPr="00916654">
        <w:t xml:space="preserve"> 1 and 2 headings should be consistent across analysis plans that use the TransCelerate </w:t>
      </w:r>
      <w:r>
        <w:t>c</w:t>
      </w:r>
      <w:r w:rsidRPr="00916654">
        <w:t>ommon SAP template for reference purposes.</w:t>
      </w:r>
      <w:r w:rsidRPr="007B720A">
        <w:t xml:space="preserve"> </w:t>
      </w:r>
      <w:r w:rsidRPr="00483AB0">
        <w:t xml:space="preserve">The structure of this template </w:t>
      </w:r>
      <w:r>
        <w:t xml:space="preserve">was chosen to maximize </w:t>
      </w:r>
      <w:r w:rsidRPr="00483AB0">
        <w:t>align</w:t>
      </w:r>
      <w:r>
        <w:t>ment</w:t>
      </w:r>
      <w:r w:rsidRPr="00483AB0">
        <w:t xml:space="preserve"> with the </w:t>
      </w:r>
      <w:r>
        <w:t>statistical section of the Common Protocol Template.</w:t>
      </w:r>
    </w:p>
    <w:p w14:paraId="75FECDAC" w14:textId="4C68A386" w:rsidR="00EA3E2B" w:rsidRPr="00C64851" w:rsidRDefault="00EA3E2B" w:rsidP="00C84EAF">
      <w:pPr>
        <w:pStyle w:val="CPTInstructional"/>
        <w:numPr>
          <w:ilvl w:val="0"/>
          <w:numId w:val="15"/>
        </w:numPr>
        <w:spacing w:before="0" w:after="200" w:line="276" w:lineRule="auto"/>
      </w:pPr>
      <w:r w:rsidRPr="00916654">
        <w:t>Level</w:t>
      </w:r>
      <w:r w:rsidR="00907A1B">
        <w:t>s</w:t>
      </w:r>
      <w:r w:rsidRPr="00916654">
        <w:t xml:space="preserve"> 1 and 2 headings should not be deleted. If they are not relevant to the study, </w:t>
      </w:r>
      <w:r w:rsidR="000061B5">
        <w:t>n</w:t>
      </w:r>
      <w:r w:rsidRPr="00916654">
        <w:t>ot applicable should be inserted</w:t>
      </w:r>
      <w:r>
        <w:t xml:space="preserve"> so that the numbering of subsequent sections is not changed.</w:t>
      </w:r>
    </w:p>
    <w:p w14:paraId="6C5CF376" w14:textId="75B992A8" w:rsidR="00EA3E2B" w:rsidRPr="00C64851" w:rsidRDefault="00EA3E2B" w:rsidP="00C84EAF">
      <w:pPr>
        <w:pStyle w:val="CPTInstructional"/>
        <w:numPr>
          <w:ilvl w:val="0"/>
          <w:numId w:val="15"/>
        </w:numPr>
        <w:spacing w:before="0" w:after="200" w:line="276" w:lineRule="auto"/>
      </w:pPr>
      <w:r>
        <w:t xml:space="preserve">Level 3 and </w:t>
      </w:r>
      <w:r w:rsidR="000B30AA">
        <w:t>subsequent</w:t>
      </w:r>
      <w:r w:rsidR="00CD7E1A">
        <w:t xml:space="preserve"> sub</w:t>
      </w:r>
      <w:r>
        <w:t xml:space="preserve">headings </w:t>
      </w:r>
      <w:r w:rsidR="000061B5">
        <w:t xml:space="preserve">are suggested and </w:t>
      </w:r>
      <w:r>
        <w:t>can be deleted/added/modified as needed.</w:t>
      </w:r>
    </w:p>
    <w:p w14:paraId="44F4EBF4" w14:textId="77777777" w:rsidR="00EA3E2B" w:rsidRPr="0048507C" w:rsidRDefault="00EA3E2B" w:rsidP="00C84EAF">
      <w:pPr>
        <w:pStyle w:val="CPTInstructional"/>
        <w:keepNext/>
        <w:rPr>
          <w:b/>
          <w:bCs/>
        </w:rPr>
      </w:pPr>
      <w:r w:rsidRPr="0048507C">
        <w:rPr>
          <w:b/>
          <w:bCs/>
        </w:rPr>
        <w:t>Terminology</w:t>
      </w:r>
    </w:p>
    <w:p w14:paraId="68AF5AAC" w14:textId="77777777" w:rsidR="000061B5" w:rsidRDefault="000061B5" w:rsidP="00C84EAF">
      <w:pPr>
        <w:pStyle w:val="CPTInstructional"/>
        <w:numPr>
          <w:ilvl w:val="0"/>
          <w:numId w:val="16"/>
        </w:numPr>
        <w:spacing w:before="0" w:after="200" w:line="276" w:lineRule="auto"/>
      </w:pPr>
      <w:r>
        <w:t>The terminology used in the SAP should match the protocol.</w:t>
      </w:r>
    </w:p>
    <w:p w14:paraId="030CD3AD" w14:textId="5EC91584" w:rsidR="00EA3E2B" w:rsidRPr="00C64851" w:rsidRDefault="00EA3E2B" w:rsidP="00C84EAF">
      <w:pPr>
        <w:pStyle w:val="CPTInstructional"/>
        <w:numPr>
          <w:ilvl w:val="0"/>
          <w:numId w:val="16"/>
        </w:numPr>
        <w:spacing w:before="0" w:after="200" w:line="276" w:lineRule="auto"/>
      </w:pPr>
      <w:r>
        <w:t xml:space="preserve">The following terminology has been selected for use within </w:t>
      </w:r>
      <w:r w:rsidR="000061B5">
        <w:t xml:space="preserve">TransCelerate common templates (CPT, SAP, and CSR) </w:t>
      </w:r>
      <w:r>
        <w:t>and is considered to be appropriate for all phases, study populations, and therapeutic areas.</w:t>
      </w:r>
    </w:p>
    <w:p w14:paraId="10C6005D" w14:textId="77777777" w:rsidR="007F7DB0" w:rsidRPr="00C64851" w:rsidRDefault="007F7DB0" w:rsidP="007F7DB0">
      <w:pPr>
        <w:pStyle w:val="CPTInstructional"/>
        <w:numPr>
          <w:ilvl w:val="1"/>
          <w:numId w:val="16"/>
        </w:numPr>
        <w:spacing w:before="0" w:after="200" w:line="276" w:lineRule="auto"/>
        <w:ind w:left="1080"/>
      </w:pPr>
      <w:r w:rsidRPr="25265610">
        <w:rPr>
          <w:i/>
          <w:iCs/>
        </w:rPr>
        <w:t>Participant</w:t>
      </w:r>
      <w:r>
        <w:t xml:space="preserve"> is used rather than subject, healthy volunteer, or patient.</w:t>
      </w:r>
    </w:p>
    <w:p w14:paraId="3E571816" w14:textId="4A95EE57" w:rsidR="00D231F4" w:rsidRPr="00B21534" w:rsidRDefault="00D231F4" w:rsidP="00A57455">
      <w:pPr>
        <w:pStyle w:val="CPTInstructional"/>
        <w:numPr>
          <w:ilvl w:val="1"/>
          <w:numId w:val="16"/>
        </w:numPr>
        <w:spacing w:before="0" w:after="200" w:line="276" w:lineRule="auto"/>
        <w:ind w:left="1080"/>
        <w:rPr>
          <w:i/>
          <w:iCs/>
        </w:rPr>
      </w:pPr>
      <w:r w:rsidRPr="00B72F26">
        <w:rPr>
          <w:i/>
          <w:iCs/>
        </w:rPr>
        <w:t xml:space="preserve">Study intervention </w:t>
      </w:r>
      <w:r>
        <w:t>is</w:t>
      </w:r>
      <w:r w:rsidRPr="00D231F4">
        <w:t xml:space="preserve"> used rather than study drug.</w:t>
      </w:r>
      <w:r>
        <w:rPr>
          <w:i/>
          <w:iCs/>
        </w:rPr>
        <w:t xml:space="preserve"> </w:t>
      </w:r>
      <w:r w:rsidRPr="00B21534">
        <w:rPr>
          <w:i/>
          <w:iCs/>
        </w:rPr>
        <w:t>Study interventions</w:t>
      </w:r>
      <w:r w:rsidRPr="002A6A3A">
        <w:t xml:space="preserve"> are all prespecified, investigational and noninvestigational medicinal products*, medical devices and other interventions (eg, surgical and behavioral) intended to be administered to the study participants during the study conduct. </w:t>
      </w:r>
      <w:r w:rsidRPr="005B2489">
        <w:t xml:space="preserve">Procedures conducted to manage participants or to collect data are excluded from the usage of this term. </w:t>
      </w:r>
      <w:r w:rsidRPr="00612A28">
        <w:t>Investigational interventions</w:t>
      </w:r>
      <w:r w:rsidRPr="00A57455">
        <w:t xml:space="preserve"> </w:t>
      </w:r>
      <w:r w:rsidRPr="005B2489">
        <w:t>are a subset of study interventions that are being tested or used as a control (eg, placebo or active comparator).</w:t>
      </w:r>
    </w:p>
    <w:p w14:paraId="5B868DA4" w14:textId="77777777" w:rsidR="007F7DB0" w:rsidRDefault="007F7DB0" w:rsidP="007F7DB0">
      <w:pPr>
        <w:pStyle w:val="CPTInstructional"/>
        <w:spacing w:before="0" w:after="200" w:line="276" w:lineRule="auto"/>
        <w:ind w:left="1440"/>
      </w:pPr>
      <w:r w:rsidRPr="008727B1">
        <w:t xml:space="preserve">*Please be referred to Eudralex - Volume 10 - Clinical trials guidelines (Chapter III) for further information on some categories of medicinal products </w:t>
      </w:r>
      <w:r>
        <w:t>that</w:t>
      </w:r>
      <w:r w:rsidRPr="008727B1">
        <w:t xml:space="preserve"> are normally used in clinical trials as NIMPs</w:t>
      </w:r>
      <w:r>
        <w:t xml:space="preserve"> (noninvestigational medicinal products)</w:t>
      </w:r>
      <w:r w:rsidRPr="008727B1">
        <w:t>, such as rescue medication, challenge agents, medicinal products used to assess endpoints in the clinical trial, concomitant medicinal products systematically prescribed to the study patients, and background treatment.</w:t>
      </w:r>
    </w:p>
    <w:p w14:paraId="53F4C523" w14:textId="77777777" w:rsidR="007F7DB0" w:rsidRPr="00C64851" w:rsidRDefault="007F7DB0" w:rsidP="00C57773">
      <w:pPr>
        <w:pStyle w:val="CPTInstructional"/>
        <w:ind w:left="1440"/>
      </w:pPr>
      <w:r>
        <w:t>Of note, all products administered during the study that are not study interventions are recorded as concomitant therapy.</w:t>
      </w:r>
    </w:p>
    <w:p w14:paraId="758A3787" w14:textId="77777777" w:rsidR="00EA3E2B" w:rsidRPr="00C64851" w:rsidRDefault="00EA3E2B" w:rsidP="001D73DE">
      <w:pPr>
        <w:pStyle w:val="CPTInstructional"/>
        <w:keepNext/>
        <w:rPr>
          <w:b/>
          <w:bCs/>
        </w:rPr>
      </w:pPr>
      <w:r w:rsidRPr="7E2C4AF2">
        <w:rPr>
          <w:b/>
          <w:bCs/>
        </w:rPr>
        <w:t>Formatting and Text Conventions</w:t>
      </w:r>
    </w:p>
    <w:p w14:paraId="799D1F78" w14:textId="77777777" w:rsidR="006D4E72" w:rsidRPr="00C64851" w:rsidRDefault="006D4E72" w:rsidP="006D4E72">
      <w:pPr>
        <w:pStyle w:val="CPTInstructional"/>
        <w:numPr>
          <w:ilvl w:val="0"/>
          <w:numId w:val="24"/>
        </w:numPr>
        <w:spacing w:before="0" w:after="200" w:line="276" w:lineRule="auto"/>
      </w:pPr>
      <w:r>
        <w:t xml:space="preserve">Common Text: Black font preceded by &lt;Start of common text&gt; and followed by &lt;End of common text&gt; is common </w:t>
      </w:r>
      <w:r w:rsidRPr="008512B0">
        <w:t>language intended to be harmonized across SAPs. The recommendation is to use this text as written to maintain consistency across template users, but the text can be adapted or deleted, if required.</w:t>
      </w:r>
      <w:r>
        <w:t xml:space="preserve"> </w:t>
      </w:r>
      <w:r w:rsidRPr="00C64380">
        <w:rPr>
          <w:rFonts w:cs="Times New Roman"/>
          <w:b/>
          <w:bCs/>
          <w:sz w:val="24"/>
          <w:szCs w:val="24"/>
        </w:rPr>
        <w:t>Driver:</w:t>
      </w:r>
      <w:r>
        <w:rPr>
          <w:rFonts w:cs="Times New Roman"/>
          <w:sz w:val="24"/>
          <w:szCs w:val="24"/>
        </w:rPr>
        <w:t xml:space="preserve"> Industry regulation or guidance.</w:t>
      </w:r>
    </w:p>
    <w:p w14:paraId="20306608" w14:textId="77777777" w:rsidR="00766C7E" w:rsidRDefault="00766C7E" w:rsidP="00766C7E">
      <w:pPr>
        <w:pStyle w:val="CPTInstructional"/>
        <w:numPr>
          <w:ilvl w:val="0"/>
          <w:numId w:val="24"/>
        </w:numPr>
        <w:spacing w:before="0" w:after="200" w:line="276" w:lineRule="auto"/>
      </w:pPr>
      <w:r>
        <w:t xml:space="preserve">Suggested Text: Black text preceded by &lt;Start of suggested text&gt; and followed by &lt;End of suggested text&gt; is suggested language that can be adapted or deleted as needed. Authors should consider implications to reuse within the CTS or the CT Registry if text is to be modified or removed. </w:t>
      </w:r>
    </w:p>
    <w:p w14:paraId="1BCD3C40" w14:textId="022A690A" w:rsidR="006D4E72" w:rsidRDefault="006D4E72" w:rsidP="006D4E72">
      <w:pPr>
        <w:pStyle w:val="CPTInstructional"/>
        <w:numPr>
          <w:ilvl w:val="0"/>
          <w:numId w:val="24"/>
        </w:numPr>
        <w:spacing w:before="0" w:after="200" w:line="276" w:lineRule="auto"/>
      </w:pPr>
      <w:r>
        <w:t>Variable Text: Blue bracketed text is variable text that should be addressed based on individual study needs.</w:t>
      </w:r>
    </w:p>
    <w:p w14:paraId="17E8D6FC" w14:textId="77777777" w:rsidR="002862A6" w:rsidRDefault="002862A6" w:rsidP="00046E10">
      <w:pPr>
        <w:pStyle w:val="CPTInstructional"/>
        <w:numPr>
          <w:ilvl w:val="0"/>
          <w:numId w:val="24"/>
        </w:numPr>
        <w:spacing w:before="0" w:after="200" w:line="276" w:lineRule="auto"/>
      </w:pPr>
      <w:r>
        <w:t>Example Text: Green italicized text preceded by &lt;</w:t>
      </w:r>
      <w:r>
        <w:rPr>
          <w:i/>
          <w:iCs/>
        </w:rPr>
        <w:t>Start of example text</w:t>
      </w:r>
      <w:r>
        <w:t>&gt; and followed by &lt;</w:t>
      </w:r>
      <w:r>
        <w:rPr>
          <w:i/>
          <w:iCs/>
        </w:rPr>
        <w:t>End of example text</w:t>
      </w:r>
      <w:r>
        <w:t xml:space="preserve">&gt; should be removed by the author if not utilized. </w:t>
      </w:r>
    </w:p>
    <w:p w14:paraId="5A8C2FED" w14:textId="457971D0" w:rsidR="002862A6" w:rsidRDefault="002862A6" w:rsidP="00046E10">
      <w:pPr>
        <w:pStyle w:val="CPTInstructional"/>
        <w:numPr>
          <w:ilvl w:val="0"/>
          <w:numId w:val="24"/>
        </w:numPr>
        <w:spacing w:before="0" w:after="200" w:line="276" w:lineRule="auto"/>
      </w:pPr>
      <w:r>
        <w:t>Instructional Text: Intended to aid in the authoring of the SAP. In the basic Word edition, it is red, hidden text, and paragraph marks must be enabled in order for it to be displayed. In the technology-enabled edition, it will appear only in the instructional text panel.</w:t>
      </w:r>
    </w:p>
    <w:p w14:paraId="5F100A75" w14:textId="7FA186CE" w:rsidR="002862A6" w:rsidRDefault="006D4E72" w:rsidP="006D4E72">
      <w:pPr>
        <w:pStyle w:val="CPTInstructional"/>
        <w:numPr>
          <w:ilvl w:val="0"/>
          <w:numId w:val="24"/>
        </w:numPr>
        <w:spacing w:line="256" w:lineRule="auto"/>
        <w:contextualSpacing/>
      </w:pPr>
      <w:r>
        <w:t xml:space="preserve">The flags for the start and end of common, suggested, or example text can be removed automatically at the time of </w:t>
      </w:r>
      <w:r w:rsidR="00782BB5">
        <w:t>SAP</w:t>
      </w:r>
      <w:r>
        <w:t xml:space="preserve"> finalization if the eSAP template has been used or should be removed manually by the author if the Basic Word Edition SAP template has been used.</w:t>
      </w:r>
    </w:p>
    <w:p w14:paraId="415DF26C" w14:textId="77777777" w:rsidR="002862A6" w:rsidRDefault="002862A6" w:rsidP="002862A6">
      <w:pPr>
        <w:pStyle w:val="CPTInstructional"/>
        <w:keepNext/>
        <w:rPr>
          <w:b/>
        </w:rPr>
      </w:pPr>
      <w:r>
        <w:rPr>
          <w:b/>
        </w:rPr>
        <w:t>Disclosure</w:t>
      </w:r>
    </w:p>
    <w:p w14:paraId="4C29EFB4" w14:textId="2E238409" w:rsidR="002862A6" w:rsidRDefault="002862A6" w:rsidP="00046E10">
      <w:pPr>
        <w:pStyle w:val="CPTInstructional"/>
        <w:numPr>
          <w:ilvl w:val="0"/>
          <w:numId w:val="24"/>
        </w:numPr>
        <w:spacing w:before="0" w:after="160" w:line="256" w:lineRule="auto"/>
      </w:pPr>
      <w:r>
        <w: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w:t>
      </w:r>
    </w:p>
    <w:p w14:paraId="0494CFF9" w14:textId="33B67C46" w:rsidR="009A0668" w:rsidRPr="0048507C" w:rsidRDefault="00FE17DA" w:rsidP="00CB2B8C">
      <w:pPr>
        <w:pStyle w:val="CPTInstructional"/>
      </w:pPr>
      <w:r w:rsidRPr="00FE17DA">
        <w:t xml:space="preserve">All language proposed in this Library (whether proposed as common, suggested, example, or variable text) may be modified as the user sees fit or as required by any applicable law or regulation. </w:t>
      </w:r>
    </w:p>
    <w:p w14:paraId="72174123" w14:textId="05ADC6E3" w:rsidR="003415B2" w:rsidRPr="00AC7592" w:rsidRDefault="7E2C4AF2">
      <w:pPr>
        <w:pStyle w:val="Heading1NoTOC"/>
        <w:pageBreakBefore w:val="0"/>
        <w:rPr>
          <w:rFonts w:ascii="Times New Roman" w:eastAsia="Times New Roman" w:hAnsi="Times New Roman" w:cs="Times New Roman"/>
        </w:rPr>
      </w:pPr>
      <w:bookmarkStart w:id="9" w:name="_Toc154052357"/>
      <w:r w:rsidRPr="7E2C4AF2">
        <w:rPr>
          <w:rFonts w:ascii="Times New Roman" w:eastAsia="Times New Roman" w:hAnsi="Times New Roman" w:cs="Times New Roman"/>
        </w:rPr>
        <w:t>Title Page</w:t>
      </w:r>
      <w:bookmarkEnd w:id="9"/>
    </w:p>
    <w:p w14:paraId="29663A8F" w14:textId="2CA3219C" w:rsidR="00D869DE" w:rsidRDefault="7E2C4AF2" w:rsidP="00E90F3E">
      <w:pPr>
        <w:rPr>
          <w:b/>
        </w:rPr>
      </w:pPr>
      <w:r>
        <w:t>Protocol Title: Zinc sulfate (or other zinc salt) acceptability study in children with acute diarrhoea. A prospective, open-label, (multi-centre) interventional study</w:t>
      </w:r>
    </w:p>
    <w:p w14:paraId="53BD0C9F" w14:textId="2E739B2D" w:rsidR="00E14CD3" w:rsidRPr="00E90F3E" w:rsidRDefault="00E14CD3" w:rsidP="00E90F3E">
      <w:pPr>
        <w:rPr>
          <w:b/>
        </w:rPr>
      </w:pPr>
    </w:p>
    <w:p w14:paraId="056670C9" w14:textId="43CA824D" w:rsidR="00411C2B" w:rsidRPr="00850EB9" w:rsidRDefault="7E2C4AF2" w:rsidP="002862A6">
      <w:pPr>
        <w:spacing w:before="240" w:after="0"/>
        <w:rPr>
          <w:b/>
        </w:rPr>
      </w:pPr>
      <w:r>
        <w:t>Protocol Number:  ABC-1234</w:t>
      </w:r>
    </w:p>
    <w:p w14:paraId="2948EC7D" w14:textId="4E3AC923" w:rsidR="00411C2B" w:rsidRDefault="7E2C4AF2" w:rsidP="7E2C4AF2">
      <w:pPr>
        <w:spacing w:before="240" w:after="0"/>
        <w:rPr>
          <w:b/>
          <w:bCs/>
        </w:rPr>
      </w:pPr>
      <w:r>
        <w:t>Compound Number: Zinc sulfate (or other zinc salt)</w:t>
      </w:r>
    </w:p>
    <w:p w14:paraId="066ED3AF" w14:textId="68C64E48" w:rsidR="00F5503D" w:rsidRPr="005A2EA2" w:rsidRDefault="7E2C4AF2" w:rsidP="7E2C4AF2">
      <w:pPr>
        <w:spacing w:before="240" w:after="0"/>
        <w:rPr>
          <w:b/>
          <w:bCs/>
        </w:rPr>
      </w:pPr>
      <w:r>
        <w:t>Short Title: Zinc acceptability study in children with acute diarrhoea</w:t>
      </w:r>
    </w:p>
    <w:p w14:paraId="3635D758" w14:textId="57E49C84" w:rsidR="00D869DE" w:rsidRDefault="7E2C4AF2" w:rsidP="7E2C4AF2">
      <w:pPr>
        <w:spacing w:before="240" w:after="0"/>
        <w:rPr>
          <w:b/>
          <w:bCs/>
        </w:rPr>
      </w:pPr>
      <w:r>
        <w:t>Sponsor Name: ABC Pharmaceuticals</w:t>
      </w:r>
    </w:p>
    <w:p w14:paraId="066B93BE" w14:textId="7C904B2A" w:rsidR="00D869DE" w:rsidRDefault="7E2C4AF2" w:rsidP="7E2C4AF2">
      <w:pPr>
        <w:spacing w:before="240" w:after="0"/>
        <w:rPr>
          <w:b/>
          <w:bCs/>
        </w:rPr>
      </w:pPr>
      <w:r>
        <w:t>Legal Registered Address: Not specified in protocol</w:t>
      </w:r>
    </w:p>
    <w:p w14:paraId="2CD963D6" w14:textId="15E17A27" w:rsidR="005A2EA2" w:rsidRDefault="00BB2265" w:rsidP="005A2EA2">
      <w:pPr>
        <w:spacing w:before="240" w:after="0"/>
        <w:rPr>
          <w:b/>
          <w:bCs/>
        </w:rPr>
      </w:pPr>
      <w:r>
        <w:t>Regulatory Agency Identifier Number(s): Not specified in protocol</w:t>
      </w:r>
    </w:p>
    <w:p w14:paraId="53F5B344" w14:textId="2AD7D339" w:rsidR="00947452" w:rsidRPr="003359AC" w:rsidRDefault="00947452" w:rsidP="00596FA9">
      <w:pPr>
        <w:spacing w:before="240" w:after="0"/>
        <w:rPr>
          <w:b/>
        </w:rPr>
      </w:pPr>
    </w:p>
    <w:p w14:paraId="479ABE12" w14:textId="5159DC13" w:rsidR="002A6C5E" w:rsidRPr="00C64851" w:rsidRDefault="7E2C4AF2" w:rsidP="003359AC">
      <w:pPr>
        <w:pStyle w:val="Heading3NoTOC"/>
        <w:pageBreakBefore/>
        <w:rPr>
          <w:rFonts w:hint="eastAsia"/>
        </w:rPr>
      </w:pPr>
      <w:bookmarkStart w:id="10" w:name="_Toc518466152"/>
      <w:bookmarkStart w:id="11" w:name="_Toc518655967"/>
      <w:r>
        <w:lastRenderedPageBreak/>
        <w:t>Table of Contents</w:t>
      </w:r>
      <w:bookmarkEnd w:id="10"/>
      <w:bookmarkEnd w:id="11"/>
    </w:p>
    <w:p w14:paraId="05E37D31" w14:textId="74FA2107" w:rsidR="00403D7B" w:rsidRDefault="7E2C4AF2" w:rsidP="00825345">
      <w:pPr>
        <w:pStyle w:val="Heading1NoNumbering"/>
        <w:rPr>
          <w:rFonts w:hint="eastAsia"/>
        </w:rPr>
      </w:pPr>
      <w:bookmarkStart w:id="12" w:name="_Toc154052358"/>
      <w:r>
        <w:lastRenderedPageBreak/>
        <w:t xml:space="preserve">Version </w:t>
      </w:r>
      <w:r w:rsidR="006627E2">
        <w:t>H</w:t>
      </w:r>
      <w:r>
        <w:t>istory</w:t>
      </w:r>
      <w:bookmarkEnd w:id="12"/>
    </w:p>
    <w:p w14:paraId="54D3F752" w14:textId="1C240D6B" w:rsidR="00C914B2" w:rsidRDefault="00C914B2" w:rsidP="00C914B2">
      <w:pPr>
        <w:pStyle w:val="CPTInstructional"/>
      </w:pPr>
      <w:r>
        <w:t xml:space="preserve">This section should include high-level, concise documentation of any changes from previous versions of the SAP. Include a sentence at the beginning of this section that references the current version of the protocol with the version date. </w:t>
      </w:r>
    </w:p>
    <w:p w14:paraId="62C3ED2A" w14:textId="238D0FA8" w:rsidR="00C914B2" w:rsidRDefault="00C914B2" w:rsidP="00C914B2">
      <w:pPr>
        <w:pStyle w:val="CPTInstructional"/>
      </w:pPr>
      <w:r>
        <w:t>If this is version 1</w:t>
      </w:r>
      <w:r w:rsidR="006E4767">
        <w:t>.0</w:t>
      </w:r>
      <w:r>
        <w:t xml:space="preserve"> of the SAP, include the information provided in the example table with only the first row completed. </w:t>
      </w:r>
    </w:p>
    <w:p w14:paraId="116E3F13" w14:textId="77777777" w:rsidR="00C914B2" w:rsidRDefault="00C914B2" w:rsidP="00C914B2">
      <w:pPr>
        <w:pStyle w:val="CPTInstructional"/>
      </w:pPr>
      <w: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14:paraId="7B3B2487" w14:textId="525DA16B" w:rsidR="00AF1AE1" w:rsidRPr="001D73DE" w:rsidRDefault="00AF1AE1" w:rsidP="00EE1F99">
      <w:pPr>
        <w:pStyle w:val="CPTExampl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5A2EA2" w:rsidRPr="005A2EA2" w14:paraId="7ED9C82A" w14:textId="77777777" w:rsidTr="00AC4898">
        <w:tc>
          <w:tcPr>
            <w:tcW w:w="764" w:type="pct"/>
            <w:vAlign w:val="center"/>
          </w:tcPr>
          <w:p w14:paraId="6A1A6CC0" w14:textId="77777777" w:rsidR="008023D6" w:rsidRPr="005A2EA2" w:rsidRDefault="008023D6" w:rsidP="00A5660D">
            <w:pPr>
              <w:pStyle w:val="CPTExample"/>
              <w:jc w:val="center"/>
              <w:rPr>
                <w:b/>
                <w:color w:val="auto"/>
              </w:rPr>
            </w:pPr>
            <w:r w:rsidRPr="005A2EA2">
              <w:rPr>
                <w:b/>
                <w:color w:val="auto"/>
              </w:rPr>
              <w:t>SAP Version</w:t>
            </w:r>
          </w:p>
        </w:tc>
        <w:tc>
          <w:tcPr>
            <w:tcW w:w="897" w:type="pct"/>
            <w:vAlign w:val="center"/>
          </w:tcPr>
          <w:p w14:paraId="12CAF72A" w14:textId="221E9F2C" w:rsidR="008023D6" w:rsidRPr="005A2EA2" w:rsidRDefault="008023D6" w:rsidP="00A5660D">
            <w:pPr>
              <w:pStyle w:val="CPTExample"/>
              <w:jc w:val="center"/>
              <w:rPr>
                <w:b/>
                <w:color w:val="auto"/>
              </w:rPr>
            </w:pPr>
            <w:r w:rsidRPr="005A2EA2">
              <w:rPr>
                <w:b/>
                <w:color w:val="auto"/>
              </w:rPr>
              <w:t>Date</w:t>
            </w:r>
          </w:p>
        </w:tc>
        <w:tc>
          <w:tcPr>
            <w:tcW w:w="978" w:type="pct"/>
            <w:vAlign w:val="center"/>
          </w:tcPr>
          <w:p w14:paraId="0F78D1F0" w14:textId="77777777" w:rsidR="008023D6" w:rsidRPr="005A2EA2" w:rsidRDefault="008023D6" w:rsidP="00A5660D">
            <w:pPr>
              <w:pStyle w:val="CPTExample"/>
              <w:jc w:val="center"/>
              <w:rPr>
                <w:b/>
                <w:color w:val="auto"/>
              </w:rPr>
            </w:pPr>
            <w:r w:rsidRPr="005A2EA2">
              <w:rPr>
                <w:b/>
                <w:color w:val="auto"/>
              </w:rPr>
              <w:t>Change</w:t>
            </w:r>
          </w:p>
        </w:tc>
        <w:tc>
          <w:tcPr>
            <w:tcW w:w="2361" w:type="pct"/>
            <w:vAlign w:val="center"/>
          </w:tcPr>
          <w:p w14:paraId="291AA933" w14:textId="77777777" w:rsidR="008023D6" w:rsidRPr="005A2EA2" w:rsidRDefault="008023D6" w:rsidP="00A5660D">
            <w:pPr>
              <w:pStyle w:val="CPTExample"/>
              <w:jc w:val="center"/>
              <w:rPr>
                <w:b/>
                <w:color w:val="auto"/>
              </w:rPr>
            </w:pPr>
            <w:r w:rsidRPr="005A2EA2">
              <w:rPr>
                <w:b/>
                <w:color w:val="auto"/>
              </w:rPr>
              <w:t>Rationale</w:t>
            </w:r>
          </w:p>
        </w:tc>
      </w:tr>
      <w:tr w:rsidR="005A2EA2" w:rsidRPr="005A2EA2"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5A2EA2" w:rsidRDefault="008023D6" w:rsidP="00EB0EB8">
            <w:pPr>
              <w:pStyle w:val="CPTExample"/>
              <w:jc w:val="center"/>
              <w:rPr>
                <w:color w:val="auto"/>
              </w:rPr>
            </w:pPr>
            <w:r w:rsidRPr="005A2EA2">
              <w:rPr>
                <w:color w:val="auto"/>
              </w:rPr>
              <w:t>1</w:t>
            </w:r>
            <w:r w:rsidR="006E4767" w:rsidRPr="005A2EA2">
              <w:rPr>
                <w:color w:val="auto"/>
              </w:rPr>
              <w:t>.0</w:t>
            </w:r>
          </w:p>
        </w:tc>
        <w:tc>
          <w:tcPr>
            <w:tcW w:w="897" w:type="pct"/>
            <w:tcBorders>
              <w:top w:val="single" w:sz="4" w:space="0" w:color="auto"/>
              <w:left w:val="single" w:sz="4" w:space="0" w:color="auto"/>
              <w:bottom w:val="single" w:sz="4" w:space="0" w:color="auto"/>
              <w:right w:val="single" w:sz="4" w:space="0" w:color="auto"/>
            </w:tcBorders>
          </w:tcPr>
          <w:p w14:paraId="670E5171" w14:textId="49734C3D" w:rsidR="008023D6" w:rsidRPr="005A2EA2" w:rsidRDefault="00633A1C" w:rsidP="00A9310F">
            <w:pPr>
              <w:pStyle w:val="CPTExample"/>
              <w:rPr>
                <w:color w:val="auto"/>
              </w:rPr>
            </w:pPr>
            <w:r w:rsidRPr="005A2EA2">
              <w:rPr>
                <w:color w:val="auto"/>
              </w:rPr>
              <w:t xml:space="preserve"> </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5A2EA2" w:rsidRDefault="008023D6" w:rsidP="00A9310F">
            <w:pPr>
              <w:pStyle w:val="CPTExample"/>
              <w:rPr>
                <w:color w:val="auto"/>
              </w:rPr>
            </w:pPr>
            <w:r w:rsidRPr="005A2EA2">
              <w:rPr>
                <w:color w:val="auto"/>
              </w:rPr>
              <w:t xml:space="preserve">Not </w:t>
            </w:r>
            <w:r w:rsidR="00C914B2" w:rsidRPr="005A2EA2">
              <w:rPr>
                <w:color w:val="auto"/>
              </w:rPr>
              <w:t>a</w:t>
            </w:r>
            <w:r w:rsidRPr="005A2EA2">
              <w:rPr>
                <w:color w:val="auto"/>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5A2EA2" w:rsidRDefault="008023D6" w:rsidP="00A9310F">
            <w:pPr>
              <w:pStyle w:val="CPTExample"/>
              <w:rPr>
                <w:color w:val="auto"/>
              </w:rPr>
            </w:pPr>
            <w:r w:rsidRPr="005A2EA2">
              <w:rPr>
                <w:color w:val="auto"/>
              </w:rPr>
              <w:t>Original version</w:t>
            </w:r>
          </w:p>
        </w:tc>
      </w:tr>
      <w:tr w:rsidR="005A2EA2" w:rsidRPr="005A2EA2" w14:paraId="6B3176F5" w14:textId="77777777" w:rsidTr="00AC4898">
        <w:tc>
          <w:tcPr>
            <w:tcW w:w="764" w:type="pct"/>
            <w:tcBorders>
              <w:top w:val="single" w:sz="4" w:space="0" w:color="auto"/>
              <w:left w:val="single" w:sz="4" w:space="0" w:color="auto"/>
              <w:bottom w:val="single" w:sz="4" w:space="0" w:color="auto"/>
              <w:right w:val="single" w:sz="4" w:space="0" w:color="auto"/>
            </w:tcBorders>
          </w:tcPr>
          <w:p w14:paraId="1FE0FBBB" w14:textId="77777777" w:rsidR="008023D6" w:rsidRPr="005A2EA2" w:rsidRDefault="008023D6" w:rsidP="00EB0EB8">
            <w:pPr>
              <w:pStyle w:val="CPTExample"/>
              <w:rPr>
                <w:color w:val="auto"/>
              </w:rPr>
            </w:pPr>
            <w:r w:rsidRPr="005A2EA2">
              <w:rPr>
                <w:color w:val="auto"/>
              </w:rPr>
              <w:t>&lt;add rows as necessary&gt;</w:t>
            </w:r>
          </w:p>
        </w:tc>
        <w:tc>
          <w:tcPr>
            <w:tcW w:w="897" w:type="pct"/>
            <w:tcBorders>
              <w:top w:val="single" w:sz="4" w:space="0" w:color="auto"/>
              <w:left w:val="single" w:sz="4" w:space="0" w:color="auto"/>
              <w:bottom w:val="single" w:sz="4" w:space="0" w:color="auto"/>
              <w:right w:val="single" w:sz="4" w:space="0" w:color="auto"/>
            </w:tcBorders>
          </w:tcPr>
          <w:p w14:paraId="1525E5F1" w14:textId="6740AE01" w:rsidR="008023D6" w:rsidRPr="005A2EA2" w:rsidRDefault="00633A1C" w:rsidP="00A9310F">
            <w:pPr>
              <w:pStyle w:val="CPTExample"/>
              <w:rPr>
                <w:color w:val="auto"/>
              </w:rPr>
            </w:pPr>
            <w:r w:rsidRPr="005A2EA2">
              <w:rPr>
                <w:color w:val="auto"/>
              </w:rPr>
              <w:t xml:space="preserve"> </w:t>
            </w:r>
          </w:p>
        </w:tc>
        <w:tc>
          <w:tcPr>
            <w:tcW w:w="978" w:type="pct"/>
            <w:tcBorders>
              <w:top w:val="single" w:sz="4" w:space="0" w:color="auto"/>
              <w:left w:val="single" w:sz="4" w:space="0" w:color="auto"/>
              <w:bottom w:val="single" w:sz="4" w:space="0" w:color="auto"/>
              <w:right w:val="single" w:sz="4" w:space="0" w:color="auto"/>
            </w:tcBorders>
          </w:tcPr>
          <w:p w14:paraId="69F2FA15" w14:textId="37604125" w:rsidR="008023D6" w:rsidRPr="005A2EA2" w:rsidRDefault="00633A1C" w:rsidP="00A9310F">
            <w:pPr>
              <w:pStyle w:val="CPTExample"/>
              <w:rPr>
                <w:color w:val="auto"/>
              </w:rPr>
            </w:pPr>
            <w:r w:rsidRPr="005A2EA2">
              <w:rPr>
                <w:color w:val="auto"/>
              </w:rPr>
              <w:t xml:space="preserve"> </w:t>
            </w:r>
          </w:p>
        </w:tc>
        <w:tc>
          <w:tcPr>
            <w:tcW w:w="2361" w:type="pct"/>
            <w:tcBorders>
              <w:top w:val="single" w:sz="4" w:space="0" w:color="auto"/>
              <w:left w:val="single" w:sz="4" w:space="0" w:color="auto"/>
              <w:bottom w:val="single" w:sz="4" w:space="0" w:color="auto"/>
              <w:right w:val="single" w:sz="4" w:space="0" w:color="auto"/>
            </w:tcBorders>
          </w:tcPr>
          <w:p w14:paraId="2970E5ED" w14:textId="02AFE7AF" w:rsidR="008023D6" w:rsidRPr="005A2EA2" w:rsidRDefault="00633A1C" w:rsidP="00A9310F">
            <w:pPr>
              <w:pStyle w:val="CPTExample"/>
              <w:rPr>
                <w:color w:val="auto"/>
              </w:rPr>
            </w:pPr>
            <w:r w:rsidRPr="005A2EA2">
              <w:rPr>
                <w:color w:val="auto"/>
              </w:rPr>
              <w:t xml:space="preserve"> </w:t>
            </w:r>
          </w:p>
        </w:tc>
      </w:tr>
    </w:tbl>
    <w:p w14:paraId="67B69AD1" w14:textId="748C5F4E" w:rsidR="00750EA8" w:rsidRDefault="006E4767" w:rsidP="00636A13">
      <w:pPr>
        <w:pStyle w:val="Heading3NoTOC"/>
        <w:rPr>
          <w:rFonts w:hint="eastAsia"/>
        </w:rPr>
      </w:pPr>
      <w:r>
        <w:t xml:space="preserve">List of </w:t>
      </w:r>
      <w:r w:rsidRPr="00C64851">
        <w:t>Abbreviations</w:t>
      </w:r>
      <w:r>
        <w:t xml:space="preserve"> </w:t>
      </w:r>
    </w:p>
    <w:p w14:paraId="526B32FF" w14:textId="77777777" w:rsidR="00636A13" w:rsidRDefault="00636A13" w:rsidP="00636A13">
      <w:pPr>
        <w:rPr>
          <w:lang w:eastAsia="ja-JP"/>
        </w:rPr>
      </w:pPr>
    </w:p>
    <w:p w14:paraId="3BC0CDBB" w14:textId="3B0C0F4A" w:rsidR="00636A13" w:rsidRDefault="00636A13" w:rsidP="00636A13">
      <w:pPr>
        <w:pStyle w:val="Heading1"/>
        <w:rPr>
          <w:rFonts w:hint="eastAsia"/>
        </w:rPr>
      </w:pPr>
      <w:r>
        <w:lastRenderedPageBreak/>
        <w:t>Introduction</w:t>
      </w:r>
    </w:p>
    <w:p w14:paraId="7A650130" w14:textId="6E1C021A" w:rsidR="00636A13" w:rsidRPr="00636A13" w:rsidRDefault="00636A13" w:rsidP="00636A13">
      <w:pPr>
        <w:pStyle w:val="Heading2"/>
        <w:rPr>
          <w:rFonts w:hint="eastAsia"/>
        </w:rPr>
      </w:pPr>
      <w:r>
        <w:t>Objectives</w:t>
      </w:r>
    </w:p>
    <w:p w14:paraId="01544D8C" w14:textId="77777777" w:rsidR="00BA5823" w:rsidRDefault="00BA5823" w:rsidP="00BA5823">
      <w:pPr>
        <w:pStyle w:val="CPTInstructional"/>
        <w:rPr>
          <w:lang w:eastAsia="ja-JP"/>
        </w:rPr>
      </w:pPr>
      <w:r>
        <w:rPr>
          <w:lang w:eastAsia="ja-JP"/>
        </w:rPr>
        <w:t>Objectives, estimands, and endpoint information should be copied directly from Section 3 of the CPT. More estimands may be added to this section.</w:t>
      </w:r>
    </w:p>
    <w:p w14:paraId="1A2FB559" w14:textId="77777777" w:rsidR="00BA5823" w:rsidRDefault="00BA5823" w:rsidP="00BA5823">
      <w:pPr>
        <w:pStyle w:val="CPTInstructional"/>
        <w:rPr>
          <w:lang w:eastAsia="ja-JP"/>
        </w:rPr>
      </w:pPr>
      <w:r>
        <w:rPr>
          <w:lang w:eastAsia="ja-JP"/>
        </w:rPr>
        <w:t>It is recommended to define all estimands to be estimated in this section.</w:t>
      </w:r>
    </w:p>
    <w:p w14:paraId="2656F569" w14:textId="77777777" w:rsidR="000F6EBD" w:rsidRDefault="000F6EBD" w:rsidP="00BA5823">
      <w:pPr>
        <w:pStyle w:val="CPTInstructional"/>
        <w:rPr>
          <w:lang w:eastAsia="ja-JP"/>
        </w:rPr>
      </w:pPr>
    </w:p>
    <w:p w14:paraId="7D7B1BCA" w14:textId="76E6134F" w:rsidR="000F6EBD" w:rsidRDefault="000F6EBD" w:rsidP="000F6EBD">
      <w:pPr>
        <w:pStyle w:val="CPTInstructional"/>
      </w:pPr>
      <w:r w:rsidRPr="001F376E">
        <w:t>Secondary and supplementary estimands</w:t>
      </w:r>
    </w:p>
    <w:p w14:paraId="69178B05" w14:textId="18FB5867" w:rsidR="000F6EBD" w:rsidRPr="001F376E" w:rsidRDefault="000F6EBD" w:rsidP="000F6EBD">
      <w:pPr>
        <w:pStyle w:val="CPTInstructional"/>
      </w:pPr>
      <w:r w:rsidRPr="001F376E">
        <w:t>Secondary and supplementary estimands should be defined for each secondary objective as relevant.</w:t>
      </w:r>
    </w:p>
    <w:p w14:paraId="39D2DA90" w14:textId="77777777" w:rsidR="000F6EBD" w:rsidRDefault="000F6EBD" w:rsidP="00BA5823">
      <w:pPr>
        <w:pStyle w:val="CPTInstructional"/>
        <w:rPr>
          <w:lang w:eastAsia="ja-JP"/>
        </w:rPr>
      </w:pPr>
    </w:p>
    <w:p w14:paraId="7DB08F20" w14:textId="77777777" w:rsidR="000F6EBD" w:rsidRDefault="000F6EBD" w:rsidP="000F6EBD">
      <w:pPr>
        <w:pStyle w:val="CPTInstructional"/>
      </w:pPr>
      <w:r w:rsidRPr="0037639B">
        <w:t>Tertiary/Exploratory/Other</w:t>
      </w:r>
      <w:r>
        <w:t xml:space="preserve"> and supplementary estimands</w:t>
      </w:r>
      <w:r w:rsidRPr="0037639B">
        <w:t xml:space="preserve"> </w:t>
      </w:r>
    </w:p>
    <w:p w14:paraId="76B8CF6F" w14:textId="796FBDA0" w:rsidR="000F6EBD" w:rsidRDefault="000F6EBD" w:rsidP="00BA5823">
      <w:pPr>
        <w:pStyle w:val="CPTInstructional"/>
      </w:pPr>
      <w:r w:rsidRPr="0037639B">
        <w:t>Tertiary/Exploratory/Other</w:t>
      </w:r>
      <w:r>
        <w:t xml:space="preserve"> and supplementary estimands should be defined for each </w:t>
      </w:r>
      <w:r w:rsidRPr="004C6FE7">
        <w:t>Tertiary/Exploratory/Other</w:t>
      </w:r>
      <w:r>
        <w:t xml:space="preserve"> objective as relevant.</w:t>
      </w:r>
    </w:p>
    <w:p w14:paraId="7D7CE857" w14:textId="1BC5C400" w:rsidR="0051236A" w:rsidRDefault="007C1B7D" w:rsidP="007C1B7D">
      <w:pPr>
        <w:pStyle w:val="Heading3"/>
        <w:rPr>
          <w:rFonts w:hint="eastAsia"/>
        </w:rPr>
      </w:pPr>
      <w:r>
        <w:t>Primary Objective(s)</w:t>
      </w:r>
    </w:p>
    <w:p w14:paraId="03D80F56" w14:textId="502E3CBB" w:rsidR="007C1B7D" w:rsidRPr="001D3922" w:rsidRDefault="007C1B7D" w:rsidP="007C1B7D">
      <w:pPr>
        <w:rPr>
          <w:rStyle w:val="CPTVariable"/>
        </w:rPr>
      </w:pPr>
      <w:r>
        <w:t>To evaluate acceptability of the zinc product in management of childhood diarrhoea.</w:t>
      </w:r>
    </w:p>
    <w:p w14:paraId="59A6CBC1" w14:textId="76E59002" w:rsidR="007C1B7D" w:rsidRDefault="007C1B7D" w:rsidP="007C1B7D">
      <w:pPr>
        <w:pStyle w:val="Heading3"/>
        <w:rPr>
          <w:rFonts w:hint="eastAsia"/>
        </w:rPr>
      </w:pPr>
      <w:r>
        <w:t>Secondary Objective(s)</w:t>
      </w:r>
    </w:p>
    <w:p w14:paraId="60F18305" w14:textId="18DCA615" w:rsidR="007C1B7D" w:rsidRPr="001D3922" w:rsidRDefault="007C1B7D" w:rsidP="007C1B7D">
      <w:pPr>
        <w:rPr>
          <w:rStyle w:val="CPTVariable"/>
        </w:rPr>
      </w:pPr>
      <w:r>
        <w:t>The secondary objective is to assess palatability of the zinc product.</w:t>
      </w:r>
    </w:p>
    <w:p w14:paraId="70CB3EF9" w14:textId="337197D3" w:rsidR="007C1B7D" w:rsidRDefault="007C1B7D" w:rsidP="007C1B7D">
      <w:pPr>
        <w:pStyle w:val="Heading3"/>
        <w:rPr>
          <w:rFonts w:hint="eastAsia"/>
        </w:rPr>
      </w:pPr>
      <w:r>
        <w:t>Exploratory Objective(s)</w:t>
      </w:r>
    </w:p>
    <w:p w14:paraId="6BC25AE5" w14:textId="63DC266E" w:rsidR="007C1B7D" w:rsidRPr="001D3922" w:rsidRDefault="007C1B7D" w:rsidP="007C1B7D">
      <w:pPr>
        <w:rPr>
          <w:rStyle w:val="CPTVariable"/>
        </w:rPr>
      </w:pPr>
      <w:r>
        <w:t>Not specified in protocol</w:t>
      </w:r>
    </w:p>
    <w:p w14:paraId="2ABB5C28" w14:textId="77777777" w:rsidR="007C1B7D" w:rsidRPr="007C1B7D" w:rsidRDefault="007C1B7D" w:rsidP="007C1B7D">
      <w:pPr>
        <w:rPr>
          <w:lang w:eastAsia="ja-JP"/>
        </w:rPr>
      </w:pPr>
    </w:p>
    <w:p w14:paraId="577B1DFB" w14:textId="4E17F2C3" w:rsidR="007C1B7D" w:rsidRDefault="007C1B7D" w:rsidP="007C1B7D">
      <w:pPr>
        <w:pStyle w:val="Heading2"/>
        <w:rPr>
          <w:rFonts w:hint="eastAsia"/>
        </w:rPr>
      </w:pPr>
      <w:r>
        <w:t>Endpoints</w:t>
      </w:r>
    </w:p>
    <w:p w14:paraId="74BAF892" w14:textId="2FD9A2AA" w:rsidR="007C1B7D" w:rsidRDefault="007C1B7D" w:rsidP="007C1B7D">
      <w:pPr>
        <w:pStyle w:val="Heading3"/>
        <w:rPr>
          <w:rFonts w:hint="eastAsia"/>
        </w:rPr>
      </w:pPr>
      <w:r>
        <w:t>Primary Endpoint(s)</w:t>
      </w:r>
    </w:p>
    <w:p w14:paraId="2EBB60B9" w14:textId="5723EED9" w:rsidR="007C1B7D" w:rsidRPr="001D3922" w:rsidRDefault="007C1B7D" w:rsidP="007C1B7D">
      <w:pPr>
        <w:rPr>
          <w:rStyle w:val="CPTVariable"/>
        </w:rPr>
      </w:pPr>
      <w:r>
        <w:t>The primary endpoint is the acceptability of the zinc product, measured by the adherence of children aged 3 to 59 months to the zinc product regimen. Adherence is defined as the number of days (out of the total 10 to 14 days) the child took the protocol-prescribed dose of the medicine. The treatment will be considered to have good acceptability if at least 80% of the prescribed treatment is taken by at least 70% of the children over the duration of 10 to 14 days, per WHO guidelines.</w:t>
      </w:r>
    </w:p>
    <w:p w14:paraId="5A4F053D" w14:textId="37D17390" w:rsidR="007C1B7D" w:rsidRDefault="007C1B7D" w:rsidP="007C1B7D">
      <w:pPr>
        <w:pStyle w:val="Heading3"/>
        <w:rPr>
          <w:rFonts w:hint="eastAsia"/>
        </w:rPr>
      </w:pPr>
      <w:r>
        <w:t xml:space="preserve">Secondary </w:t>
      </w:r>
      <w:r w:rsidR="00D363E7">
        <w:t xml:space="preserve">Endpoint </w:t>
      </w:r>
      <w:r>
        <w:t>(s)</w:t>
      </w:r>
    </w:p>
    <w:p w14:paraId="2488E781" w14:textId="188ED86C" w:rsidR="007C1B7D" w:rsidRPr="001D3922" w:rsidRDefault="007C1B7D" w:rsidP="007C1B7D">
      <w:pPr>
        <w:rPr>
          <w:rStyle w:val="CPTVariable"/>
        </w:rPr>
      </w:pPr>
      <w:r>
        <w:t>The secondary objective is to assess palatability. The secondary endpoint is the palatability (taste) score of the zinc product, which is a subjective evaluation measured on the basis of a caregiver’s report of his/her child’s behavior during the 10 to 14 days when the medicine is administered. Caregivers are asked about their perception of the taste of the zinc product given to the child. A 5-point scale is used to classify response options: Very well tolerated, Well tolerated, Tolerated, Poorly tolerated, and Not tolerated. This measure is the overall response during the treatment period, with individual daily recorded responses used to arrive at the overall response value on the 5-point scale.</w:t>
      </w:r>
    </w:p>
    <w:p w14:paraId="3325FA62" w14:textId="5499C941" w:rsidR="007C1B7D" w:rsidRDefault="007C1B7D" w:rsidP="007C1B7D">
      <w:pPr>
        <w:pStyle w:val="Heading3"/>
        <w:rPr>
          <w:rFonts w:hint="eastAsia"/>
        </w:rPr>
      </w:pPr>
      <w:r>
        <w:t xml:space="preserve">Exploratory </w:t>
      </w:r>
      <w:r w:rsidR="00D363E7">
        <w:t xml:space="preserve">Endpoint </w:t>
      </w:r>
      <w:r>
        <w:t>(s)</w:t>
      </w:r>
    </w:p>
    <w:p w14:paraId="7663B57C" w14:textId="3B1155B1" w:rsidR="007C1B7D" w:rsidRPr="001D3922" w:rsidRDefault="007C1B7D" w:rsidP="007C1B7D">
      <w:pPr>
        <w:rPr>
          <w:rStyle w:val="CPTVariable"/>
        </w:rPr>
      </w:pPr>
      <w:r>
        <w:t>Not specified in protocol</w:t>
      </w:r>
    </w:p>
    <w:p w14:paraId="481D8647" w14:textId="77777777" w:rsidR="007C1B7D" w:rsidRDefault="007C1B7D" w:rsidP="007C1B7D">
      <w:pPr>
        <w:rPr>
          <w:lang w:eastAsia="ja-JP"/>
        </w:rPr>
      </w:pPr>
    </w:p>
    <w:p w14:paraId="0376EE53" w14:textId="3FFAB958" w:rsidR="00EA3E2B" w:rsidRPr="00C64851" w:rsidRDefault="00EA3E2B" w:rsidP="00EA3E2B">
      <w:pPr>
        <w:pStyle w:val="Heading2"/>
        <w:rPr>
          <w:rFonts w:hint="eastAsia"/>
        </w:rPr>
      </w:pPr>
      <w:bookmarkStart w:id="13" w:name="_Toc521400464"/>
      <w:bookmarkStart w:id="14" w:name="_Toc518655971"/>
      <w:bookmarkStart w:id="15" w:name="_Toc518466157"/>
      <w:bookmarkStart w:id="16" w:name="_Toc497118780"/>
      <w:bookmarkStart w:id="17" w:name="_Toc477961594"/>
      <w:bookmarkStart w:id="18" w:name="_Toc421709234"/>
      <w:bookmarkStart w:id="19" w:name="_Toc395881609"/>
      <w:bookmarkStart w:id="20" w:name="_Toc267565136"/>
      <w:bookmarkStart w:id="21" w:name="_Ref45607259"/>
      <w:bookmarkStart w:id="22" w:name="_Toc154052361"/>
      <w:r>
        <w:t>Study Design</w:t>
      </w:r>
      <w:bookmarkEnd w:id="13"/>
      <w:bookmarkEnd w:id="14"/>
      <w:bookmarkEnd w:id="15"/>
      <w:bookmarkEnd w:id="16"/>
      <w:bookmarkEnd w:id="17"/>
      <w:bookmarkEnd w:id="18"/>
      <w:bookmarkEnd w:id="19"/>
      <w:bookmarkEnd w:id="20"/>
      <w:bookmarkEnd w:id="21"/>
      <w:bookmarkEnd w:id="22"/>
    </w:p>
    <w:p w14:paraId="377BCFA4" w14:textId="77777777" w:rsidR="00EB2329" w:rsidRDefault="00EB2329" w:rsidP="00EB2329">
      <w:pPr>
        <w:pStyle w:val="CPTInstructional"/>
      </w:pPr>
      <w:r>
        <w:t>Include a brief description to clarify the schema details or add more information not included in the schema. This information should come from the Overall Design section of the CPT (Section 4.1).</w:t>
      </w:r>
    </w:p>
    <w:p w14:paraId="4CB0EFBE" w14:textId="799DCF26" w:rsidR="00EA3E2B" w:rsidRDefault="00EA3E2B" w:rsidP="00046E10">
      <w:pPr>
        <w:pStyle w:val="CPTInstructional"/>
        <w:numPr>
          <w:ilvl w:val="0"/>
          <w:numId w:val="18"/>
        </w:numPr>
      </w:pPr>
      <w:r>
        <w:t>Recommend not duplicating information already in schema</w:t>
      </w:r>
      <w:r w:rsidR="00450895">
        <w:t>.</w:t>
      </w:r>
    </w:p>
    <w:p w14:paraId="3AEA32AD" w14:textId="77777777" w:rsidR="00EA3E2B" w:rsidRPr="00C64851" w:rsidRDefault="00EA3E2B" w:rsidP="00046E10">
      <w:pPr>
        <w:pStyle w:val="CPTInstructional"/>
        <w:numPr>
          <w:ilvl w:val="0"/>
          <w:numId w:val="18"/>
        </w:numPr>
        <w:spacing w:before="0" w:after="200" w:line="276" w:lineRule="auto"/>
      </w:pPr>
      <w:r>
        <w:t>Use bullets rather than lengthy text, if possible.</w:t>
      </w:r>
    </w:p>
    <w:p w14:paraId="45A6EAD8" w14:textId="77777777" w:rsidR="00EA3E2B" w:rsidRDefault="00EA3E2B" w:rsidP="00046E10">
      <w:pPr>
        <w:pStyle w:val="CPTInstructional"/>
        <w:numPr>
          <w:ilvl w:val="0"/>
          <w:numId w:val="18"/>
        </w:numPr>
      </w:pPr>
      <w:r>
        <w:t>Items to consider:</w:t>
      </w:r>
    </w:p>
    <w:p w14:paraId="1F13CE86" w14:textId="77777777" w:rsidR="00EB2329" w:rsidRDefault="00EB2329" w:rsidP="00046E10">
      <w:pPr>
        <w:pStyle w:val="CPTInstructional"/>
        <w:numPr>
          <w:ilvl w:val="1"/>
          <w:numId w:val="18"/>
        </w:numPr>
        <w:tabs>
          <w:tab w:val="left" w:pos="1260"/>
        </w:tabs>
      </w:pPr>
      <w:r>
        <w:t>Study phase and study population, eg, patient, healthy volunteer</w:t>
      </w:r>
    </w:p>
    <w:p w14:paraId="55E6B83B" w14:textId="5C58F2A9" w:rsidR="00EB2329" w:rsidRDefault="00EB2329" w:rsidP="00046E10">
      <w:pPr>
        <w:pStyle w:val="CPTInstructional"/>
        <w:numPr>
          <w:ilvl w:val="1"/>
          <w:numId w:val="18"/>
        </w:numPr>
        <w:tabs>
          <w:tab w:val="left" w:pos="1260"/>
        </w:tabs>
      </w:pPr>
      <w:r>
        <w:t>Design type, eg, parallel, crossover, factorial, single group, SMART (sequential multiple assignment randomized study), and other design elements as required, eg, dose-escalation, multicenter, adaptation</w:t>
      </w:r>
      <w:r w:rsidR="00117F2D">
        <w:t>.</w:t>
      </w:r>
    </w:p>
    <w:p w14:paraId="0F368933" w14:textId="77777777" w:rsidR="00EB2329" w:rsidRDefault="00EB2329" w:rsidP="00046E10">
      <w:pPr>
        <w:pStyle w:val="CPTInstructional"/>
        <w:numPr>
          <w:ilvl w:val="1"/>
          <w:numId w:val="18"/>
        </w:numPr>
        <w:tabs>
          <w:tab w:val="left" w:pos="1260"/>
        </w:tabs>
      </w:pPr>
      <w:r>
        <w:t>Control method, eg, placebo, active comparator, low dose, historical, or none (ie, uncontrolled)</w:t>
      </w:r>
    </w:p>
    <w:p w14:paraId="3A3A343B" w14:textId="77777777" w:rsidR="00EB2329" w:rsidRDefault="00EB2329" w:rsidP="00046E10">
      <w:pPr>
        <w:pStyle w:val="CPTInstructional"/>
        <w:numPr>
          <w:ilvl w:val="1"/>
          <w:numId w:val="18"/>
        </w:numPr>
        <w:tabs>
          <w:tab w:val="left" w:pos="1260"/>
        </w:tabs>
      </w:pPr>
      <w:r>
        <w:t>Blind level, eg, open-label, single-blind, double-blind, double-blind (sponsor unblinded), matching placebos, double-dummy</w:t>
      </w:r>
    </w:p>
    <w:p w14:paraId="65F298F1" w14:textId="4C6AD971" w:rsidR="00EB2329" w:rsidRDefault="00EB2329" w:rsidP="00046E10">
      <w:pPr>
        <w:pStyle w:val="CPTInstructional"/>
        <w:numPr>
          <w:ilvl w:val="1"/>
          <w:numId w:val="18"/>
        </w:numPr>
        <w:tabs>
          <w:tab w:val="left" w:pos="1260"/>
        </w:tabs>
      </w:pPr>
      <w:r>
        <w:t xml:space="preserve">Method of assignment to </w:t>
      </w:r>
      <w:r w:rsidR="00494ADF">
        <w:t>investigational intervention</w:t>
      </w:r>
      <w:r>
        <w:t>, eg, randomization scheme including randomization ratio, stratification</w:t>
      </w:r>
    </w:p>
    <w:p w14:paraId="26E249C4" w14:textId="2D3BF5F0" w:rsidR="00EB2329" w:rsidRDefault="00EB2329" w:rsidP="00046E10">
      <w:pPr>
        <w:pStyle w:val="CPTInstructional"/>
        <w:numPr>
          <w:ilvl w:val="1"/>
          <w:numId w:val="18"/>
        </w:numPr>
        <w:tabs>
          <w:tab w:val="left" w:pos="1260"/>
        </w:tabs>
      </w:pPr>
      <w:r>
        <w:t>Total duration of study participation for each participant with sequence and definition of study periods, eg, screening, run</w:t>
      </w:r>
      <w:r w:rsidR="00A0284F">
        <w:t>-</w:t>
      </w:r>
      <w:r>
        <w:t>in, fixed dose/titration/maintenance/withdrawal, follow</w:t>
      </w:r>
      <w:r w:rsidR="00525587">
        <w:noBreakHyphen/>
      </w:r>
      <w:r>
        <w:t>up/washout periods</w:t>
      </w:r>
      <w:r w:rsidR="00117F2D">
        <w:t>.</w:t>
      </w:r>
    </w:p>
    <w:p w14:paraId="5234B37A" w14:textId="77777777" w:rsidR="00EB2329" w:rsidRDefault="00EB2329" w:rsidP="00046E10">
      <w:pPr>
        <w:pStyle w:val="CPTInstructional"/>
        <w:numPr>
          <w:ilvl w:val="1"/>
          <w:numId w:val="18"/>
        </w:numPr>
        <w:tabs>
          <w:tab w:val="left" w:pos="1260"/>
        </w:tabs>
      </w:pPr>
      <w:r>
        <w:t>Description of any provisions for extending the study or entry to rollover studies</w:t>
      </w:r>
    </w:p>
    <w:p w14:paraId="4AD62FE7" w14:textId="17A25030" w:rsidR="00EB2329" w:rsidRDefault="00EB2329" w:rsidP="00046E10">
      <w:pPr>
        <w:pStyle w:val="CPTInstructional"/>
        <w:numPr>
          <w:ilvl w:val="1"/>
          <w:numId w:val="18"/>
        </w:numPr>
        <w:tabs>
          <w:tab w:val="left" w:pos="1260"/>
        </w:tabs>
      </w:pPr>
      <w:r>
        <w:t xml:space="preserve">Rules/procedures for dose changes/adjustments including flexible dosing; dose reductions, interruptions, tapering, or rescue; temporary/permanent discontinuation; and any circumstances for resuming </w:t>
      </w:r>
      <w:r w:rsidR="00525587">
        <w:t>investigational intervention</w:t>
      </w:r>
      <w:r>
        <w:t xml:space="preserve"> as applicable</w:t>
      </w:r>
      <w:r w:rsidR="00117F2D">
        <w:t>.</w:t>
      </w:r>
    </w:p>
    <w:p w14:paraId="15F88FEE" w14:textId="0ECCB97E" w:rsidR="00EB2329" w:rsidRDefault="00EB2329" w:rsidP="00046E10">
      <w:pPr>
        <w:pStyle w:val="CPTInstructional"/>
        <w:numPr>
          <w:ilvl w:val="1"/>
          <w:numId w:val="18"/>
        </w:numPr>
        <w:tabs>
          <w:tab w:val="left" w:pos="1260"/>
        </w:tabs>
      </w:pPr>
      <w:r>
        <w:t xml:space="preserve">Planned interim </w:t>
      </w:r>
      <w:r w:rsidR="00117F2D">
        <w:t>analyses.</w:t>
      </w:r>
    </w:p>
    <w:p w14:paraId="7BB65D39" w14:textId="2812A193" w:rsidR="00EB2329" w:rsidRDefault="00EB2329" w:rsidP="00046E10">
      <w:pPr>
        <w:pStyle w:val="CPTInstructional"/>
        <w:numPr>
          <w:ilvl w:val="1"/>
          <w:numId w:val="18"/>
        </w:numPr>
        <w:tabs>
          <w:tab w:val="left" w:pos="1260"/>
        </w:tabs>
      </w:pPr>
      <w:r>
        <w:t xml:space="preserve">Describe when the primary analysis will be performed, eg, at database </w:t>
      </w:r>
      <w:r w:rsidR="00525587">
        <w:t>lock</w:t>
      </w:r>
      <w:r>
        <w:t xml:space="preserve"> after last participant last visit, at 100% primary endpoint data availability. Also describe final analysis timing if there will be subsequent reporting events, eg, after long-term follow</w:t>
      </w:r>
      <w:r w:rsidR="000E5120">
        <w:t>-</w:t>
      </w:r>
      <w:r>
        <w:t>up.</w:t>
      </w:r>
    </w:p>
    <w:p w14:paraId="412E8E42" w14:textId="57452ED5" w:rsidR="00480C71" w:rsidRDefault="00480C71" w:rsidP="00A1749D">
      <w:pPr>
        <w:autoSpaceDE w:val="0"/>
        <w:autoSpaceDN w:val="0"/>
        <w:adjustRightInd w:val="0"/>
        <w:spacing w:before="0" w:after="0" w:line="276" w:lineRule="auto"/>
      </w:pPr>
    </w:p>
    <w:p w14:paraId="344B661E" w14:textId="7C45D173" w:rsidR="00EA3E2B" w:rsidRDefault="00572A2E" w:rsidP="00A13D0A">
      <w:pPr>
        <w:pStyle w:val="Heading1"/>
        <w:rPr>
          <w:rFonts w:hint="eastAsia"/>
        </w:rPr>
      </w:pPr>
      <w:bookmarkStart w:id="23" w:name="_Ref436919059"/>
      <w:bookmarkStart w:id="24" w:name="_Toc421709257"/>
      <w:bookmarkStart w:id="25" w:name="_Toc395881629"/>
      <w:bookmarkStart w:id="26" w:name="_Toc521400465"/>
      <w:bookmarkStart w:id="27" w:name="_Toc518655972"/>
      <w:bookmarkStart w:id="28" w:name="_Toc518466158"/>
      <w:bookmarkStart w:id="29" w:name="_Ref518462712"/>
      <w:bookmarkStart w:id="30" w:name="_Ref45603776"/>
      <w:bookmarkStart w:id="31" w:name="_Ref45607330"/>
      <w:bookmarkStart w:id="32" w:name="_Toc154052362"/>
      <w:bookmarkEnd w:id="23"/>
      <w:bookmarkEnd w:id="24"/>
      <w:bookmarkEnd w:id="25"/>
      <w:bookmarkEnd w:id="26"/>
      <w:bookmarkEnd w:id="27"/>
      <w:bookmarkEnd w:id="28"/>
      <w:bookmarkEnd w:id="29"/>
      <w:r>
        <w:lastRenderedPageBreak/>
        <w:t>General Considerations</w:t>
      </w:r>
      <w:bookmarkEnd w:id="30"/>
      <w:bookmarkEnd w:id="31"/>
      <w:bookmarkEnd w:id="32"/>
    </w:p>
    <w:p w14:paraId="7974B08E" w14:textId="3D9F0C5D" w:rsidR="00572A2E" w:rsidRPr="005A2EA2" w:rsidRDefault="002046AD" w:rsidP="00572A2E">
      <w:pPr>
        <w:rPr>
          <w:rFonts w:ascii="Arial" w:eastAsia="Times New Roman" w:hAnsi="Arial" w:cs="Times New Roman"/>
          <w:i/>
          <w:color w:val="00B050"/>
          <w:sz w:val="20"/>
          <w:szCs w:val="20"/>
        </w:rPr>
      </w:pPr>
      <w:r w:rsidRPr="005A2EA2">
        <w:rPr>
          <w:rFonts w:ascii="Arial" w:eastAsia="Times New Roman" w:hAnsi="Arial" w:cs="Times New Roman"/>
          <w:i/>
          <w:color w:val="00B050"/>
          <w:sz w:val="20"/>
          <w:szCs w:val="20"/>
        </w:rPr>
      </w:r>
      <w:r w:rsidR="00FB17D6">
        <w:rPr>
          <w:rFonts w:ascii="Arial" w:eastAsia="Times New Roman" w:hAnsi="Arial" w:cs="Times New Roman"/>
          <w:i/>
          <w:color w:val="00B050"/>
          <w:sz w:val="20"/>
          <w:szCs w:val="20"/>
        </w:rPr>
      </w:r>
      <w:r w:rsidRPr="005A2EA2">
        <w:rPr>
          <w:rFonts w:ascii="Arial" w:eastAsia="Times New Roman" w:hAnsi="Arial" w:cs="Times New Roman"/>
          <w:i/>
          <w:color w:val="00B050"/>
          <w:sz w:val="20"/>
          <w:szCs w:val="20"/>
        </w:rPr>
      </w:r>
    </w:p>
    <w:p w14:paraId="76689692" w14:textId="671F2EBA" w:rsidR="00EB2329" w:rsidRPr="005A2EA2" w:rsidRDefault="00A1707E" w:rsidP="00A1707E">
      <w:pPr>
        <w:pStyle w:val="Heading2"/>
        <w:rPr>
          <w:rFonts w:hint="eastAsia"/>
          <w:sz w:val="24"/>
        </w:rPr>
      </w:pPr>
      <w:bookmarkStart w:id="33" w:name="_Toc154052363"/>
      <w:r w:rsidRPr="005A2EA2">
        <w:rPr>
          <w:rStyle w:val="CPTVariable"/>
          <w:color w:val="auto"/>
        </w:rPr>
        <w:t>Statistical Hypotheses</w:t>
      </w:r>
      <w:bookmarkEnd w:id="33"/>
    </w:p>
    <w:p w14:paraId="6D84C8E5" w14:textId="1B06CB58" w:rsidR="00BE2A25" w:rsidRDefault="00BE2A25" w:rsidP="00BE2A25">
      <w:pPr>
        <w:rPr>
          <w:rFonts w:ascii="Arial" w:eastAsia="Times New Roman" w:hAnsi="Arial" w:cs="Times New Roman"/>
          <w:i/>
          <w:color w:val="00B050"/>
          <w:sz w:val="20"/>
          <w:szCs w:val="20"/>
        </w:rPr>
      </w:pPr>
      <w:r w:rsidRPr="005A2EA2">
        <w:rPr>
          <w:rFonts w:ascii="Arial" w:eastAsia="Times New Roman" w:hAnsi="Arial" w:cs="Times New Roman"/>
          <w:i/>
          <w:color w:val="00B050"/>
          <w:sz w:val="20"/>
          <w:szCs w:val="20"/>
        </w:rPr>
      </w:r>
      <w:r w:rsidR="00FB17D6">
        <w:rPr>
          <w:rFonts w:ascii="Arial" w:eastAsia="Times New Roman" w:hAnsi="Arial" w:cs="Times New Roman"/>
          <w:i/>
          <w:color w:val="00B050"/>
          <w:sz w:val="20"/>
          <w:szCs w:val="20"/>
        </w:rPr>
      </w:r>
      <w:r w:rsidR="00FB17D6" w:rsidRPr="00FB17D6">
        <w:rPr>
          <w:rFonts w:ascii="Arial" w:eastAsia="Times New Roman" w:hAnsi="Arial" w:cs="Times New Roman"/>
          <w:i/>
          <w:color w:val="00B050"/>
          <w:sz w:val="20"/>
          <w:szCs w:val="20"/>
        </w:rPr>
      </w:r>
      <w:r w:rsidR="00FB17D6">
        <w:rPr>
          <w:rFonts w:ascii="Arial" w:eastAsia="Times New Roman" w:hAnsi="Arial" w:cs="Times New Roman"/>
          <w:i/>
          <w:color w:val="00B050"/>
          <w:sz w:val="20"/>
          <w:szCs w:val="20"/>
        </w:rPr>
      </w:r>
      <w:r w:rsidR="00FB17D6" w:rsidRPr="00FB17D6">
        <w:rPr>
          <w:rFonts w:ascii="Arial" w:eastAsia="Times New Roman" w:hAnsi="Arial" w:cs="Times New Roman"/>
          <w:i/>
          <w:color w:val="00B050"/>
          <w:sz w:val="20"/>
          <w:szCs w:val="20"/>
        </w:rPr>
      </w:r>
      <w:r w:rsidR="00FB17D6">
        <w:rPr>
          <w:rFonts w:ascii="Arial" w:eastAsia="Times New Roman" w:hAnsi="Arial" w:cs="Times New Roman"/>
          <w:i/>
          <w:color w:val="00B050"/>
          <w:sz w:val="20"/>
          <w:szCs w:val="20"/>
        </w:rPr>
      </w:r>
      <w:r w:rsidRPr="005A2EA2">
        <w:rPr>
          <w:rFonts w:ascii="Arial" w:eastAsia="Times New Roman" w:hAnsi="Arial" w:cs="Times New Roman"/>
          <w:i/>
          <w:color w:val="00B050"/>
          <w:sz w:val="20"/>
          <w:szCs w:val="20"/>
        </w:rPr>
      </w:r>
    </w:p>
    <w:p w14:paraId="461C6E0E" w14:textId="573B2B11" w:rsidR="00B916D4" w:rsidRPr="005A2EA2" w:rsidRDefault="00B916D4" w:rsidP="00B916D4">
      <w:pPr>
        <w:pStyle w:val="Heading3"/>
      </w:pPr>
      <w:r>
        <w:t>Primary</w:t>
      </w:r>
      <w:r w:rsidRPr="00B916D4">
        <w:t xml:space="preserve"> </w:t>
      </w:r>
      <w:r w:rsidRPr="00B916D4">
        <w:t>Statistical Hypotheses</w:t>
      </w:r>
    </w:p>
    <w:p w14:paraId="049F115C" w14:textId="153DE483" w:rsidR="00537972" w:rsidRDefault="006358DE" w:rsidP="00537972">
      <w:pPr>
        <w:rPr>
          <w:rStyle w:val="CPTVariable"/>
        </w:rPr>
      </w:pPr>
      <w:r>
        <w:t xml:space="preserve">The primary statistical hypothesis is to test if the proportion of children who take at least 80% of the prescribed zinc treatment over 10 to 14 days is greater than or equal to 70%. </w:t>
        <w:br/>
        <w:br/>
        <w:t>Null Hypothesis (H0): The proportion of children who take at least 80% of the prescribed treatment is less than 70% (P &lt; 0.70).</w:t>
        <w:br/>
        <w:t xml:space="preserve">Alternative Hypothesis (H1): The proportion of children who take at least 80% of the prescribed treatment is greater than or equal to 70% (P ≥ 0.70). </w:t>
      </w:r>
    </w:p>
    <w:p w14:paraId="53B96FF2" w14:textId="51D2EFA0" w:rsidR="00B916D4" w:rsidRPr="00B916D4" w:rsidRDefault="00B916D4" w:rsidP="00537972">
      <w:pPr>
        <w:pStyle w:val="Heading3"/>
        <w:rPr>
          <w:rStyle w:val="CPTVariable"/>
          <w:color w:val="auto"/>
        </w:rPr>
      </w:pPr>
      <w:r>
        <w:t>Secondary</w:t>
      </w:r>
      <w:r w:rsidRPr="00B916D4">
        <w:t xml:space="preserve"> Statistical Hypotheses</w:t>
      </w:r>
    </w:p>
    <w:p w14:paraId="70048215" w14:textId="094E9339" w:rsidR="006358DE" w:rsidRDefault="006358DE" w:rsidP="001D3922">
      <w:pPr>
        <w:rPr>
          <w:rStyle w:val="CPTVariable"/>
        </w:rPr>
      </w:pPr>
      <w:r>
        <w:t xml:space="preserve">Not specified in protocol </w:t>
      </w:r>
    </w:p>
    <w:p w14:paraId="478D8973" w14:textId="2533C544" w:rsidR="00B916D4" w:rsidRPr="00B916D4" w:rsidRDefault="00B916D4" w:rsidP="001D3922">
      <w:pPr>
        <w:pStyle w:val="Heading3"/>
        <w:rPr>
          <w:rStyle w:val="CPTVariable"/>
          <w:color w:val="auto"/>
        </w:rPr>
      </w:pPr>
      <w:r>
        <w:t>Exploratory</w:t>
      </w:r>
      <w:r w:rsidRPr="00B916D4">
        <w:t xml:space="preserve"> Statistical Hypotheses</w:t>
      </w:r>
    </w:p>
    <w:p w14:paraId="3C919B61" w14:textId="267297FF" w:rsidR="006358DE" w:rsidRDefault="006358DE" w:rsidP="001D3922">
      <w:pPr>
        <w:rPr>
          <w:rStyle w:val="CPTVariable"/>
        </w:rPr>
      </w:pPr>
      <w:r>
        <w:t xml:space="preserve">Not specified in protocol </w:t>
      </w:r>
    </w:p>
    <w:p w14:paraId="41C63236" w14:textId="77777777" w:rsidR="00B916D4" w:rsidRDefault="00B916D4" w:rsidP="001D3922"/>
    <w:p w14:paraId="35176F01" w14:textId="77777777" w:rsidR="001D3922" w:rsidRDefault="001D3922" w:rsidP="001D3922">
      <w:pPr>
        <w:rPr>
          <w:rFonts w:ascii="Times New Roman Bold" w:eastAsia="Times New Roman" w:hAnsi="Times New Roman Bold"/>
          <w:b/>
          <w:bCs/>
          <w:vanish/>
          <w:color w:val="0070C0"/>
          <w:szCs w:val="24"/>
          <w:lang w:eastAsia="ja-JP"/>
        </w:rPr>
      </w:pPr>
    </w:p>
    <w:p w14:paraId="1C314B4E" w14:textId="77777777" w:rsidR="006358DE" w:rsidRDefault="006358DE" w:rsidP="006358DE">
      <w:pPr>
        <w:pStyle w:val="Heading2"/>
        <w:rPr>
          <w:rFonts w:hint="eastAsia"/>
        </w:rPr>
      </w:pPr>
      <w:bookmarkStart w:id="34" w:name="_Toc154052366"/>
      <w:r>
        <w:t>Handling of Missing Data</w:t>
      </w:r>
      <w:bookmarkEnd w:id="34"/>
    </w:p>
    <w:p w14:paraId="45F0F4F1" w14:textId="5F4B84E4" w:rsidR="006358DE" w:rsidRPr="001D3922" w:rsidRDefault="006358DE" w:rsidP="001D3922">
      <w:pPr>
        <w:rPr>
          <w:rStyle w:val="CPTVariable"/>
        </w:rPr>
      </w:pPr>
      <w:r>
        <w:t>Missing data may occur due to incomplete caregiver reporting, loss to follow-up, early discontinuation of treatment, or incomplete documentation of daily treatment administration. Efforts will be made to minimize missing data through caregiver education, reminder phone calls during the treatment period, and verification of information during the follow-up contact.</w:t>
        <w:br/>
        <w:br/>
        <w:t>For the primary endpoint (adherence), if daily adherence information is missing for specific days, and if adherence information is available for the majority of the treatment period (≥70% of days), the available data will be used to estimate overall adherence for the subject. If adherence information is missing for more than 30% of the treatment days, the subject will be considered non-adherent for the purpose of the primary endpoint analysis.</w:t>
        <w:br/>
        <w:br/>
        <w:t>For the secondary endpoint (palatability), the caregiver-reported overall palatability score during the treatment period will be used for analysis. If individual daily palatability responses are partially missing but an overall palatability assessment is available at the follow-up visit, the overall assessment will be used. If no overall palatability assessment is available, the subject will be excluded from the palatability analysis.</w:t>
        <w:br/>
        <w:br/>
        <w:t>No formal imputation methods will be applied for missing data. Analyses will primarily be based on observed data. The number and percentage of subjects with missing data for each endpoint will be summarized and reported. Sensitivity analyses may be conducted, if appropriate, to evaluate the potential impact of missing data on the study conclusions. Reasons for missing data, including withdrawal, loss to follow-up, or incomplete reporting, will be documented and summarized descriptively.</w:t>
      </w:r>
    </w:p>
    <w:p w14:paraId="180CC295" w14:textId="77777777" w:rsidR="006358DE" w:rsidRDefault="006358DE" w:rsidP="006358DE">
      <w:pPr>
        <w:pStyle w:val="CPTInstructional"/>
      </w:pPr>
    </w:p>
    <w:p w14:paraId="5B1D3499" w14:textId="77777777" w:rsidR="00A31AE7" w:rsidRPr="00F34728" w:rsidRDefault="00A31AE7" w:rsidP="00A31AE7">
      <w:pPr>
        <w:pStyle w:val="CPTInstructional"/>
      </w:pPr>
      <w:r>
        <w:t>The information should be copied directly from the protocol (Section 9.1.4). Additional details may be added.</w:t>
      </w:r>
    </w:p>
    <w:p w14:paraId="79A7E19E" w14:textId="24B3A630" w:rsidR="00A31AE7" w:rsidRPr="00480C71" w:rsidRDefault="00A31AE7" w:rsidP="00480C71"/>
    <w:sectPr w:rsidR="00A31AE7" w:rsidRPr="00480C71" w:rsidSect="0003485A">
      <w:headerReference w:type="default" r:id="rId12"/>
      <w:footerReference w:type="defaul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9B9D" w14:textId="77777777" w:rsidR="003C6F6B" w:rsidRDefault="003C6F6B" w:rsidP="006157B8">
      <w:pPr>
        <w:spacing w:after="0" w:line="240" w:lineRule="auto"/>
      </w:pPr>
      <w:r>
        <w:separator/>
      </w:r>
    </w:p>
    <w:p w14:paraId="03CB8638" w14:textId="77777777" w:rsidR="003C6F6B" w:rsidRDefault="003C6F6B"/>
    <w:p w14:paraId="31E8BDF4" w14:textId="77777777" w:rsidR="003C6F6B" w:rsidRDefault="003C6F6B"/>
    <w:p w14:paraId="48CC088A" w14:textId="77777777" w:rsidR="003C6F6B" w:rsidRDefault="003C6F6B"/>
    <w:p w14:paraId="56707A3C" w14:textId="77777777" w:rsidR="003C6F6B" w:rsidRDefault="003C6F6B"/>
  </w:endnote>
  <w:endnote w:type="continuationSeparator" w:id="0">
    <w:p w14:paraId="223CF767" w14:textId="77777777" w:rsidR="003C6F6B" w:rsidRDefault="003C6F6B" w:rsidP="006157B8">
      <w:pPr>
        <w:spacing w:after="0" w:line="240" w:lineRule="auto"/>
      </w:pPr>
      <w:r>
        <w:continuationSeparator/>
      </w:r>
    </w:p>
    <w:p w14:paraId="17EBDF3F" w14:textId="77777777" w:rsidR="003C6F6B" w:rsidRDefault="003C6F6B"/>
    <w:p w14:paraId="4EE02989" w14:textId="77777777" w:rsidR="003C6F6B" w:rsidRDefault="003C6F6B"/>
    <w:p w14:paraId="08A648B6" w14:textId="77777777" w:rsidR="003C6F6B" w:rsidRDefault="003C6F6B"/>
    <w:p w14:paraId="6E401CB8" w14:textId="77777777" w:rsidR="003C6F6B" w:rsidRDefault="003C6F6B"/>
  </w:endnote>
  <w:endnote w:type="continuationNotice" w:id="1">
    <w:p w14:paraId="47834266" w14:textId="77777777" w:rsidR="003C6F6B" w:rsidRDefault="003C6F6B" w:rsidP="006157B8">
      <w:pPr>
        <w:spacing w:after="0" w:line="240" w:lineRule="auto"/>
      </w:pPr>
    </w:p>
    <w:p w14:paraId="11972643" w14:textId="77777777" w:rsidR="003C6F6B" w:rsidRDefault="003C6F6B"/>
    <w:p w14:paraId="6EA39EB2" w14:textId="77777777" w:rsidR="003C6F6B" w:rsidRDefault="003C6F6B"/>
    <w:p w14:paraId="160C0203" w14:textId="77777777" w:rsidR="003C6F6B" w:rsidRDefault="003C6F6B"/>
    <w:p w14:paraId="65B5DD91" w14:textId="77777777" w:rsidR="003C6F6B" w:rsidRDefault="003C6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w:t>
    </w:r>
    <w:proofErr w:type="spellStart"/>
    <w:r w:rsidRPr="008B6766">
      <w:rPr>
        <w:sz w:val="20"/>
      </w:rPr>
      <w:t>TransCelerate</w:t>
    </w:r>
    <w:proofErr w:type="spellEnd"/>
    <w:r w:rsidRPr="008B6766">
      <w:rPr>
        <w:sz w:val="20"/>
      </w:rPr>
      <w:t xml:space="preserv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B7B8" w14:textId="77777777" w:rsidR="003C6F6B" w:rsidRDefault="003C6F6B" w:rsidP="006157B8">
      <w:pPr>
        <w:spacing w:after="0" w:line="240" w:lineRule="auto"/>
      </w:pPr>
      <w:r>
        <w:separator/>
      </w:r>
    </w:p>
    <w:p w14:paraId="5D1DE00A" w14:textId="77777777" w:rsidR="003C6F6B" w:rsidRDefault="003C6F6B"/>
    <w:p w14:paraId="5E28C370" w14:textId="77777777" w:rsidR="003C6F6B" w:rsidRDefault="003C6F6B"/>
    <w:p w14:paraId="5CDE776D" w14:textId="77777777" w:rsidR="003C6F6B" w:rsidRDefault="003C6F6B"/>
    <w:p w14:paraId="5D988556" w14:textId="77777777" w:rsidR="003C6F6B" w:rsidRDefault="003C6F6B"/>
  </w:footnote>
  <w:footnote w:type="continuationSeparator" w:id="0">
    <w:p w14:paraId="17634D90" w14:textId="77777777" w:rsidR="003C6F6B" w:rsidRDefault="003C6F6B" w:rsidP="006157B8">
      <w:pPr>
        <w:spacing w:after="0" w:line="240" w:lineRule="auto"/>
      </w:pPr>
      <w:r>
        <w:continuationSeparator/>
      </w:r>
    </w:p>
    <w:p w14:paraId="57A34894" w14:textId="77777777" w:rsidR="003C6F6B" w:rsidRDefault="003C6F6B"/>
    <w:p w14:paraId="2E24499B" w14:textId="77777777" w:rsidR="003C6F6B" w:rsidRDefault="003C6F6B"/>
    <w:p w14:paraId="4128921B" w14:textId="77777777" w:rsidR="003C6F6B" w:rsidRDefault="003C6F6B"/>
    <w:p w14:paraId="4C79E4A2" w14:textId="77777777" w:rsidR="003C6F6B" w:rsidRDefault="003C6F6B"/>
  </w:footnote>
  <w:footnote w:type="continuationNotice" w:id="1">
    <w:p w14:paraId="1FEA7649" w14:textId="77777777" w:rsidR="003C6F6B" w:rsidRDefault="003C6F6B" w:rsidP="006157B8">
      <w:pPr>
        <w:spacing w:after="0" w:line="240" w:lineRule="auto"/>
      </w:pPr>
    </w:p>
    <w:p w14:paraId="00C88C31" w14:textId="77777777" w:rsidR="003C6F6B" w:rsidRDefault="003C6F6B"/>
    <w:p w14:paraId="28B6D3B9" w14:textId="77777777" w:rsidR="003C6F6B" w:rsidRDefault="003C6F6B"/>
    <w:p w14:paraId="08E52239" w14:textId="77777777" w:rsidR="003C6F6B" w:rsidRDefault="003C6F6B"/>
    <w:p w14:paraId="595EA4A8" w14:textId="77777777" w:rsidR="003C6F6B" w:rsidRDefault="003C6F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08" w:type="dxa"/>
      <w:tblLook w:val="04A0" w:firstRow="1" w:lastRow="0" w:firstColumn="1" w:lastColumn="0" w:noHBand="0" w:noVBand="1"/>
    </w:tblPr>
    <w:tblGrid>
      <w:gridCol w:w="2422"/>
      <w:gridCol w:w="6830"/>
    </w:tblGrid>
    <w:tr w:rsidR="00A363F4" w14:paraId="3B91B6C3" w14:textId="77777777" w:rsidTr="0028230B">
      <w:trPr>
        <w:trHeight w:val="288"/>
      </w:trPr>
      <w:tc>
        <w:tcPr>
          <w:tcW w:w="2430"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6926" w:type="dxa"/>
          <w:tcBorders>
            <w:top w:val="nil"/>
            <w:left w:val="nil"/>
            <w:bottom w:val="nil"/>
            <w:right w:val="nil"/>
          </w:tcBorders>
        </w:tcPr>
        <w:p w14:paraId="7BDF2B6C" w14:textId="5AEC2C07" w:rsidR="00A363F4" w:rsidRDefault="00A363F4" w:rsidP="25265610">
          <w:pPr>
            <w:tabs>
              <w:tab w:val="right" w:pos="13230"/>
            </w:tabs>
            <w:spacing w:before="0" w:after="0" w:line="240" w:lineRule="auto"/>
            <w:jc w:val="right"/>
            <w:rPr>
              <w:bCs/>
            </w:rPr>
          </w:pPr>
          <w:r>
            <w:t xml:space="preserve">Statistical Analysis Plan </w:t>
          </w:r>
          <w:r w:rsidR="003359AC" w:rsidRPr="003359AC">
            <w:rPr>
              <w:rStyle w:val="CPTVariable"/>
            </w:rPr>
            <w:t>[version number and/or identifier]</w:t>
          </w:r>
        </w:p>
      </w:tc>
    </w:tr>
  </w:tbl>
  <w:p w14:paraId="721747D3"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numStyleLink w:val="CPTB"/>
  </w:abstractNum>
  <w:abstractNum w:abstractNumId="12" w15:restartNumberingAfterBreak="0">
    <w:nsid w:val="13915908"/>
    <w:multiLevelType w:val="multilevel"/>
    <w:tmpl w:val="8F7626A6"/>
    <w:numStyleLink w:val="CPTN"/>
  </w:abstractNum>
  <w:abstractNum w:abstractNumId="13"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1"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7" w15:restartNumberingAfterBreak="0">
    <w:nsid w:val="45F16734"/>
    <w:multiLevelType w:val="hybridMultilevel"/>
    <w:tmpl w:val="25023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C635E"/>
    <w:multiLevelType w:val="hybridMultilevel"/>
    <w:tmpl w:val="CDD6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33"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708138612">
    <w:abstractNumId w:val="9"/>
  </w:num>
  <w:num w:numId="2" w16cid:durableId="726031371">
    <w:abstractNumId w:val="39"/>
  </w:num>
  <w:num w:numId="3" w16cid:durableId="1876039558">
    <w:abstractNumId w:val="29"/>
  </w:num>
  <w:num w:numId="4" w16cid:durableId="127360002">
    <w:abstractNumId w:val="22"/>
  </w:num>
  <w:num w:numId="5" w16cid:durableId="1136214339">
    <w:abstractNumId w:val="42"/>
  </w:num>
  <w:num w:numId="6" w16cid:durableId="305474895">
    <w:abstractNumId w:val="31"/>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21"/>
  </w:num>
  <w:num w:numId="16" w16cid:durableId="727999802">
    <w:abstractNumId w:val="34"/>
  </w:num>
  <w:num w:numId="17" w16cid:durableId="501942779">
    <w:abstractNumId w:val="44"/>
  </w:num>
  <w:num w:numId="18" w16cid:durableId="285894879">
    <w:abstractNumId w:val="14"/>
  </w:num>
  <w:num w:numId="19" w16cid:durableId="1836140568">
    <w:abstractNumId w:val="7"/>
  </w:num>
  <w:num w:numId="20" w16cid:durableId="984503606">
    <w:abstractNumId w:val="40"/>
  </w:num>
  <w:num w:numId="21" w16cid:durableId="189144711">
    <w:abstractNumId w:val="26"/>
  </w:num>
  <w:num w:numId="22" w16cid:durableId="1961109835">
    <w:abstractNumId w:val="11"/>
  </w:num>
  <w:num w:numId="23" w16cid:durableId="1492675870">
    <w:abstractNumId w:val="19"/>
  </w:num>
  <w:num w:numId="24" w16cid:durableId="461270433">
    <w:abstractNumId w:val="34"/>
  </w:num>
  <w:num w:numId="25" w16cid:durableId="283387334">
    <w:abstractNumId w:val="37"/>
  </w:num>
  <w:num w:numId="26" w16cid:durableId="300230720">
    <w:abstractNumId w:val="17"/>
  </w:num>
  <w:num w:numId="27" w16cid:durableId="1804225028">
    <w:abstractNumId w:val="32"/>
  </w:num>
  <w:num w:numId="28" w16cid:durableId="1076829044">
    <w:abstractNumId w:val="16"/>
  </w:num>
  <w:num w:numId="29" w16cid:durableId="1308896810">
    <w:abstractNumId w:val="13"/>
  </w:num>
  <w:num w:numId="30" w16cid:durableId="703213273">
    <w:abstractNumId w:val="28"/>
  </w:num>
  <w:num w:numId="31" w16cid:durableId="995567269">
    <w:abstractNumId w:val="15"/>
  </w:num>
  <w:num w:numId="32" w16cid:durableId="593127885">
    <w:abstractNumId w:val="25"/>
  </w:num>
  <w:num w:numId="33" w16cid:durableId="1456948145">
    <w:abstractNumId w:val="45"/>
  </w:num>
  <w:num w:numId="34" w16cid:durableId="2027291495">
    <w:abstractNumId w:val="33"/>
  </w:num>
  <w:num w:numId="35" w16cid:durableId="85614759">
    <w:abstractNumId w:val="44"/>
  </w:num>
  <w:num w:numId="36" w16cid:durableId="188030727">
    <w:abstractNumId w:val="41"/>
  </w:num>
  <w:num w:numId="37" w16cid:durableId="721831541">
    <w:abstractNumId w:val="24"/>
  </w:num>
  <w:num w:numId="38" w16cid:durableId="179466743">
    <w:abstractNumId w:val="43"/>
  </w:num>
  <w:num w:numId="39" w16cid:durableId="1911580129">
    <w:abstractNumId w:val="10"/>
  </w:num>
  <w:num w:numId="40" w16cid:durableId="948507100">
    <w:abstractNumId w:val="35"/>
  </w:num>
  <w:num w:numId="41" w16cid:durableId="1424375508">
    <w:abstractNumId w:val="20"/>
  </w:num>
  <w:num w:numId="42" w16cid:durableId="178353493">
    <w:abstractNumId w:val="18"/>
  </w:num>
  <w:num w:numId="43" w16cid:durableId="1228229882">
    <w:abstractNumId w:val="11"/>
  </w:num>
  <w:num w:numId="44" w16cid:durableId="2053460542">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5" w16cid:durableId="1780954928">
    <w:abstractNumId w:val="11"/>
  </w:num>
  <w:num w:numId="46"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7972551">
    <w:abstractNumId w:val="36"/>
  </w:num>
  <w:num w:numId="48" w16cid:durableId="1059985089">
    <w:abstractNumId w:val="23"/>
  </w:num>
  <w:num w:numId="49" w16cid:durableId="1997223714">
    <w:abstractNumId w:val="38"/>
  </w:num>
  <w:num w:numId="50" w16cid:durableId="1225142554">
    <w:abstractNumId w:val="27"/>
  </w:num>
  <w:num w:numId="51" w16cid:durableId="1501383263">
    <w:abstractNumId w:val="30"/>
  </w:num>
  <w:num w:numId="52" w16cid:durableId="1062482971">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4E54"/>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7CB"/>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922"/>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05A8"/>
    <w:rsid w:val="003B10F7"/>
    <w:rsid w:val="003B1842"/>
    <w:rsid w:val="003B20C7"/>
    <w:rsid w:val="003B22E6"/>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6F6B"/>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50"/>
    <w:rsid w:val="003F5A4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5F5"/>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2EA2"/>
    <w:rsid w:val="005A47CC"/>
    <w:rsid w:val="005A483E"/>
    <w:rsid w:val="005A49D6"/>
    <w:rsid w:val="005A5117"/>
    <w:rsid w:val="005A5994"/>
    <w:rsid w:val="005A5B69"/>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1CE2"/>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8DE"/>
    <w:rsid w:val="00635BC9"/>
    <w:rsid w:val="0063679F"/>
    <w:rsid w:val="006368C0"/>
    <w:rsid w:val="00636A13"/>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30F5"/>
    <w:rsid w:val="006638F0"/>
    <w:rsid w:val="006639B8"/>
    <w:rsid w:val="00663B0F"/>
    <w:rsid w:val="00664A09"/>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212"/>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0A1E"/>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7D"/>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221"/>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E94"/>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6D4"/>
    <w:rsid w:val="00B917E0"/>
    <w:rsid w:val="00B91F24"/>
    <w:rsid w:val="00B9248E"/>
    <w:rsid w:val="00B92B4A"/>
    <w:rsid w:val="00B93858"/>
    <w:rsid w:val="00B93DAC"/>
    <w:rsid w:val="00B93F3A"/>
    <w:rsid w:val="00B94358"/>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BD"/>
    <w:rsid w:val="00BD60D8"/>
    <w:rsid w:val="00BD7068"/>
    <w:rsid w:val="00BD7255"/>
    <w:rsid w:val="00BD79AF"/>
    <w:rsid w:val="00BD7ABB"/>
    <w:rsid w:val="00BE054E"/>
    <w:rsid w:val="00BE1426"/>
    <w:rsid w:val="00BE1518"/>
    <w:rsid w:val="00BE16F7"/>
    <w:rsid w:val="00BE18D9"/>
    <w:rsid w:val="00BE1C0A"/>
    <w:rsid w:val="00BE2A25"/>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AEE"/>
    <w:rsid w:val="00BF7EDC"/>
    <w:rsid w:val="00C000B6"/>
    <w:rsid w:val="00C00F3A"/>
    <w:rsid w:val="00C011DB"/>
    <w:rsid w:val="00C0170D"/>
    <w:rsid w:val="00C020AF"/>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2A"/>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3E7"/>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C9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2E2"/>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64B"/>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DD2"/>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7D6"/>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2EA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1"/>
      </w:numPr>
    </w:pPr>
  </w:style>
  <w:style w:type="paragraph" w:customStyle="1" w:styleId="CPTListBullet">
    <w:name w:val="CPT_List Bullet"/>
    <w:basedOn w:val="Normal"/>
    <w:qFormat/>
    <w:rsid w:val="00355A35"/>
    <w:pPr>
      <w:numPr>
        <w:numId w:val="45"/>
      </w:numPr>
      <w:spacing w:before="0" w:line="240" w:lineRule="auto"/>
    </w:pPr>
    <w:rPr>
      <w:rFonts w:cs="Times New Roman"/>
    </w:r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3"/>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2.xml><?xml version="1.0" encoding="utf-8"?>
<ds:datastoreItem xmlns:ds="http://schemas.openxmlformats.org/officeDocument/2006/customXml" ds:itemID="{7F7F9755-F00C-4826-8D09-E9F26747F414}">
  <ds:schemaRefs>
    <ds:schemaRef ds:uri="http://schemas.microsoft.com/sharepoint/events"/>
  </ds:schemaRefs>
</ds:datastoreItem>
</file>

<file path=customXml/itemProps3.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1e6ce477-9493-4a39-9848-d11bef8e2276"/>
    <ds:schemaRef ds:uri="3abbdf7d-cbcb-48dc-a0a0-2070dc3ca52f"/>
  </ds:schemaRefs>
</ds:datastoreItem>
</file>

<file path=customXml/itemProps4.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5.xml><?xml version="1.0" encoding="utf-8"?>
<ds:datastoreItem xmlns:ds="http://schemas.openxmlformats.org/officeDocument/2006/customXml" ds:itemID="{9A90E7F8-6675-47C0-A095-1E99393AB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3abbdf7d-cbcb-48dc-a0a0-2070dc3ca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5</Pages>
  <Words>1550</Words>
  <Characters>9999</Characters>
  <Application>Microsoft Office Word</Application>
  <DocSecurity>0</DocSecurity>
  <Lines>434</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Lu, Zhaohua</cp:lastModifiedBy>
  <cp:revision>93</cp:revision>
  <dcterms:created xsi:type="dcterms:W3CDTF">2021-05-07T23:04:00Z</dcterms:created>
  <dcterms:modified xsi:type="dcterms:W3CDTF">2026-03-18T16:41:00Z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