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producibility-guide"/>
    <w:p>
      <w:pPr>
        <w:pStyle w:val="Heading1"/>
      </w:pPr>
      <w:r>
        <w:t xml:space="preserve">Reproducibility Guide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repository enables independent reproduction of the analytical workflow used in the associated manuscript.</w:t>
      </w:r>
    </w:p>
    <w:bookmarkEnd w:id="20"/>
    <w:bookmarkStart w:id="21" w:name="recommended-execution-order"/>
    <w:p>
      <w:pPr>
        <w:pStyle w:val="Heading2"/>
      </w:pPr>
      <w:r>
        <w:t xml:space="preserve">Recommended execution order</w:t>
      </w:r>
    </w:p>
    <w:p>
      <w:pPr>
        <w:pStyle w:val="Compact"/>
        <w:numPr>
          <w:ilvl w:val="0"/>
          <w:numId w:val="1001"/>
        </w:numPr>
      </w:pPr>
      <w:r>
        <w:t xml:space="preserve">Install Python packages.</w:t>
      </w:r>
    </w:p>
    <w:p>
      <w:pPr>
        <w:pStyle w:val="Compact"/>
        <w:numPr>
          <w:ilvl w:val="0"/>
          <w:numId w:val="1001"/>
        </w:numPr>
      </w:pPr>
      <w:r>
        <w:t xml:space="preserve">Create the Conda environment (optional).</w:t>
      </w:r>
    </w:p>
    <w:p>
      <w:pPr>
        <w:pStyle w:val="Compact"/>
        <w:numPr>
          <w:ilvl w:val="0"/>
          <w:numId w:val="1001"/>
        </w:numPr>
      </w:pPr>
      <w:r>
        <w:t xml:space="preserve">Prepare the input datasets according to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Execute notebooks in numerical order.</w:t>
      </w:r>
    </w:p>
    <w:p>
      <w:pPr>
        <w:pStyle w:val="Compact"/>
        <w:numPr>
          <w:ilvl w:val="0"/>
          <w:numId w:val="1001"/>
        </w:numPr>
      </w:pPr>
      <w:r>
        <w:t xml:space="preserve">Compare generated outputs with the manuscript tables and figures.</w:t>
      </w:r>
    </w:p>
    <w:bookmarkEnd w:id="21"/>
    <w:bookmarkStart w:id="22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Input Data</w:t>
      </w:r>
      <w:r>
        <w:t xml:space="preserve"> </w:t>
      </w:r>
      <w:r>
        <w:t xml:space="preserve">→ Data preprocessing</w:t>
      </w:r>
      <w:r>
        <w:t xml:space="preserve"> </w:t>
      </w:r>
      <w:r>
        <w:t xml:space="preserve">→ Reliability analysis</w:t>
      </w:r>
      <w:r>
        <w:t xml:space="preserve"> </w:t>
      </w:r>
      <w:r>
        <w:t xml:space="preserve">→ CFA / Path modeling</w:t>
      </w:r>
      <w:r>
        <w:t xml:space="preserve"> </w:t>
      </w:r>
      <w:r>
        <w:t xml:space="preserve">→ Machine learning</w:t>
      </w:r>
      <w:r>
        <w:t xml:space="preserve"> </w:t>
      </w:r>
      <w:r>
        <w:t xml:space="preserve">→ Profile analysis</w:t>
      </w:r>
      <w:r>
        <w:t xml:space="preserve"> </w:t>
      </w:r>
      <w:r>
        <w:t xml:space="preserve">→ Evidence synthesis</w:t>
      </w:r>
      <w:r>
        <w:t xml:space="preserve"> </w:t>
      </w:r>
      <w:r>
        <w:t xml:space="preserve">→ Tables</w:t>
      </w:r>
      <w:r>
        <w:t xml:space="preserve"> </w:t>
      </w:r>
      <w:r>
        <w:t xml:space="preserve">→ Figures</w:t>
      </w:r>
      <w:r>
        <w:t xml:space="preserve"> </w:t>
      </w:r>
      <w:r>
        <w:t xml:space="preserve">→ Manuscript</w:t>
      </w:r>
    </w:p>
    <w:bookmarkEnd w:id="22"/>
    <w:bookmarkStart w:id="23" w:name="reproducibility-principles"/>
    <w:p>
      <w:pPr>
        <w:pStyle w:val="Heading2"/>
      </w:pPr>
      <w:r>
        <w:t xml:space="preserve">Reproducibility principles</w:t>
      </w:r>
    </w:p>
    <w:p>
      <w:pPr>
        <w:pStyle w:val="Compact"/>
        <w:numPr>
          <w:ilvl w:val="0"/>
          <w:numId w:val="1002"/>
        </w:numPr>
      </w:pPr>
      <w:r>
        <w:t xml:space="preserve">Fixed random seeds</w:t>
      </w:r>
    </w:p>
    <w:p>
      <w:pPr>
        <w:pStyle w:val="Compact"/>
        <w:numPr>
          <w:ilvl w:val="0"/>
          <w:numId w:val="1002"/>
        </w:numPr>
      </w:pPr>
      <w:r>
        <w:t xml:space="preserve">Version-controlled code</w:t>
      </w:r>
    </w:p>
    <w:p>
      <w:pPr>
        <w:pStyle w:val="Compact"/>
        <w:numPr>
          <w:ilvl w:val="0"/>
          <w:numId w:val="1002"/>
        </w:numPr>
      </w:pPr>
      <w:r>
        <w:t xml:space="preserve">Non-identifying outputs</w:t>
      </w:r>
    </w:p>
    <w:p>
      <w:pPr>
        <w:pStyle w:val="Compact"/>
        <w:numPr>
          <w:ilvl w:val="0"/>
          <w:numId w:val="1002"/>
        </w:numPr>
      </w:pPr>
      <w:r>
        <w:t xml:space="preserve">Documented software versions</w:t>
      </w:r>
    </w:p>
    <w:p>
      <w:pPr>
        <w:pStyle w:val="Compact"/>
        <w:numPr>
          <w:ilvl w:val="0"/>
          <w:numId w:val="1002"/>
        </w:numPr>
      </w:pPr>
      <w:r>
        <w:t xml:space="preserve">Transparent analytical decisions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2026-07-30T05:24:42Z</dcterms:created>
  <dcterms:modified xsi:type="dcterms:W3CDTF">2026-07-30T05:24:42Z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