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客户身份识别与反洗钱合规流程</w:t>
      </w:r>
    </w:p>
    <w:p>
      <w:r>
        <w:t>SOP编号：SOP-AML-001</w:t>
      </w:r>
    </w:p>
    <w:p>
      <w:r>
        <w:t>版本：2.3</w:t>
      </w:r>
    </w:p>
    <w:p>
      <w:r>
        <w:t>生效日期：2026-01-15</w:t>
      </w:r>
    </w:p>
    <w:p/>
    <w:p>
      <w:r>
        <w:t>1. 目的</w:t>
      </w:r>
    </w:p>
    <w:p>
      <w:r>
        <w:t>本标准操作程序（SOP）旨在规范金融机构客户身份识别（KYC）和反洗钱（AML）合规流程，确保符合《中华人民共和国反洗钱法》、中国人民银行反洗钱相关规定及其他适用法律法规。</w:t>
      </w:r>
    </w:p>
    <w:p/>
    <w:p>
      <w:r>
        <w:t>2. 适用范围</w:t>
      </w:r>
    </w:p>
    <w:p>
      <w:r>
        <w:t>适用于所有新开户、客户信息更新及高风险交易监控场景。</w:t>
      </w:r>
    </w:p>
    <w:p/>
    <w:p>
      <w:r>
        <w:t>3. 定义</w:t>
      </w:r>
    </w:p>
    <w:p>
      <w:r>
        <w:t>3.1 客户身份识别（KYC）：在与客户建立业务关系或进行交易前，识别并核实客户身份的过程。</w:t>
      </w:r>
    </w:p>
    <w:p>
      <w:r>
        <w:t>3.2 受益所有人：指对客户享有实际控制权或最终受益的自然人。</w:t>
      </w:r>
    </w:p>
    <w:p>
      <w:r>
        <w:t>3.3 政治公众人物（PEP）：担任或曾经担任重要公职的个人及其密切关系人。</w:t>
      </w:r>
    </w:p>
    <w:p/>
    <w:p>
      <w:r>
        <w:t>4. 职责</w:t>
      </w:r>
    </w:p>
    <w:p>
      <w:r>
        <w:t>4.1 前台业务人员：负责初步收集客户身份信息。</w:t>
      </w:r>
    </w:p>
    <w:p>
      <w:r>
        <w:t>4.2 合规专员：负责审核客户资料，执行增强型尽职调查。</w:t>
      </w:r>
    </w:p>
    <w:p>
      <w:r>
        <w:t>4.3 反洗钱监控系统：负责自动监测可疑交易模式。</w:t>
      </w:r>
    </w:p>
    <w:p/>
    <w:p>
      <w:r>
        <w:t>5. 流程</w:t>
      </w:r>
    </w:p>
    <w:p/>
    <w:p>
      <w:r>
        <w:t>5.1 新客户开户流程</w:t>
      </w:r>
    </w:p>
    <w:p>
      <w:r>
        <w:t>5.1.1 收集基本身份信息</w:t>
      </w:r>
    </w:p>
    <w:p>
      <w:r>
        <w:t>- 个人客户：身份证件、住址证明、职业信息、资金来源声明</w:t>
      </w:r>
    </w:p>
    <w:p>
      <w:r>
        <w:t>- 企业客户：营业执照、公司章程、股权结构、法定代表人身份证明、受益所有人信息</w:t>
      </w:r>
    </w:p>
    <w:p/>
    <w:p>
      <w:r>
        <w:t>5.1.2 身份核实</w:t>
      </w:r>
    </w:p>
    <w:p>
      <w:r>
        <w:t>- 联网核查公民身份信息系统（对于中国大陆居民）</w:t>
      </w:r>
    </w:p>
    <w:p>
      <w:r>
        <w:t>- 证件真伪验证（高拍仪/OCR识别）</w:t>
      </w:r>
    </w:p>
    <w:p>
      <w:r>
        <w:t>- 面部识别比对（如适用）</w:t>
      </w:r>
    </w:p>
    <w:p>
      <w:r>
        <w:t>- 企业信息通过国家企业信用信息公示系统核实</w:t>
      </w:r>
    </w:p>
    <w:p/>
    <w:p>
      <w:r>
        <w:t>5.1.3 风险评估</w:t>
      </w:r>
    </w:p>
    <w:p>
      <w:r>
        <w:t>- 低风险：普通工薪阶层、本地企业</w:t>
      </w:r>
    </w:p>
    <w:p>
      <w:r>
        <w:t>- 中风险：自由职业者、跨区域经营企业</w:t>
      </w:r>
    </w:p>
    <w:p>
      <w:r>
        <w:t>- 高风险：现金密集型行业、跨境业务、PEP、来自高风险国家/地区</w:t>
      </w:r>
    </w:p>
    <w:p/>
    <w:p>
      <w:r>
        <w:t>5.1.4 增强型尽职调查（适用于高风险客户）</w:t>
      </w:r>
    </w:p>
    <w:p>
      <w:r>
        <w:t>- 深入了解客户业务背景、经营历史</w:t>
      </w:r>
    </w:p>
    <w:p>
      <w:r>
        <w:t>- 核实资金来源及用途</w:t>
      </w:r>
    </w:p>
    <w:p>
      <w:r>
        <w:t>- 获取高级管理层或董事会批准</w:t>
      </w:r>
    </w:p>
    <w:p>
      <w:r>
        <w:t>- 提高交易监控频率</w:t>
      </w:r>
    </w:p>
    <w:p/>
    <w:p>
      <w:r>
        <w:t>5.2 持续监控</w:t>
      </w:r>
    </w:p>
    <w:p>
      <w:r>
        <w:t>5.2.1 交易监测</w:t>
      </w:r>
    </w:p>
    <w:p>
      <w:r>
        <w:t>- 单笔交易金额超过人民币5万元（或等值外币1万美元）的现金交易</w:t>
      </w:r>
    </w:p>
    <w:p>
      <w:r>
        <w:t>- 短期内分散转入、集中转出或集中转入、分散转出</w:t>
      </w:r>
    </w:p>
    <w:p>
      <w:r>
        <w:t>- 与客户身份、财务状况、经营业务明显不符的交易</w:t>
      </w:r>
    </w:p>
    <w:p>
      <w:r>
        <w:t>- 没有经济或业务背景的交易</w:t>
      </w:r>
    </w:p>
    <w:p/>
    <w:p>
      <w:r>
        <w:t>5.2.2 定期重新识别</w:t>
      </w:r>
    </w:p>
    <w:p>
      <w:r>
        <w:t>- 高风险客户：每6个月重新识别一次</w:t>
      </w:r>
    </w:p>
    <w:p>
      <w:r>
        <w:t>- 中风险客户：每年重新识别一次</w:t>
      </w:r>
    </w:p>
    <w:p>
      <w:r>
        <w:t>- 低风险客户：每2年重新识别一次</w:t>
      </w:r>
    </w:p>
    <w:p/>
    <w:p>
      <w:r>
        <w:t>5.3 可疑交易报告</w:t>
      </w:r>
    </w:p>
    <w:p>
      <w:r>
        <w:t>5.3.1 报告标准</w:t>
      </w:r>
    </w:p>
    <w:p>
      <w:r>
        <w:t>发现以下情况应在5个工作日内向中国反洗钱监测分析中心报告：</w:t>
      </w:r>
    </w:p>
    <w:p>
      <w:r>
        <w:t>- 明显涉嫌洗钱、恐怖融资等犯罪活动</w:t>
      </w:r>
    </w:p>
    <w:p>
      <w:r>
        <w:t>- 严重危害国家安全或社会稳定</w:t>
      </w:r>
    </w:p>
    <w:p>
      <w:r>
        <w:t>- 其他情节严重或情况紧急的情形</w:t>
      </w:r>
    </w:p>
    <w:p/>
    <w:p>
      <w:r>
        <w:t>5.3.2 内部报告流程</w:t>
      </w:r>
    </w:p>
    <w:p>
      <w:r>
        <w:t>前台发现 → 合规专员初审 → 合规部门负责人复审 → 提交报告</w:t>
      </w:r>
    </w:p>
    <w:p/>
    <w:p>
      <w:r>
        <w:t>6. 记录保存</w:t>
      </w:r>
    </w:p>
    <w:p>
      <w:r>
        <w:t>- 客户身份资料：自业务关系结束当年计起至少保存5年</w:t>
      </w:r>
    </w:p>
    <w:p>
      <w:r>
        <w:t>- 交易记录：自交易记账当年计起至少保存5年</w:t>
      </w:r>
    </w:p>
    <w:p/>
    <w:p>
      <w:r>
        <w:t>7. 附件</w:t>
      </w:r>
    </w:p>
    <w:p>
      <w:r>
        <w:t>附件1：《个人客户身份信息采集表》</w:t>
      </w:r>
    </w:p>
    <w:p>
      <w:r>
        <w:t>附件2：《企业客户受益所有人识别表》</w:t>
      </w:r>
    </w:p>
    <w:p>
      <w:r>
        <w:t>附件3：《可疑交易报告模板》</w:t>
      </w:r>
    </w:p>
    <w:p/>
    <w:p>
      <w:r>
        <w:t>8. 相关法规</w:t>
      </w:r>
    </w:p>
    <w:p>
      <w:r>
        <w:t>- 《中华人民共和国反洗钱法》（2023年修订）</w:t>
      </w:r>
    </w:p>
    <w:p>
      <w:r>
        <w:t>- 《金融机构反洗钱规定》（中国人民银行令〔2022〕第1号）</w:t>
      </w:r>
    </w:p>
    <w:p>
      <w:r>
        <w:t>- 《金融机构客户尽职调查和客户身份资料及交易记录保存管理办法》</w:t>
      </w:r>
    </w:p>
    <w:p/>
    <w:p>
      <w:r>
        <w:t>审批：</w:t>
      </w:r>
    </w:p>
    <w:p>
      <w:r>
        <w:t>制定：合规部 张明</w:t>
      </w:r>
    </w:p>
    <w:p>
      <w:r>
        <w:t>审核：风险管理委员会 李华</w:t>
      </w:r>
    </w:p>
    <w:p>
      <w:r>
        <w:t>批准：首席合规官 王建国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