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30"/>
          <w:szCs w:val="30"/>
        </w:rPr>
      </w:pPr>
      <w:bookmarkStart w:id="0" w:name="_Toc35109327"/>
      <w:r>
        <w:rPr>
          <w:rFonts w:hint="eastAsia" w:ascii="宋体" w:hAnsi="宋体"/>
          <w:b/>
          <w:sz w:val="30"/>
          <w:szCs w:val="30"/>
        </w:rPr>
        <w:t>实验5  脉冲编码调制（PCM）</w:t>
      </w:r>
      <w:bookmarkEnd w:id="0"/>
    </w:p>
    <w:p>
      <w:pPr>
        <w:jc w:val="center"/>
        <w:rPr>
          <w:rFonts w:hint="eastAsia" w:ascii="宋体" w:hAnsi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sz w:val="28"/>
          <w:szCs w:val="28"/>
          <w:lang w:val="en-US" w:eastAsia="zh-CN"/>
        </w:rPr>
        <w:t>信息005 王靳朝 2206113602</w:t>
      </w:r>
    </w:p>
    <w:p>
      <w:r>
        <w:rPr>
          <w:rFonts w:hint="eastAsia"/>
          <w:b/>
          <w:bCs/>
        </w:rPr>
        <w:t>一、实验目的</w:t>
      </w:r>
    </w:p>
    <w:p>
      <w:pPr>
        <w:pStyle w:val="6"/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1、掌握PCM编码过程及方法；</w:t>
      </w:r>
    </w:p>
    <w:p>
      <w:pPr>
        <w:jc w:val="both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2、了解A律13折线的特点。</w:t>
      </w:r>
    </w:p>
    <w:p>
      <w:r>
        <w:rPr>
          <w:rFonts w:hint="eastAsia"/>
          <w:b/>
          <w:bCs/>
        </w:rPr>
        <w:t>二、实验仪器</w:t>
      </w:r>
    </w:p>
    <w:p>
      <w:pPr>
        <w:pStyle w:val="6"/>
        <w:tabs>
          <w:tab w:val="left" w:pos="10800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1、余弦信号发生器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2、信号采样器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3、PCM量化器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4、PCM编码器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5、PCM译码器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6、信号波形图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</w:rPr>
        <w:t>7、信号针状图</w:t>
      </w:r>
    </w:p>
    <w:p>
      <w:r>
        <w:rPr>
          <w:rFonts w:hint="eastAsia"/>
          <w:b/>
          <w:bCs/>
        </w:rPr>
        <w:t>三、实验的理论基础</w:t>
      </w:r>
    </w:p>
    <w:p>
      <w:pPr>
        <w:pStyle w:val="6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</w:rPr>
        <w:t>脉冲编码调制（PCM）是数字通信的编码方式之一，在通信系统中完成将语音信号数字化的功能。PCM的实现主要包括三个步骤：抽样、量化、编码，分别完成时间上离散、幅度上离散及量化信号的二进制表示。</w:t>
      </w:r>
    </w:p>
    <w:p>
      <w:r>
        <w:rPr>
          <w:rFonts w:hint="eastAsia"/>
        </w:rPr>
        <w:tab/>
      </w:r>
      <w:r>
        <w:rPr>
          <w:rFonts w:hint="eastAsia"/>
        </w:rPr>
        <w:t>1. 抽样：</w:t>
      </w:r>
    </w:p>
    <w:p>
      <w:pPr>
        <w:rPr>
          <w:rFonts w:ascii="宋体" w:hAnsi="宋体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</w:rPr>
        <w:t>抽样也称取样、采样，是将时间连续的模拟信号转换为离散信号的过程。为保证抽样后的信号可以无失真的恢复原模拟信号，需满足抽样定理，即采样频率</w:t>
      </w:r>
      <w:r>
        <w:rPr>
          <w:rFonts w:ascii="宋体" w:hAnsi="宋体"/>
          <w:position w:val="-10"/>
        </w:rPr>
        <w:object>
          <v:shape id="_x0000_i1025" o:spt="75" type="#_x0000_t75" style="height:16.3pt;width:12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</w:rPr>
        <w:t>必须大于等于模拟信号最高频率</w:t>
      </w:r>
      <w:r>
        <w:rPr>
          <w:rFonts w:ascii="宋体" w:hAnsi="宋体"/>
          <w:position w:val="-10"/>
        </w:rPr>
        <w:object>
          <v:shape id="_x0000_i1026" o:spt="75" type="#_x0000_t75" style="height:16.3pt;width: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</w:rPr>
        <w:t>的2倍。</w:t>
      </w:r>
    </w:p>
    <w:p>
      <w:r>
        <w:rPr>
          <w:rFonts w:hint="eastAsia"/>
        </w:rPr>
        <w:tab/>
      </w:r>
      <w:r>
        <w:rPr>
          <w:rFonts w:hint="eastAsia"/>
        </w:rPr>
        <w:t>2. 量化：</w:t>
      </w:r>
    </w:p>
    <w:p>
      <w:pPr>
        <w:rPr>
          <w:rFonts w:ascii="宋体" w:hAnsi="宋体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</w:rPr>
        <w:t>量化，就是把经过抽样得到的瞬时值</w:t>
      </w:r>
      <w:r>
        <w:rPr>
          <w:rFonts w:hint="eastAsia" w:ascii="宋体" w:hAnsi="宋体"/>
        </w:rPr>
        <w:t>进行</w:t>
      </w:r>
      <w:r>
        <w:rPr>
          <w:rFonts w:ascii="宋体" w:hAnsi="宋体"/>
        </w:rPr>
        <w:t>幅度离散，即用一组规定的</w:t>
      </w:r>
      <w:r>
        <w:fldChar w:fldCharType="begin"/>
      </w:r>
      <w:r>
        <w:instrText xml:space="preserve">HYPERLINK "http://baike.baidu.com/view/314180.htm" \t "_blank"</w:instrText>
      </w:r>
      <w:r>
        <w:fldChar w:fldCharType="separate"/>
      </w:r>
      <w:r>
        <w:rPr>
          <w:rFonts w:ascii="宋体" w:hAnsi="宋体"/>
        </w:rPr>
        <w:t>电平</w:t>
      </w:r>
      <w:r>
        <w:fldChar w:fldCharType="end"/>
      </w:r>
      <w:r>
        <w:rPr>
          <w:rFonts w:ascii="宋体" w:hAnsi="宋体"/>
        </w:rPr>
        <w:t>，把瞬时抽样值用最接近的电平值来表示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通常是用</w:t>
      </w:r>
      <w:r>
        <w:fldChar w:fldCharType="begin"/>
      </w:r>
      <w:r>
        <w:instrText xml:space="preserve">HYPERLINK "http://baike.baidu.com/view/18536.htm" \t "_blank"</w:instrText>
      </w:r>
      <w:r>
        <w:fldChar w:fldCharType="separate"/>
      </w:r>
      <w:r>
        <w:rPr>
          <w:rFonts w:ascii="宋体" w:hAnsi="宋体"/>
        </w:rPr>
        <w:t>二进制</w:t>
      </w:r>
      <w:r>
        <w:fldChar w:fldCharType="end"/>
      </w:r>
      <w:r>
        <w:rPr>
          <w:rFonts w:ascii="宋体" w:hAnsi="宋体"/>
        </w:rPr>
        <w:t>表示。</w:t>
      </w:r>
      <w:r>
        <w:rPr>
          <w:rFonts w:hint="eastAsia" w:ascii="宋体" w:hAnsi="宋体"/>
        </w:rPr>
        <w:t>模拟信号的量化分为均匀量化和非均匀量化。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均匀量化是将输入信号的取值域按等距离分割，其量化间隔取决于输入信号的变换范围和量化电平数。均匀量化的缺点是，无论抽样值的大小如何，量化噪声的均方根都固定不变，因此，当信号较小时，则信号量噪比也就很小，这样，对于弱信号时的信号量噪比就很难达到给定的要求。为了克服这个缺点，改善小信号时的信号量噪比，在实际应用中常采用非均匀量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非均匀量化是根据信号的不同区间来确定量化间隔，对于信号取值小的区间，其量化间隔也小；反之，量化间隔就大。常见的非均匀量化有</w:t>
      </w:r>
      <w:r>
        <w:rPr>
          <w:rFonts w:ascii="宋体" w:hAnsi="宋体"/>
          <w:position w:val="-4"/>
        </w:rPr>
        <w:object>
          <v:shape id="_x0000_i1027" o:spt="75" type="#_x0000_t75" style="height:12.25pt;width:10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/>
        </w:rPr>
        <w:t>压缩律和</w:t>
      </w:r>
      <w:r>
        <w:rPr>
          <w:rFonts w:ascii="宋体" w:hAnsi="宋体"/>
          <w:position w:val="-10"/>
        </w:rPr>
        <w:object>
          <v:shape id="_x0000_i1028" o:spt="75" type="#_x0000_t75" style="height:12.25pt;width:10.8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/>
        </w:rPr>
        <w:t>压缩律两种，在PCM编码方式中采用的是</w:t>
      </w:r>
      <w:r>
        <w:rPr>
          <w:rFonts w:ascii="宋体" w:hAnsi="宋体"/>
          <w:position w:val="-4"/>
        </w:rPr>
        <w:object>
          <v:shape id="_x0000_i1029" o:spt="75" type="#_x0000_t75" style="height:12.25pt;width:10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/>
        </w:rPr>
        <w:t>压缩律，下面对其进行简单介绍。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ascii="宋体" w:hAnsi="宋体"/>
          <w:position w:val="-4"/>
        </w:rPr>
        <w:object>
          <v:shape id="_x0000_i1030" o:spt="75" type="#_x0000_t75" style="height:12.25pt;width:10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</w:rPr>
        <w:t>压缩律是指符合公式(5-1)的对数压缩规律：</w:t>
      </w:r>
    </w:p>
    <w:p>
      <w:pPr>
        <w:jc w:val="right"/>
        <w:rPr>
          <w:rFonts w:ascii="宋体" w:hAnsi="宋体"/>
        </w:rPr>
      </w:pPr>
      <w:r>
        <w:rPr>
          <w:rFonts w:ascii="宋体" w:hAnsi="宋体"/>
          <w:position w:val="-52"/>
        </w:rPr>
        <w:object>
          <v:shape id="_x0000_i1031" o:spt="75" type="#_x0000_t75" style="height:57.05pt;width:135.1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/>
        </w:rPr>
        <w:t xml:space="preserve">                       (5-1)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式中，</w:t>
      </w:r>
      <w:r>
        <w:rPr>
          <w:rFonts w:ascii="宋体" w:hAnsi="宋体"/>
          <w:position w:val="-6"/>
        </w:rPr>
        <w:object>
          <v:shape id="_x0000_i1032" o:spt="75" type="#_x0000_t75" style="height:10.2pt;width:8.8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/>
        </w:rPr>
        <w:t>为压缩器归一化输入电压；</w:t>
      </w:r>
      <w:r>
        <w:rPr>
          <w:rFonts w:ascii="宋体" w:hAnsi="宋体"/>
          <w:position w:val="-10"/>
        </w:rPr>
        <w:object>
          <v:shape id="_x0000_i1033" o:spt="75" type="#_x0000_t75" style="height:12.25pt;width:10.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hint="eastAsia" w:ascii="宋体" w:hAnsi="宋体"/>
        </w:rPr>
        <w:t>为压缩器归一化输出电压；</w:t>
      </w:r>
      <w:r>
        <w:rPr>
          <w:rFonts w:ascii="宋体" w:hAnsi="宋体"/>
          <w:position w:val="-4"/>
        </w:rPr>
        <w:object>
          <v:shape id="_x0000_i1034" o:spt="75" type="#_x0000_t75" style="height:12.25pt;width:10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rFonts w:hint="eastAsia" w:ascii="宋体" w:hAnsi="宋体"/>
        </w:rPr>
        <w:t>为常数，</w:t>
      </w:r>
      <w:r>
        <w:rPr>
          <w:rFonts w:hint="eastAsia" w:ascii="宋体" w:hAnsi="宋体"/>
          <w:lang w:val="en-US" w:eastAsia="zh-CN"/>
        </w:rPr>
        <w:t>它</w:t>
      </w:r>
      <w:r>
        <w:rPr>
          <w:rFonts w:hint="eastAsia" w:ascii="宋体" w:hAnsi="宋体"/>
        </w:rPr>
        <w:t>决定压缩程度。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ascii="宋体" w:hAnsi="宋体"/>
          <w:position w:val="-4"/>
        </w:rPr>
        <w:object>
          <v:shape id="_x0000_i1035" o:spt="75" type="#_x0000_t75" style="height:12.25pt;width:10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  <w:r>
        <w:rPr>
          <w:rFonts w:hint="eastAsia" w:ascii="宋体" w:hAnsi="宋体"/>
        </w:rPr>
        <w:t>律压扩特性是连续曲线，在电路上实现这样的函数规律是相当复杂的。实际中，往往都采用近似于</w:t>
      </w:r>
      <w:r>
        <w:rPr>
          <w:rFonts w:ascii="宋体" w:hAnsi="宋体"/>
          <w:position w:val="-4"/>
        </w:rPr>
        <w:object>
          <v:shape id="_x0000_i1036" o:spt="75" type="#_x0000_t75" style="height:12.25pt;width:10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3">
            <o:LockedField>false</o:LockedField>
          </o:OLEObject>
        </w:object>
      </w:r>
      <w:r>
        <w:rPr>
          <w:rFonts w:hint="eastAsia" w:ascii="宋体" w:hAnsi="宋体"/>
        </w:rPr>
        <w:t>律函数规律的13折线（</w:t>
      </w:r>
      <w:r>
        <w:rPr>
          <w:rFonts w:ascii="宋体" w:hAnsi="宋体"/>
          <w:position w:val="-4"/>
        </w:rPr>
        <w:object>
          <v:shape id="_x0000_i1037" o:spt="75" type="#_x0000_t75" style="height:12.25pt;width:10.8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4">
            <o:LockedField>false</o:LockedField>
          </o:OLEObject>
        </w:object>
      </w:r>
      <w:r>
        <w:rPr>
          <w:rFonts w:hint="eastAsia" w:ascii="宋体" w:hAnsi="宋体"/>
        </w:rPr>
        <w:t>=87.6）的压扩特性，其特性曲线如图5.1所示。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object>
          <v:shape id="_x0000_i1038" o:spt="75" alt="" type="#_x0000_t75" style="height:214.8pt;width:25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Visio.Drawing.11" ShapeID="_x0000_i1038" DrawAspect="Content" ObjectID="_1468075738" r:id="rId25">
            <o:LockedField>false</o:LockedField>
          </o:OLEObject>
        </w:objec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图5.1  A律13折线特性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  <w:b/>
        </w:rPr>
        <w:tab/>
      </w:r>
      <w:r>
        <w:rPr>
          <w:rFonts w:hint="eastAsia" w:ascii="宋体" w:hAnsi="宋体"/>
        </w:rPr>
        <w:t>图中横坐标</w:t>
      </w:r>
      <w:r>
        <w:rPr>
          <w:rFonts w:ascii="宋体" w:hAnsi="宋体"/>
          <w:position w:val="-6"/>
        </w:rPr>
        <w:object>
          <v:shape id="_x0000_i1039" o:spt="75" type="#_x0000_t75" style="height:10.2pt;width:8.8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7">
            <o:LockedField>false</o:LockedField>
          </o:OLEObject>
        </w:object>
      </w:r>
      <w:r>
        <w:rPr>
          <w:rFonts w:hint="eastAsia" w:ascii="宋体" w:hAnsi="宋体"/>
        </w:rPr>
        <w:t>在0至1区间中分为不均匀的8段。</w:t>
      </w:r>
      <w:r>
        <w:rPr>
          <w:rFonts w:ascii="宋体" w:hAnsi="宋体"/>
          <w:position w:val="-22"/>
        </w:rPr>
        <w:object>
          <v:shape id="_x0000_i1040" o:spt="75" type="#_x0000_t75" style="height:29.2pt;width:27.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28">
            <o:LockedField>false</o:LockedField>
          </o:OLEObject>
        </w:object>
      </w:r>
      <w:r>
        <w:rPr>
          <w:rFonts w:hint="eastAsia" w:ascii="宋体" w:hAnsi="宋体"/>
        </w:rPr>
        <w:t>间的线段称为第八段；</w:t>
      </w:r>
      <w:r>
        <w:rPr>
          <w:rFonts w:ascii="宋体" w:hAnsi="宋体"/>
          <w:position w:val="-22"/>
        </w:rPr>
        <w:object>
          <v:shape id="_x0000_i1041" o:spt="75" type="#_x0000_t75" style="height:29.2pt;width:31.2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0">
            <o:LockedField>false</o:LockedField>
          </o:OLEObject>
        </w:object>
      </w:r>
      <w:r>
        <w:rPr>
          <w:rFonts w:hint="eastAsia" w:ascii="宋体" w:hAnsi="宋体"/>
        </w:rPr>
        <w:t>间的线段称为第七段；以此类推，直到</w:t>
      </w:r>
      <w:r>
        <w:rPr>
          <w:rFonts w:ascii="宋体" w:hAnsi="宋体"/>
          <w:position w:val="-22"/>
        </w:rPr>
        <w:object>
          <v:shape id="_x0000_i1042" o:spt="75" type="#_x0000_t75" style="height:29.2pt;width:38.0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2">
            <o:LockedField>false</o:LockedField>
          </o:OLEObject>
        </w:object>
      </w:r>
      <w:r>
        <w:rPr>
          <w:rFonts w:hint="eastAsia" w:ascii="宋体" w:hAnsi="宋体"/>
        </w:rPr>
        <w:t>间的线段称为第一段。图中纵坐标</w:t>
      </w:r>
      <w:r>
        <w:rPr>
          <w:rFonts w:ascii="宋体" w:hAnsi="宋体"/>
          <w:position w:val="-10"/>
        </w:rPr>
        <w:object>
          <v:shape id="_x0000_i1043" o:spt="75" type="#_x0000_t75" style="height:12.25pt;width:10.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4">
            <o:LockedField>false</o:LockedField>
          </o:OLEObject>
        </w:object>
      </w:r>
      <w:r>
        <w:rPr>
          <w:rFonts w:hint="eastAsia" w:ascii="宋体" w:hAnsi="宋体"/>
        </w:rPr>
        <w:t>则均匀地划分为8段。将这8段相应的坐标点</w:t>
      </w:r>
      <w:r>
        <w:rPr>
          <w:rFonts w:ascii="宋体" w:hAnsi="宋体"/>
          <w:position w:val="-10"/>
        </w:rPr>
        <w:object>
          <v:shape id="_x0000_i1044" o:spt="75" type="#_x0000_t75" style="height:14.95pt;width:27.1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5">
            <o:LockedField>false</o:LockedField>
          </o:OLEObject>
        </w:object>
      </w:r>
      <w:r>
        <w:rPr>
          <w:rFonts w:hint="eastAsia" w:ascii="宋体" w:hAnsi="宋体"/>
        </w:rPr>
        <w:t>相连，就得到了一条折线。由图可见，除第一和二段外，其他各段折线的斜率都不相同。表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.1列出了各段折线的斜率。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.1  各段折线的斜率</w:t>
      </w:r>
    </w:p>
    <w:tbl>
      <w:tblPr>
        <w:tblStyle w:val="4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折线段号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斜率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1/2</w:t>
            </w:r>
          </w:p>
        </w:tc>
        <w:tc>
          <w:tcPr>
            <w:tcW w:w="71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1/4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3. 编码：</w:t>
      </w:r>
    </w:p>
    <w:p>
      <w:pPr>
        <w:rPr>
          <w:rFonts w:ascii="宋体" w:hAnsi="宋体"/>
        </w:rPr>
      </w:pP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/>
        </w:rPr>
        <w:t>量化后的信号已经是取值离散的数字信号，下一步就是对数字信号进行编码。常用的二进制码型有自然二进制码和折叠二进制码两种，在13折线法中采用的是8位折叠码进行编码。其中第一位</w:t>
      </w:r>
      <w:r>
        <w:rPr>
          <w:rFonts w:ascii="宋体" w:hAnsi="宋体"/>
          <w:position w:val="-10"/>
        </w:rPr>
        <w:object>
          <v:shape id="_x0000_i1045" o:spt="75" type="#_x0000_t75" style="height:16.3pt;width:10.8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7">
            <o:LockedField>false</o:LockedField>
          </o:OLEObject>
        </w:object>
      </w:r>
      <w:r>
        <w:rPr>
          <w:rFonts w:hint="eastAsia" w:ascii="宋体" w:hAnsi="宋体"/>
        </w:rPr>
        <w:t>表示量化值的极性正负，后面的7位分为段落码和段内码两部分，用于表示量化值的绝对值。其中第2至4位</w:t>
      </w:r>
      <w:r>
        <w:rPr>
          <w:rFonts w:ascii="宋体" w:hAnsi="宋体"/>
          <w:position w:val="-10"/>
        </w:rPr>
        <w:object>
          <v:shape id="_x0000_i1046" o:spt="75" type="#_x0000_t75" style="height:16.3pt;width:40.7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9">
            <o:LockedField>false</o:LockedField>
          </o:OLEObject>
        </w:object>
      </w:r>
      <w:r>
        <w:rPr>
          <w:rFonts w:hint="eastAsia" w:ascii="宋体" w:hAnsi="宋体"/>
        </w:rPr>
        <w:t>是段落码，共计3位，可表示8种斜率的段落；其他4位</w:t>
      </w:r>
      <w:r>
        <w:rPr>
          <w:rFonts w:ascii="宋体" w:hAnsi="宋体"/>
          <w:position w:val="-10"/>
        </w:rPr>
        <w:object>
          <v:shape id="_x0000_i1047" o:spt="75" type="#_x0000_t75" style="height:16.3pt;width:50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1">
            <o:LockedField>false</o:LockedField>
          </o:OLEObject>
        </w:object>
      </w:r>
      <w:r>
        <w:rPr>
          <w:rFonts w:hint="eastAsia" w:ascii="宋体" w:hAnsi="宋体"/>
        </w:rPr>
        <w:t>为段内码，可表示每一段落内的16种量化电平。段内码代表的16个量化电平是均匀划分的，所以，这7位码总共能表示</w:t>
      </w:r>
      <w:r>
        <w:rPr>
          <w:rFonts w:ascii="宋体" w:hAnsi="宋体"/>
          <w:position w:val="-6"/>
        </w:rPr>
        <w:object>
          <v:shape id="_x0000_i1048" o:spt="75" type="#_x0000_t75" style="height:17pt;width:42.1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3">
            <o:LockedField>false</o:LockedField>
          </o:OLEObject>
        </w:object>
      </w:r>
      <w:r>
        <w:rPr>
          <w:rFonts w:hint="eastAsia" w:ascii="宋体" w:hAnsi="宋体"/>
        </w:rPr>
        <w:t>种量化值。表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.2和表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.3分别给出了段落码和段内码的编码规则。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表5.2  段落码</w:t>
      </w:r>
    </w:p>
    <w:tbl>
      <w:tblPr>
        <w:tblStyle w:val="4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段落序号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段落码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049" o:spt="75" type="#_x0000_t75" style="height:16.3pt;width:40.75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9" r:id="rId45">
                  <o:LockedField>false</o:LockedField>
                </o:OLEObject>
              </w:objec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段落范围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（量化单位）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1024~2048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512~1024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256~512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128~256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64~128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32~64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16~32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0~16</w:t>
            </w:r>
          </w:p>
        </w:tc>
      </w:tr>
    </w:tbl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表5.3  段内码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1701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top w:val="single" w:color="000000" w:sz="12" w:space="0"/>
              <w:left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量化间隔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段内码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050" o:spt="75" type="#_x0000_t75" style="height:16.3pt;width:50.95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46">
                  <o:LockedField>false</o:LockedField>
                </o:OLEObject>
              </w:objec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量化间隔</w:t>
            </w:r>
          </w:p>
        </w:tc>
        <w:tc>
          <w:tcPr>
            <w:tcW w:w="1701" w:type="dxa"/>
            <w:tcBorders>
              <w:top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段内码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position w:val="-10"/>
              </w:rPr>
              <w:object>
                <v:shape id="_x0000_i1051" o:spt="75" type="#_x0000_t75" style="height:16.3pt;width:50.95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4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left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1111</w:t>
            </w:r>
          </w:p>
        </w:tc>
        <w:tc>
          <w:tcPr>
            <w:tcW w:w="1701" w:type="dxa"/>
            <w:tcBorders>
              <w:lef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701" w:type="dxa"/>
            <w:tcBorders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left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1110</w:t>
            </w:r>
          </w:p>
        </w:tc>
        <w:tc>
          <w:tcPr>
            <w:tcW w:w="1701" w:type="dxa"/>
            <w:tcBorders>
              <w:lef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701" w:type="dxa"/>
            <w:tcBorders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left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1101</w:t>
            </w:r>
          </w:p>
        </w:tc>
        <w:tc>
          <w:tcPr>
            <w:tcW w:w="1701" w:type="dxa"/>
            <w:tcBorders>
              <w:lef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701" w:type="dxa"/>
            <w:tcBorders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left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1100</w:t>
            </w:r>
          </w:p>
        </w:tc>
        <w:tc>
          <w:tcPr>
            <w:tcW w:w="1701" w:type="dxa"/>
            <w:tcBorders>
              <w:lef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701" w:type="dxa"/>
            <w:tcBorders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left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1011</w:t>
            </w:r>
          </w:p>
        </w:tc>
        <w:tc>
          <w:tcPr>
            <w:tcW w:w="1701" w:type="dxa"/>
            <w:tcBorders>
              <w:lef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701" w:type="dxa"/>
            <w:tcBorders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left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1010</w:t>
            </w:r>
          </w:p>
        </w:tc>
        <w:tc>
          <w:tcPr>
            <w:tcW w:w="1701" w:type="dxa"/>
            <w:tcBorders>
              <w:lef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701" w:type="dxa"/>
            <w:tcBorders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left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1001</w:t>
            </w:r>
          </w:p>
        </w:tc>
        <w:tc>
          <w:tcPr>
            <w:tcW w:w="1701" w:type="dxa"/>
            <w:tcBorders>
              <w:lef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701" w:type="dxa"/>
            <w:tcBorders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left w:val="single" w:color="000000" w:sz="12" w:space="0"/>
              <w:bottom w:val="single" w:color="000000" w:sz="12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1000</w:t>
            </w:r>
          </w:p>
        </w:tc>
        <w:tc>
          <w:tcPr>
            <w:tcW w:w="1701" w:type="dxa"/>
            <w:tcBorders>
              <w:left w:val="single" w:color="000000" w:sz="12" w:space="0"/>
              <w:bottom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701" w:type="dxa"/>
            <w:tcBorders>
              <w:bottom w:val="single" w:color="000000" w:sz="12" w:space="0"/>
              <w:right w:val="single" w:color="000000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0000</w:t>
            </w:r>
          </w:p>
        </w:tc>
      </w:tr>
    </w:tbl>
    <w:p>
      <w:pPr>
        <w:jc w:val="left"/>
        <w:rPr>
          <w:rFonts w:ascii="宋体" w:hAnsi="宋体"/>
          <w:szCs w:val="21"/>
        </w:rPr>
      </w:pPr>
    </w:p>
    <w:p>
      <w:r>
        <w:rPr>
          <w:rFonts w:hint="eastAsia"/>
        </w:rPr>
        <w:t>四、实验内容及步骤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1、按照实验模型图26.2中所示从器材库中选取器材进行连接：本实验通过搭建PCM编译码实验来观察</w:t>
      </w:r>
      <w:r>
        <w:rPr>
          <w:rFonts w:hint="eastAsia" w:ascii="宋体" w:hAnsi="宋体"/>
        </w:rPr>
        <w:t>编码调制的各个过程输出的信号图</w:t>
      </w:r>
      <w:r>
        <w:rPr>
          <w:rFonts w:hint="eastAsia" w:ascii="宋体" w:hAnsi="宋体"/>
          <w:szCs w:val="21"/>
        </w:rPr>
        <w:t>和译码输出信号图，加深对PCM编译码原理的理解。</w:t>
      </w:r>
    </w:p>
    <w:p>
      <w:pPr>
        <w:pStyle w:val="6"/>
        <w:jc w:val="center"/>
        <w:rPr>
          <w:rFonts w:ascii="宋体" w:hAnsi="宋体"/>
        </w:rPr>
      </w:pPr>
      <w:r>
        <w:rPr>
          <w:rFonts w:ascii="宋体" w:hAnsi="宋体"/>
        </w:rPr>
        <w:object>
          <v:shape id="_x0000_i1052" o:spt="75" type="#_x0000_t75" style="height:68.6pt;width:436.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Visio.Drawing.11" ShapeID="_x0000_i1052" DrawAspect="Content" ObjectID="_1468075752" r:id="rId48">
            <o:LockedField>false</o:LockedField>
          </o:OLEObject>
        </w:object>
      </w:r>
    </w:p>
    <w:p>
      <w:pPr>
        <w:pStyle w:val="6"/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图5.2  </w:t>
      </w:r>
      <w:r>
        <w:rPr>
          <w:rFonts w:hint="eastAsia" w:ascii="宋体" w:hAnsi="宋体"/>
          <w:szCs w:val="21"/>
        </w:rPr>
        <w:t>PCM编译码</w:t>
      </w:r>
      <w:r>
        <w:rPr>
          <w:rFonts w:hint="eastAsia" w:ascii="宋体" w:hAnsi="宋体"/>
        </w:rPr>
        <w:t>实验框图</w:t>
      </w:r>
    </w:p>
    <w:p>
      <w:pPr>
        <w:jc w:val="center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drawing>
          <wp:inline distT="0" distB="0" distL="114300" distR="114300">
            <wp:extent cx="4427855" cy="2225040"/>
            <wp:effectExtent l="0" t="0" r="6985" b="0"/>
            <wp:docPr id="1" name="图片 1" descr="屏幕截图 2022-12-24 22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12-24 22080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drawing>
          <wp:inline distT="0" distB="0" distL="114300" distR="114300">
            <wp:extent cx="4427855" cy="2169160"/>
            <wp:effectExtent l="0" t="0" r="6985" b="1016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/>
          <w:sz w:val="24"/>
          <w:szCs w:val="24"/>
          <w:lang w:val="en-US" w:eastAsia="zh-CN"/>
        </w:rPr>
        <w:drawing>
          <wp:inline distT="0" distB="0" distL="114300" distR="114300">
            <wp:extent cx="3172460" cy="3044190"/>
            <wp:effectExtent l="0" t="0" r="12700" b="381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PCM编码的过程</w:t>
      </w:r>
    </w:p>
    <w:p>
      <w:pPr>
        <w:widowControl w:val="0"/>
        <w:numPr>
          <w:numId w:val="0"/>
        </w:numPr>
        <w:spacing w:before="120" w:after="12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首先对信号进行采样，采样率大于信号最高频率的两倍。之后进行量化，一般采用A律压缩的非等间隔压缩方法，现实中一般让A取87.6得到近似折线的压缩特性，得到如下的特性曲线：</w:t>
      </w:r>
    </w:p>
    <w:p>
      <w:pPr>
        <w:widowControl w:val="0"/>
        <w:numPr>
          <w:numId w:val="0"/>
        </w:numPr>
        <w:spacing w:before="120" w:after="120"/>
        <w:jc w:val="center"/>
        <w:rPr>
          <w:rFonts w:ascii="宋体" w:hAnsi="宋体"/>
        </w:rPr>
      </w:pPr>
      <w:r>
        <w:rPr>
          <w:rFonts w:ascii="宋体" w:hAnsi="宋体"/>
        </w:rPr>
        <w:object>
          <v:shape id="_x0000_i1053" o:spt="75" type="#_x0000_t75" style="height:214.8pt;width:25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Visio.Drawing.11" ShapeID="_x0000_i1053" DrawAspect="Content" ObjectID="_1468075753" r:id="rId53">
            <o:LockedField>false</o:LockedField>
          </o:OLEObject>
        </w:object>
      </w:r>
    </w:p>
    <w:p>
      <w:pPr>
        <w:widowControl w:val="0"/>
        <w:numPr>
          <w:numId w:val="0"/>
        </w:numPr>
        <w:spacing w:before="120" w:after="12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之后根据量化之后的离散数字信号在十三折线的位置进行编码，分为段落码和段内码。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D4970C"/>
    <w:multiLevelType w:val="singleLevel"/>
    <w:tmpl w:val="F7D4970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02D34119"/>
    <w:rsid w:val="02D34119"/>
    <w:rsid w:val="09E13140"/>
    <w:rsid w:val="0B4D2EE6"/>
    <w:rsid w:val="0B777564"/>
    <w:rsid w:val="26CC67F7"/>
    <w:rsid w:val="2FD04A22"/>
    <w:rsid w:val="33926DE0"/>
    <w:rsid w:val="42A7482D"/>
    <w:rsid w:val="51A5155A"/>
    <w:rsid w:val="5ABD442A"/>
    <w:rsid w:val="5FD86FE1"/>
    <w:rsid w:val="615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oleObject" Target="embeddings/oleObject29.bin"/><Relationship Id="rId52" Type="http://schemas.openxmlformats.org/officeDocument/2006/relationships/image" Target="media/image20.png"/><Relationship Id="rId51" Type="http://schemas.openxmlformats.org/officeDocument/2006/relationships/image" Target="media/image19.png"/><Relationship Id="rId50" Type="http://schemas.openxmlformats.org/officeDocument/2006/relationships/image" Target="media/image18.png"/><Relationship Id="rId5" Type="http://schemas.openxmlformats.org/officeDocument/2006/relationships/oleObject" Target="embeddings/oleObject1.bin"/><Relationship Id="rId49" Type="http://schemas.openxmlformats.org/officeDocument/2006/relationships/image" Target="media/image17.emf"/><Relationship Id="rId48" Type="http://schemas.openxmlformats.org/officeDocument/2006/relationships/oleObject" Target="embeddings/oleObject28.bin"/><Relationship Id="rId47" Type="http://schemas.openxmlformats.org/officeDocument/2006/relationships/oleObject" Target="embeddings/oleObject27.bin"/><Relationship Id="rId46" Type="http://schemas.openxmlformats.org/officeDocument/2006/relationships/oleObject" Target="embeddings/oleObject26.bin"/><Relationship Id="rId45" Type="http://schemas.openxmlformats.org/officeDocument/2006/relationships/oleObject" Target="embeddings/oleObject25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4.bin"/><Relationship Id="rId42" Type="http://schemas.openxmlformats.org/officeDocument/2006/relationships/image" Target="media/image15.wmf"/><Relationship Id="rId41" Type="http://schemas.openxmlformats.org/officeDocument/2006/relationships/oleObject" Target="embeddings/oleObject23.bin"/><Relationship Id="rId40" Type="http://schemas.openxmlformats.org/officeDocument/2006/relationships/image" Target="media/image14.wmf"/><Relationship Id="rId4" Type="http://schemas.openxmlformats.org/officeDocument/2006/relationships/theme" Target="theme/theme1.xml"/><Relationship Id="rId39" Type="http://schemas.openxmlformats.org/officeDocument/2006/relationships/oleObject" Target="embeddings/oleObject22.bin"/><Relationship Id="rId38" Type="http://schemas.openxmlformats.org/officeDocument/2006/relationships/image" Target="media/image13.wmf"/><Relationship Id="rId37" Type="http://schemas.openxmlformats.org/officeDocument/2006/relationships/oleObject" Target="embeddings/oleObject21.bin"/><Relationship Id="rId36" Type="http://schemas.openxmlformats.org/officeDocument/2006/relationships/image" Target="media/image12.wmf"/><Relationship Id="rId35" Type="http://schemas.openxmlformats.org/officeDocument/2006/relationships/oleObject" Target="embeddings/oleObject20.bin"/><Relationship Id="rId34" Type="http://schemas.openxmlformats.org/officeDocument/2006/relationships/oleObject" Target="embeddings/oleObject19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8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7.bin"/><Relationship Id="rId3" Type="http://schemas.openxmlformats.org/officeDocument/2006/relationships/footnotes" Target="footnotes.xml"/><Relationship Id="rId29" Type="http://schemas.openxmlformats.org/officeDocument/2006/relationships/image" Target="media/image9.wmf"/><Relationship Id="rId28" Type="http://schemas.openxmlformats.org/officeDocument/2006/relationships/oleObject" Target="embeddings/oleObject16.bin"/><Relationship Id="rId27" Type="http://schemas.openxmlformats.org/officeDocument/2006/relationships/oleObject" Target="embeddings/oleObject15.bin"/><Relationship Id="rId26" Type="http://schemas.openxmlformats.org/officeDocument/2006/relationships/image" Target="media/image8.emf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6.wmf"/><Relationship Id="rId17" Type="http://schemas.openxmlformats.org/officeDocument/2006/relationships/oleObject" Target="embeddings/oleObject8.bin"/><Relationship Id="rId16" Type="http://schemas.openxmlformats.org/officeDocument/2006/relationships/image" Target="media/image5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2022-12-25T07:14:00Z</dcterms:created>
  <dc:creator>XJTU202203394 王靳朝</dc:creator>
  <cp:lastModifiedBy>XJTU202203394 王靳朝</cp:lastModifiedBy>
  <dcterms:modified xsi:type="dcterms:W3CDTF">2022-12-25T07:32:37Z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963A3BC1E27A463EACE49E381C475F21</vt:lpwstr>
  </property>
</Properties>
</file>