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宋体"/>
          <w:color w:val="000000"/>
          <w:kern w:val="0"/>
          <w:sz w:val="36"/>
          <w:szCs w:val="36"/>
          <w:lang w:val="en-US" w:eastAsia="zh-CN" w:bidi="ar"/>
        </w:rPr>
      </w:pPr>
      <w:r>
        <w:rPr>
          <w:rFonts w:hint="eastAsia" w:ascii="宋体" w:hAnsi="宋体" w:eastAsia="宋体" w:cs="宋体"/>
          <w:color w:val="000000"/>
          <w:kern w:val="0"/>
          <w:sz w:val="36"/>
          <w:szCs w:val="36"/>
          <w:lang w:val="en-US" w:eastAsia="zh-CN" w:bidi="ar"/>
        </w:rPr>
        <w:t>实验</w:t>
      </w:r>
      <w:r>
        <w:rPr>
          <w:rFonts w:hint="eastAsia" w:ascii="宋体" w:hAnsi="宋体" w:cs="宋体"/>
          <w:color w:val="000000"/>
          <w:kern w:val="0"/>
          <w:sz w:val="36"/>
          <w:szCs w:val="36"/>
          <w:lang w:val="en-US" w:eastAsia="zh-CN" w:bidi="ar"/>
        </w:rPr>
        <w:t>二</w:t>
      </w:r>
      <w:r>
        <w:rPr>
          <w:rFonts w:hint="eastAsia" w:ascii="宋体" w:hAnsi="宋体" w:eastAsia="宋体" w:cs="宋体"/>
          <w:color w:val="000000"/>
          <w:kern w:val="0"/>
          <w:sz w:val="36"/>
          <w:szCs w:val="36"/>
          <w:lang w:val="en-US" w:eastAsia="zh-CN" w:bidi="ar"/>
        </w:rPr>
        <w:t xml:space="preserve"> </w:t>
      </w:r>
      <w:r>
        <w:rPr>
          <w:rFonts w:hint="eastAsia" w:ascii="宋体" w:hAnsi="宋体" w:cs="宋体"/>
          <w:color w:val="000000"/>
          <w:kern w:val="0"/>
          <w:sz w:val="36"/>
          <w:szCs w:val="36"/>
          <w:lang w:val="en-US" w:eastAsia="zh-CN" w:bidi="ar"/>
        </w:rPr>
        <w:t>低噪声放大器</w:t>
      </w:r>
    </w:p>
    <w:p>
      <w:pPr>
        <w:numPr>
          <w:ilvl w:val="0"/>
          <w:numId w:val="1"/>
        </w:numPr>
        <w:jc w:val="both"/>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实验目的</w:t>
      </w:r>
    </w:p>
    <w:p>
      <w:pPr>
        <w:widowControl w:val="0"/>
        <w:numPr>
          <w:numId w:val="0"/>
        </w:numPr>
        <w:spacing w:before="120" w:after="120"/>
        <w:jc w:val="both"/>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1.深入理解低噪声放大器的工作原理、功能、作用和性能指标。</w:t>
      </w:r>
    </w:p>
    <w:p>
      <w:pPr>
        <w:widowControl w:val="0"/>
        <w:numPr>
          <w:numId w:val="0"/>
        </w:numPr>
        <w:spacing w:before="120" w:after="120"/>
        <w:jc w:val="both"/>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2.学习使用频谱分析仪的工作原理和使用办法。</w:t>
      </w:r>
    </w:p>
    <w:p>
      <w:pPr>
        <w:widowControl w:val="0"/>
        <w:numPr>
          <w:numId w:val="0"/>
        </w:numPr>
        <w:spacing w:before="120" w:after="120"/>
        <w:jc w:val="both"/>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3.掌握低噪声放大器性能指标的测试方法。</w:t>
      </w:r>
    </w:p>
    <w:p>
      <w:pPr>
        <w:numPr>
          <w:ilvl w:val="0"/>
          <w:numId w:val="1"/>
        </w:numPr>
        <w:jc w:val="both"/>
        <w:rPr>
          <w:rFonts w:hint="default"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实验仪器</w:t>
      </w:r>
    </w:p>
    <w:p>
      <w:pPr>
        <w:widowControl w:val="0"/>
        <w:numPr>
          <w:numId w:val="0"/>
        </w:numPr>
        <w:spacing w:before="120" w:after="120"/>
        <w:jc w:val="both"/>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 xml:space="preserve">数字示波器      TDS210 0-60MHz       1台 </w:t>
      </w:r>
    </w:p>
    <w:p>
      <w:pPr>
        <w:widowControl w:val="0"/>
        <w:numPr>
          <w:numId w:val="0"/>
        </w:numPr>
        <w:spacing w:before="120" w:after="120"/>
        <w:jc w:val="both"/>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 xml:space="preserve">频谱分析仪      GSP-827 0~2.7GHz     1台 </w:t>
      </w:r>
    </w:p>
    <w:p>
      <w:pPr>
        <w:widowControl w:val="0"/>
        <w:numPr>
          <w:numId w:val="0"/>
        </w:numPr>
        <w:spacing w:before="120" w:after="120"/>
        <w:jc w:val="both"/>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 xml:space="preserve">直流稳压电源    SS3323 0~30V         1台 </w:t>
      </w:r>
    </w:p>
    <w:p>
      <w:pPr>
        <w:widowControl w:val="0"/>
        <w:numPr>
          <w:numId w:val="0"/>
        </w:numPr>
        <w:spacing w:before="120" w:after="120"/>
        <w:jc w:val="both"/>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 xml:space="preserve">实验电路板      自制                 1块 </w:t>
      </w:r>
    </w:p>
    <w:p>
      <w:pPr>
        <w:numPr>
          <w:ilvl w:val="0"/>
          <w:numId w:val="1"/>
        </w:numPr>
        <w:jc w:val="both"/>
        <w:rPr>
          <w:rFonts w:hint="default"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实验电路分析</w:t>
      </w:r>
    </w:p>
    <w:p>
      <w:pPr>
        <w:widowControl w:val="0"/>
        <w:numPr>
          <w:numId w:val="0"/>
        </w:numPr>
        <w:spacing w:before="120" w:after="120"/>
        <w:jc w:val="center"/>
        <w:rPr>
          <w:rFonts w:hint="eastAsia" w:ascii="宋体" w:hAnsi="宋体" w:cs="宋体"/>
          <w:color w:val="000000"/>
          <w:kern w:val="0"/>
          <w:sz w:val="24"/>
          <w:szCs w:val="24"/>
          <w:lang w:val="en-US" w:eastAsia="zh-CN" w:bidi="ar"/>
        </w:rPr>
      </w:pPr>
      <w:r>
        <w:drawing>
          <wp:inline distT="0" distB="0" distL="114300" distR="114300">
            <wp:extent cx="2590165" cy="3315970"/>
            <wp:effectExtent l="0" t="0" r="635" b="6350"/>
            <wp:docPr id="163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图片 10"/>
                    <pic:cNvPicPr>
                      <a:picLocks noChangeAspect="1"/>
                    </pic:cNvPicPr>
                  </pic:nvPicPr>
                  <pic:blipFill>
                    <a:blip r:embed="rId5"/>
                    <a:stretch>
                      <a:fillRect/>
                    </a:stretch>
                  </pic:blipFill>
                  <pic:spPr>
                    <a:xfrm>
                      <a:off x="0" y="0"/>
                      <a:ext cx="2590165" cy="3315970"/>
                    </a:xfrm>
                    <a:prstGeom prst="rect">
                      <a:avLst/>
                    </a:prstGeom>
                    <a:noFill/>
                    <a:ln w="9525">
                      <a:noFill/>
                    </a:ln>
                  </pic:spPr>
                </pic:pic>
              </a:graphicData>
            </a:graphic>
          </wp:inline>
        </w:drawing>
      </w:r>
    </w:p>
    <w:p>
      <w:pPr>
        <w:widowControl w:val="0"/>
        <w:numPr>
          <w:numId w:val="0"/>
        </w:numPr>
        <w:spacing w:before="120" w:after="120"/>
        <w:ind w:firstLine="480" w:firstLineChars="200"/>
        <w:jc w:val="both"/>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分析如图所示的pcb板，最上方为电源模块，中间为一级低噪声放大电路，下方为两级低噪声放大电路。使用信号处于发射频段，需要用高频电路的理论分析。当终端开路时，放射系数为1，即理论上所有能量全部反射。当终端负载阻抗匹配时，反射系数为0，即所有能量全部发射。</w:t>
      </w:r>
    </w:p>
    <w:p>
      <w:pPr>
        <w:numPr>
          <w:ilvl w:val="0"/>
          <w:numId w:val="1"/>
        </w:numPr>
        <w:jc w:val="both"/>
        <w:rPr>
          <w:rFonts w:hint="default" w:ascii="宋体" w:hAnsi="宋体" w:cs="宋体"/>
          <w:b/>
          <w:bCs/>
          <w:color w:val="000000"/>
          <w:kern w:val="0"/>
          <w:sz w:val="24"/>
          <w:szCs w:val="24"/>
          <w:lang w:val="en-US" w:eastAsia="zh-CN" w:bidi="ar"/>
        </w:rPr>
      </w:pPr>
      <w:r>
        <w:rPr>
          <w:rFonts w:hint="default" w:ascii="宋体" w:hAnsi="宋体" w:cs="宋体"/>
          <w:b/>
          <w:bCs/>
          <w:color w:val="000000"/>
          <w:kern w:val="0"/>
          <w:sz w:val="24"/>
          <w:szCs w:val="24"/>
          <w:lang w:val="en-US" w:eastAsia="zh-CN" w:bidi="ar"/>
        </w:rPr>
        <w:t>实验原理与步骤</w:t>
      </w:r>
    </w:p>
    <w:p>
      <w:pPr>
        <w:widowControl w:val="0"/>
        <w:numPr>
          <w:numId w:val="0"/>
        </w:numPr>
        <w:spacing w:before="120" w:after="120"/>
        <w:jc w:val="both"/>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测量步骤：</w:t>
      </w:r>
    </w:p>
    <w:p>
      <w:pPr>
        <w:widowControl w:val="0"/>
        <w:numPr>
          <w:numId w:val="0"/>
        </w:numPr>
        <w:spacing w:before="120" w:after="120"/>
        <w:jc w:val="both"/>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1.阻抗匹配的反射系数测量</w:t>
      </w:r>
    </w:p>
    <w:p>
      <w:pPr>
        <w:widowControl w:val="0"/>
        <w:numPr>
          <w:numId w:val="0"/>
        </w:numPr>
        <w:spacing w:before="120" w:after="120"/>
        <w:ind w:firstLine="480" w:firstLineChars="200"/>
        <w:jc w:val="both"/>
        <w:rPr>
          <w:rFonts w:hint="eastAsia"/>
          <w:sz w:val="24"/>
          <w:szCs w:val="24"/>
        </w:rPr>
      </w:pPr>
      <w:r>
        <w:rPr>
          <w:rFonts w:hint="eastAsia"/>
          <w:sz w:val="24"/>
          <w:szCs w:val="24"/>
        </w:rPr>
        <w:t>电路连接。将频谱分析仪架设好；将Bridge的射频信号输入端口接至频谱分析仪之TG 输出端； 将Bridge之反射信号输出端口利用RF Cable连接至频谱分析仪之RF 输入端；将Bridge 的射频信号输入端口接上两头为SMA的电缆，电缆另一头是开路的。</w:t>
      </w:r>
    </w:p>
    <w:p>
      <w:pPr>
        <w:widowControl w:val="0"/>
        <w:numPr>
          <w:numId w:val="0"/>
        </w:numPr>
        <w:spacing w:before="120" w:after="120"/>
        <w:ind w:firstLine="480" w:firstLineChars="200"/>
        <w:jc w:val="both"/>
        <w:rPr>
          <w:rFonts w:hint="eastAsia"/>
          <w:sz w:val="24"/>
          <w:szCs w:val="24"/>
        </w:rPr>
      </w:pPr>
      <w:r>
        <w:rPr>
          <w:rFonts w:hint="eastAsia"/>
          <w:sz w:val="24"/>
          <w:szCs w:val="24"/>
        </w:rPr>
        <w:t>将频谱分析仪的中心频率、测量范围、分辨率频宽(RBW)分别设定为1.95GHz、100 MHz、3kHz。</w:t>
      </w:r>
    </w:p>
    <w:p>
      <w:pPr>
        <w:widowControl w:val="0"/>
        <w:numPr>
          <w:numId w:val="0"/>
        </w:numPr>
        <w:spacing w:before="120" w:after="120"/>
        <w:ind w:firstLine="480" w:firstLineChars="200"/>
        <w:jc w:val="both"/>
        <w:rPr>
          <w:rFonts w:hint="default" w:eastAsia="宋体"/>
          <w:sz w:val="24"/>
          <w:szCs w:val="24"/>
          <w:lang w:val="en-US" w:eastAsia="zh-CN"/>
        </w:rPr>
      </w:pPr>
      <w:r>
        <w:rPr>
          <w:rFonts w:hint="eastAsia"/>
          <w:sz w:val="24"/>
          <w:szCs w:val="24"/>
          <w:lang w:val="en-US" w:eastAsia="zh-CN"/>
        </w:rPr>
        <w:t>进行频谱分析仪的校准。</w:t>
      </w:r>
      <w:r>
        <w:rPr>
          <w:rFonts w:hint="eastAsia"/>
          <w:sz w:val="24"/>
          <w:szCs w:val="24"/>
        </w:rPr>
        <w:t>依下图所示之按键步骤启动频谱分析之TG (Tracking Generator) 功能（在OPTION中），校正频谱分析仪。注意：TG输出信号的幅度可以改变，但在该实验中，放大器允许的输入信号幅度比较小，信号太大时容易损坏，不要超过-20dBm。</w:t>
      </w:r>
    </w:p>
    <w:p>
      <w:pPr>
        <w:widowControl w:val="0"/>
        <w:numPr>
          <w:numId w:val="0"/>
        </w:numPr>
        <w:spacing w:before="120" w:after="120"/>
        <w:jc w:val="center"/>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drawing>
          <wp:inline distT="0" distB="0" distL="114300" distR="114300">
            <wp:extent cx="4523740" cy="2082800"/>
            <wp:effectExtent l="0" t="0" r="2540" b="5080"/>
            <wp:docPr id="2" name="图片 2" descr="bbe6771d1e60d2d30a9c64729ef1c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be6771d1e60d2d30a9c64729ef1cf7"/>
                    <pic:cNvPicPr>
                      <a:picLocks noChangeAspect="1"/>
                    </pic:cNvPicPr>
                  </pic:nvPicPr>
                  <pic:blipFill>
                    <a:blip r:embed="rId6"/>
                    <a:stretch>
                      <a:fillRect/>
                    </a:stretch>
                  </pic:blipFill>
                  <pic:spPr>
                    <a:xfrm>
                      <a:off x="0" y="0"/>
                      <a:ext cx="4523740" cy="2082800"/>
                    </a:xfrm>
                    <a:prstGeom prst="rect">
                      <a:avLst/>
                    </a:prstGeom>
                  </pic:spPr>
                </pic:pic>
              </a:graphicData>
            </a:graphic>
          </wp:inline>
        </w:drawing>
      </w:r>
    </w:p>
    <w:p>
      <w:pPr>
        <w:widowControl w:val="0"/>
        <w:numPr>
          <w:numId w:val="0"/>
        </w:numPr>
        <w:spacing w:before="120" w:after="120"/>
        <w:jc w:val="both"/>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校准得到的结果如下：</w:t>
      </w:r>
    </w:p>
    <w:p>
      <w:pPr>
        <w:widowControl w:val="0"/>
        <w:numPr>
          <w:numId w:val="0"/>
        </w:numPr>
        <w:spacing w:before="120" w:after="120"/>
        <w:jc w:val="center"/>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drawing>
          <wp:inline distT="0" distB="0" distL="114300" distR="114300">
            <wp:extent cx="3512820" cy="2635885"/>
            <wp:effectExtent l="0" t="0" r="7620" b="635"/>
            <wp:docPr id="3" name="图片 3" descr="5caa5b7f82bcd7fdb4b2c3e53a68a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caa5b7f82bcd7fdb4b2c3e53a68a9e"/>
                    <pic:cNvPicPr>
                      <a:picLocks noChangeAspect="1"/>
                    </pic:cNvPicPr>
                  </pic:nvPicPr>
                  <pic:blipFill>
                    <a:blip r:embed="rId7"/>
                    <a:stretch>
                      <a:fillRect/>
                    </a:stretch>
                  </pic:blipFill>
                  <pic:spPr>
                    <a:xfrm>
                      <a:off x="0" y="0"/>
                      <a:ext cx="3512820" cy="263588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before="120" w:after="120" w:line="288" w:lineRule="auto"/>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测量。</w:t>
      </w:r>
      <w:r>
        <w:rPr>
          <w:rFonts w:hint="eastAsia"/>
          <w:sz w:val="24"/>
          <w:szCs w:val="24"/>
        </w:rPr>
        <w:t>在被测放大器的输出端接上负载终端，将连接于Bridge 的RF 输出端的RF Cable 接于被测电路的输入端来量测其输入返回损耗，记录图形。判读对应1.92GHz、1.95GHz、1.98GHz频率点的反射损耗。</w:t>
      </w:r>
      <w:r>
        <w:rPr>
          <w:rFonts w:hint="eastAsia"/>
          <w:sz w:val="24"/>
          <w:szCs w:val="24"/>
          <w:lang w:val="en-US" w:eastAsia="zh-CN"/>
        </w:rPr>
        <w:t>测量的得到的结果如图所示，</w:t>
      </w:r>
    </w:p>
    <w:p>
      <w:pPr>
        <w:widowControl w:val="0"/>
        <w:numPr>
          <w:numId w:val="0"/>
        </w:numPr>
        <w:spacing w:before="120" w:after="120"/>
        <w:jc w:val="both"/>
        <w:rPr>
          <w:rFonts w:hint="default" w:ascii="宋体" w:hAnsi="宋体" w:cs="宋体"/>
          <w:color w:val="000000"/>
          <w:kern w:val="0"/>
          <w:sz w:val="24"/>
          <w:szCs w:val="24"/>
          <w:lang w:val="en-US" w:eastAsia="zh-CN" w:bidi="ar"/>
        </w:rPr>
      </w:pPr>
    </w:p>
    <w:p>
      <w:pPr>
        <w:widowControl w:val="0"/>
        <w:numPr>
          <w:numId w:val="0"/>
        </w:numPr>
        <w:spacing w:before="120" w:after="120"/>
        <w:jc w:val="center"/>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drawing>
          <wp:inline distT="0" distB="0" distL="114300" distR="114300">
            <wp:extent cx="4017010" cy="3186430"/>
            <wp:effectExtent l="0" t="0" r="6350" b="13970"/>
            <wp:docPr id="4" name="图片 4" descr="f21b56eee66741275f15c1aec18d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21b56eee66741275f15c1aec18d297"/>
                    <pic:cNvPicPr>
                      <a:picLocks noChangeAspect="1"/>
                    </pic:cNvPicPr>
                  </pic:nvPicPr>
                  <pic:blipFill>
                    <a:blip r:embed="rId8"/>
                    <a:srcRect l="23700" t="9034" b="10304"/>
                    <a:stretch>
                      <a:fillRect/>
                    </a:stretch>
                  </pic:blipFill>
                  <pic:spPr>
                    <a:xfrm>
                      <a:off x="0" y="0"/>
                      <a:ext cx="4017010" cy="3186430"/>
                    </a:xfrm>
                    <a:prstGeom prst="rect">
                      <a:avLst/>
                    </a:prstGeom>
                  </pic:spPr>
                </pic:pic>
              </a:graphicData>
            </a:graphic>
          </wp:inline>
        </w:drawing>
      </w:r>
    </w:p>
    <w:p>
      <w:pPr>
        <w:widowControl w:val="0"/>
        <w:numPr>
          <w:numId w:val="0"/>
        </w:numPr>
        <w:spacing w:before="120" w:after="120"/>
        <w:jc w:val="both"/>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用相同的方法测量两级放大电路，结果如图所示：</w:t>
      </w:r>
    </w:p>
    <w:p>
      <w:pPr>
        <w:widowControl w:val="0"/>
        <w:numPr>
          <w:numId w:val="0"/>
        </w:numPr>
        <w:spacing w:before="120" w:after="120"/>
        <w:jc w:val="center"/>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drawing>
          <wp:inline distT="0" distB="0" distL="114300" distR="114300">
            <wp:extent cx="4123690" cy="2952115"/>
            <wp:effectExtent l="0" t="0" r="6350" b="4445"/>
            <wp:docPr id="5" name="图片 5" descr="709617d5c34778f11612219e1eee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09617d5c34778f11612219e1eee859"/>
                    <pic:cNvPicPr>
                      <a:picLocks noChangeAspect="1"/>
                    </pic:cNvPicPr>
                  </pic:nvPicPr>
                  <pic:blipFill>
                    <a:blip r:embed="rId9"/>
                    <a:srcRect l="8178" r="422" b="12811"/>
                    <a:stretch>
                      <a:fillRect/>
                    </a:stretch>
                  </pic:blipFill>
                  <pic:spPr>
                    <a:xfrm>
                      <a:off x="0" y="0"/>
                      <a:ext cx="4123690" cy="2952115"/>
                    </a:xfrm>
                    <a:prstGeom prst="rect">
                      <a:avLst/>
                    </a:prstGeom>
                  </pic:spPr>
                </pic:pic>
              </a:graphicData>
            </a:graphic>
          </wp:inline>
        </w:drawing>
      </w:r>
    </w:p>
    <w:p>
      <w:pPr>
        <w:widowControl w:val="0"/>
        <w:numPr>
          <w:numId w:val="0"/>
        </w:numPr>
        <w:spacing w:before="120" w:after="120"/>
        <w:jc w:val="both"/>
        <w:rPr>
          <w:rFonts w:hint="default" w:ascii="宋体" w:hAnsi="宋体" w:cs="宋体"/>
          <w:color w:val="000000"/>
          <w:kern w:val="0"/>
          <w:sz w:val="24"/>
          <w:szCs w:val="24"/>
          <w:lang w:val="en-US" w:eastAsia="zh-CN" w:bidi="ar"/>
        </w:rPr>
      </w:pPr>
      <w:r>
        <w:rPr>
          <w:rFonts w:hint="eastAsia"/>
          <w:sz w:val="24"/>
          <w:szCs w:val="24"/>
          <w:lang w:val="en-US" w:eastAsia="zh-CN"/>
        </w:rPr>
        <w:t>2.</w:t>
      </w:r>
      <w:r>
        <w:rPr>
          <w:rFonts w:hint="eastAsia"/>
          <w:sz w:val="24"/>
          <w:szCs w:val="24"/>
        </w:rPr>
        <w:t>放大器增益与频率特性测量</w:t>
      </w:r>
    </w:p>
    <w:p>
      <w:pPr>
        <w:widowControl w:val="0"/>
        <w:numPr>
          <w:numId w:val="0"/>
        </w:numPr>
        <w:spacing w:before="120" w:after="120"/>
        <w:ind w:firstLine="480" w:firstLineChars="200"/>
        <w:jc w:val="both"/>
        <w:rPr>
          <w:rFonts w:hint="default" w:ascii="宋体" w:hAnsi="宋体" w:cs="宋体"/>
          <w:color w:val="000000"/>
          <w:kern w:val="0"/>
          <w:sz w:val="24"/>
          <w:szCs w:val="24"/>
          <w:lang w:val="en-US" w:eastAsia="zh-CN" w:bidi="ar"/>
        </w:rPr>
      </w:pPr>
      <w:r>
        <w:rPr>
          <w:rFonts w:hint="eastAsia"/>
          <w:sz w:val="24"/>
          <w:szCs w:val="24"/>
        </w:rPr>
        <w:t>电路连接。频谱分析仪架设好；将频谱分析仪的TG 输出端与RF 输入端分别藉由一个母对母的SMA-to-SMA 转接头接上一条RF Cable。</w:t>
      </w:r>
    </w:p>
    <w:p>
      <w:pPr>
        <w:widowControl w:val="0"/>
        <w:numPr>
          <w:numId w:val="0"/>
        </w:numPr>
        <w:spacing w:before="120" w:after="120"/>
        <w:ind w:firstLine="480" w:firstLineChars="200"/>
        <w:jc w:val="both"/>
        <w:rPr>
          <w:rFonts w:hint="default" w:ascii="宋体" w:hAnsi="宋体" w:cs="宋体"/>
          <w:color w:val="000000"/>
          <w:kern w:val="0"/>
          <w:sz w:val="24"/>
          <w:szCs w:val="24"/>
          <w:lang w:val="en-US" w:eastAsia="zh-CN" w:bidi="ar"/>
        </w:rPr>
      </w:pPr>
      <w:r>
        <w:rPr>
          <w:rFonts w:hint="eastAsia"/>
          <w:sz w:val="24"/>
          <w:szCs w:val="24"/>
        </w:rPr>
        <w:t>仪器测量参数的设置。将频谱分析仪之中心频率、量测范围、与分辨率频宽(RBW)分别设定为1.95GHz、100MHz、3 kHz。</w:t>
      </w:r>
    </w:p>
    <w:p>
      <w:pPr>
        <w:widowControl w:val="0"/>
        <w:numPr>
          <w:numId w:val="0"/>
        </w:numPr>
        <w:spacing w:before="120" w:after="120"/>
        <w:ind w:firstLine="480" w:firstLineChars="200"/>
        <w:jc w:val="both"/>
        <w:rPr>
          <w:rFonts w:hint="default" w:ascii="宋体" w:hAnsi="宋体" w:cs="宋体"/>
          <w:color w:val="000000"/>
          <w:kern w:val="0"/>
          <w:sz w:val="24"/>
          <w:szCs w:val="24"/>
          <w:lang w:val="en-US" w:eastAsia="zh-CN" w:bidi="ar"/>
        </w:rPr>
      </w:pPr>
      <w:r>
        <w:rPr>
          <w:rFonts w:hint="eastAsia"/>
          <w:sz w:val="24"/>
          <w:szCs w:val="24"/>
        </w:rPr>
        <w:t>频谱分析仪的校准。将连接于TG 的RF Cable 与连接于RF 输入埠的RF Cable 串接起来，然后依下图所示之按键步骤启动频谱分析之TG (Tracking Generator) 功能，校正频谱分析仪。</w:t>
      </w:r>
    </w:p>
    <w:p>
      <w:pPr>
        <w:widowControl w:val="0"/>
        <w:numPr>
          <w:numId w:val="0"/>
        </w:numPr>
        <w:spacing w:before="120" w:after="120"/>
        <w:jc w:val="center"/>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drawing>
          <wp:inline distT="0" distB="0" distL="114300" distR="114300">
            <wp:extent cx="3565525" cy="1642745"/>
            <wp:effectExtent l="0" t="0" r="635" b="3175"/>
            <wp:docPr id="6" name="图片 6" descr="38064d9f3dcdac550b2e5cc1e428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8064d9f3dcdac550b2e5cc1e428dad"/>
                    <pic:cNvPicPr>
                      <a:picLocks noChangeAspect="1"/>
                    </pic:cNvPicPr>
                  </pic:nvPicPr>
                  <pic:blipFill>
                    <a:blip r:embed="rId10"/>
                    <a:stretch>
                      <a:fillRect/>
                    </a:stretch>
                  </pic:blipFill>
                  <pic:spPr>
                    <a:xfrm>
                      <a:off x="0" y="0"/>
                      <a:ext cx="3565525" cy="1642745"/>
                    </a:xfrm>
                    <a:prstGeom prst="rect">
                      <a:avLst/>
                    </a:prstGeom>
                  </pic:spPr>
                </pic:pic>
              </a:graphicData>
            </a:graphic>
          </wp:inline>
        </w:drawing>
      </w:r>
    </w:p>
    <w:p>
      <w:pPr>
        <w:widowControl w:val="0"/>
        <w:numPr>
          <w:numId w:val="0"/>
        </w:numPr>
        <w:spacing w:before="120" w:after="120"/>
        <w:ind w:firstLine="480" w:firstLineChars="200"/>
        <w:jc w:val="both"/>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校准的结果如下：</w:t>
      </w:r>
    </w:p>
    <w:p>
      <w:pPr>
        <w:widowControl w:val="0"/>
        <w:numPr>
          <w:numId w:val="0"/>
        </w:numPr>
        <w:spacing w:before="120" w:after="12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drawing>
          <wp:inline distT="0" distB="0" distL="114300" distR="114300">
            <wp:extent cx="3748405" cy="2817495"/>
            <wp:effectExtent l="0" t="0" r="635" b="1905"/>
            <wp:docPr id="7" name="图片 7" descr="be3d65d3d4bad79693411561fd6c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e3d65d3d4bad79693411561fd6c199"/>
                    <pic:cNvPicPr>
                      <a:picLocks noChangeAspect="1"/>
                    </pic:cNvPicPr>
                  </pic:nvPicPr>
                  <pic:blipFill>
                    <a:blip r:embed="rId11"/>
                    <a:srcRect l="14570" t="12570" r="22699" b="24594"/>
                    <a:stretch>
                      <a:fillRect/>
                    </a:stretch>
                  </pic:blipFill>
                  <pic:spPr>
                    <a:xfrm>
                      <a:off x="0" y="0"/>
                      <a:ext cx="3748405" cy="2817495"/>
                    </a:xfrm>
                    <a:prstGeom prst="rect">
                      <a:avLst/>
                    </a:prstGeom>
                  </pic:spPr>
                </pic:pic>
              </a:graphicData>
            </a:graphic>
          </wp:inline>
        </w:drawing>
      </w:r>
    </w:p>
    <w:p>
      <w:pPr>
        <w:widowControl w:val="0"/>
        <w:numPr>
          <w:numId w:val="0"/>
        </w:numPr>
        <w:ind w:firstLine="480" w:firstLineChars="200"/>
        <w:jc w:val="both"/>
        <w:rPr>
          <w:rFonts w:hint="eastAsia" w:ascii="宋体" w:hAnsi="宋体" w:cs="宋体"/>
          <w:color w:val="000000"/>
          <w:kern w:val="0"/>
          <w:sz w:val="24"/>
          <w:szCs w:val="24"/>
          <w:lang w:val="en-US" w:eastAsia="zh-CN" w:bidi="ar"/>
        </w:rPr>
      </w:pPr>
      <w:r>
        <w:rPr>
          <w:rFonts w:hint="eastAsia"/>
          <w:sz w:val="24"/>
          <w:szCs w:val="24"/>
        </w:rPr>
        <w:t>测量。将连接于TG 的RF Cable 接于被测电路的输入端， 而连接于RF 输入端的RF Cable 接于被测电路的输出端来测量放大器的增益和频率特性曲线，记录图形，判读对应1.92GHz、1.95GHz、1.98GHz频率点的增益。</w:t>
      </w:r>
    </w:p>
    <w:p>
      <w:pPr>
        <w:widowControl w:val="0"/>
        <w:numPr>
          <w:numId w:val="0"/>
        </w:numPr>
        <w:spacing w:before="120" w:after="12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drawing>
          <wp:inline distT="0" distB="0" distL="114300" distR="114300">
            <wp:extent cx="3521710" cy="2477135"/>
            <wp:effectExtent l="0" t="0" r="13970" b="6985"/>
            <wp:docPr id="8" name="图片 8" descr="d4d42b8fcc3ea0edab6dd22788fb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4d42b8fcc3ea0edab6dd22788fb322"/>
                    <pic:cNvPicPr>
                      <a:picLocks noChangeAspect="1"/>
                    </pic:cNvPicPr>
                  </pic:nvPicPr>
                  <pic:blipFill>
                    <a:blip r:embed="rId12"/>
                    <a:srcRect l="10674" t="2572" r="7888" b="21090"/>
                    <a:stretch>
                      <a:fillRect/>
                    </a:stretch>
                  </pic:blipFill>
                  <pic:spPr>
                    <a:xfrm>
                      <a:off x="0" y="0"/>
                      <a:ext cx="3521710" cy="2477135"/>
                    </a:xfrm>
                    <a:prstGeom prst="rect">
                      <a:avLst/>
                    </a:prstGeom>
                  </pic:spPr>
                </pic:pic>
              </a:graphicData>
            </a:graphic>
          </wp:inline>
        </w:drawing>
      </w:r>
    </w:p>
    <w:p>
      <w:pPr>
        <w:widowControl w:val="0"/>
        <w:numPr>
          <w:numId w:val="0"/>
        </w:numPr>
        <w:spacing w:before="120" w:after="120"/>
        <w:jc w:val="both"/>
        <w:rPr>
          <w:rFonts w:hint="eastAsia" w:ascii="宋体" w:hAnsi="宋体" w:cs="宋体"/>
          <w:color w:val="000000"/>
          <w:kern w:val="0"/>
          <w:sz w:val="24"/>
          <w:szCs w:val="24"/>
          <w:lang w:val="en-US" w:eastAsia="zh-CN" w:bidi="ar"/>
        </w:rPr>
      </w:pPr>
      <w:r>
        <w:rPr>
          <w:rFonts w:hint="eastAsia"/>
          <w:sz w:val="24"/>
          <w:szCs w:val="24"/>
        </w:rPr>
        <w:t>用同样方法测量两级放大器</w:t>
      </w:r>
    </w:p>
    <w:p>
      <w:pPr>
        <w:widowControl w:val="0"/>
        <w:numPr>
          <w:numId w:val="0"/>
        </w:numPr>
        <w:spacing w:before="120" w:after="120"/>
        <w:jc w:val="center"/>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drawing>
          <wp:inline distT="0" distB="0" distL="114300" distR="114300">
            <wp:extent cx="4082415" cy="3197860"/>
            <wp:effectExtent l="0" t="0" r="1905" b="2540"/>
            <wp:docPr id="9" name="图片 9" descr="835dedc01bc23b8c18adc52a4b47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35dedc01bc23b8c18adc52a4b47331"/>
                    <pic:cNvPicPr>
                      <a:picLocks noChangeAspect="1"/>
                    </pic:cNvPicPr>
                  </pic:nvPicPr>
                  <pic:blipFill>
                    <a:blip r:embed="rId13"/>
                    <a:srcRect l="12459" t="10947" r="20359" b="18920"/>
                    <a:stretch>
                      <a:fillRect/>
                    </a:stretch>
                  </pic:blipFill>
                  <pic:spPr>
                    <a:xfrm>
                      <a:off x="0" y="0"/>
                      <a:ext cx="4082415" cy="3197860"/>
                    </a:xfrm>
                    <a:prstGeom prst="rect">
                      <a:avLst/>
                    </a:prstGeom>
                  </pic:spPr>
                </pic:pic>
              </a:graphicData>
            </a:graphic>
          </wp:inline>
        </w:drawing>
      </w:r>
    </w:p>
    <w:p>
      <w:pPr>
        <w:numPr>
          <w:ilvl w:val="0"/>
          <w:numId w:val="1"/>
        </w:numPr>
        <w:jc w:val="both"/>
        <w:rPr>
          <w:rFonts w:hint="default" w:ascii="宋体" w:hAnsi="宋体" w:cs="宋体"/>
          <w:b/>
          <w:bCs/>
          <w:color w:val="000000"/>
          <w:kern w:val="0"/>
          <w:sz w:val="24"/>
          <w:szCs w:val="24"/>
          <w:lang w:val="en-US" w:eastAsia="zh-CN" w:bidi="ar"/>
        </w:rPr>
      </w:pPr>
      <w:r>
        <w:rPr>
          <w:rFonts w:hint="default" w:ascii="宋体" w:hAnsi="宋体" w:cs="宋体"/>
          <w:b/>
          <w:bCs/>
          <w:color w:val="000000"/>
          <w:kern w:val="0"/>
          <w:sz w:val="24"/>
          <w:szCs w:val="24"/>
          <w:lang w:val="en-US" w:eastAsia="zh-CN" w:bidi="ar"/>
        </w:rPr>
        <w:t>结果分析</w:t>
      </w:r>
    </w:p>
    <w:p>
      <w:pPr>
        <w:widowControl w:val="0"/>
        <w:numPr>
          <w:numId w:val="0"/>
        </w:numPr>
        <w:spacing w:before="120" w:after="120"/>
        <w:ind w:firstLine="480" w:firstLineChars="200"/>
        <w:jc w:val="both"/>
        <w:rPr>
          <w:rFonts w:hint="eastAsia"/>
          <w:sz w:val="24"/>
          <w:szCs w:val="24"/>
          <w:lang w:val="en-US" w:eastAsia="zh-CN"/>
        </w:rPr>
      </w:pPr>
      <w:r>
        <w:rPr>
          <w:rFonts w:hint="eastAsia" w:ascii="宋体" w:hAnsi="宋体" w:cs="宋体"/>
          <w:color w:val="000000"/>
          <w:kern w:val="0"/>
          <w:sz w:val="24"/>
          <w:szCs w:val="24"/>
          <w:lang w:val="en-US" w:eastAsia="zh-CN" w:bidi="ar"/>
        </w:rPr>
        <w:t>在测量反射系数时，读出</w:t>
      </w:r>
      <w:r>
        <w:rPr>
          <w:rFonts w:hint="eastAsia"/>
          <w:sz w:val="24"/>
          <w:szCs w:val="24"/>
        </w:rPr>
        <w:t>1.92GHz、1.95GHz、1.98GHz频率点的反射损耗</w:t>
      </w:r>
      <w:r>
        <w:rPr>
          <w:rFonts w:hint="eastAsia"/>
          <w:sz w:val="24"/>
          <w:szCs w:val="24"/>
          <w:lang w:val="en-US" w:eastAsia="zh-CN"/>
        </w:rPr>
        <w:t>分别为-9dB，-5dB，-1dB。由于加入了50Ω的负载形成阻抗匹配，因此反射系数大幅下降。</w:t>
      </w:r>
    </w:p>
    <w:p>
      <w:pPr>
        <w:widowControl w:val="0"/>
        <w:numPr>
          <w:numId w:val="0"/>
        </w:numPr>
        <w:spacing w:before="120" w:after="120"/>
        <w:ind w:firstLine="480" w:firstLineChars="200"/>
        <w:jc w:val="both"/>
        <w:rPr>
          <w:rFonts w:hint="default" w:ascii="宋体" w:hAnsi="宋体" w:cs="宋体"/>
          <w:color w:val="000000"/>
          <w:kern w:val="0"/>
          <w:sz w:val="24"/>
          <w:szCs w:val="24"/>
          <w:lang w:val="en-US" w:eastAsia="zh-CN" w:bidi="ar"/>
        </w:rPr>
      </w:pPr>
      <w:r>
        <w:rPr>
          <w:rFonts w:hint="eastAsia"/>
          <w:sz w:val="24"/>
          <w:szCs w:val="24"/>
          <w:lang w:val="en-US" w:eastAsia="zh-CN"/>
        </w:rPr>
        <w:t>在测量放大增益时，</w:t>
      </w:r>
      <w:r>
        <w:rPr>
          <w:rFonts w:hint="eastAsia" w:ascii="宋体" w:hAnsi="宋体" w:cs="宋体"/>
          <w:color w:val="000000"/>
          <w:kern w:val="0"/>
          <w:sz w:val="24"/>
          <w:szCs w:val="24"/>
          <w:lang w:val="en-US" w:eastAsia="zh-CN" w:bidi="ar"/>
        </w:rPr>
        <w:t>读出</w:t>
      </w:r>
      <w:r>
        <w:rPr>
          <w:rFonts w:hint="eastAsia"/>
          <w:sz w:val="24"/>
          <w:szCs w:val="24"/>
        </w:rPr>
        <w:t>1.92GHz、1.95GHz、1.98GHz频率点</w:t>
      </w:r>
      <w:r>
        <w:rPr>
          <w:rFonts w:hint="eastAsia"/>
          <w:sz w:val="24"/>
          <w:szCs w:val="24"/>
          <w:lang w:val="en-US" w:eastAsia="zh-CN"/>
        </w:rPr>
        <w:t>一级放大电路的增益分别为-11dB，-12dB，-13dB。两级放大电路的增益分别为5dB，4dB，3dB。由于一级放大电路的增益约为10~15bB左右，结果与校准结果相比较较为准确。</w:t>
      </w:r>
    </w:p>
    <w:p>
      <w:pPr>
        <w:widowControl w:val="0"/>
        <w:numPr>
          <w:numId w:val="0"/>
        </w:numPr>
        <w:spacing w:before="120" w:after="120"/>
        <w:jc w:val="both"/>
        <w:rPr>
          <w:rFonts w:hint="default" w:ascii="宋体" w:hAnsi="宋体" w:cs="宋体"/>
          <w:color w:val="000000"/>
          <w:kern w:val="0"/>
          <w:sz w:val="24"/>
          <w:szCs w:val="24"/>
          <w:lang w:val="en-US" w:eastAsia="zh-CN" w:bidi="ar"/>
        </w:rPr>
      </w:pPr>
    </w:p>
    <w:p>
      <w:pPr>
        <w:numPr>
          <w:ilvl w:val="0"/>
          <w:numId w:val="1"/>
        </w:numPr>
        <w:jc w:val="both"/>
        <w:rPr>
          <w:rFonts w:hint="default" w:ascii="宋体" w:hAnsi="宋体" w:cs="宋体"/>
          <w:b/>
          <w:bCs/>
          <w:color w:val="000000"/>
          <w:kern w:val="0"/>
          <w:sz w:val="24"/>
          <w:szCs w:val="24"/>
          <w:lang w:val="en-US" w:eastAsia="zh-CN" w:bidi="ar"/>
        </w:rPr>
      </w:pPr>
      <w:r>
        <w:rPr>
          <w:rFonts w:hint="default" w:ascii="宋体" w:hAnsi="宋体" w:cs="宋体"/>
          <w:b/>
          <w:bCs/>
          <w:color w:val="000000"/>
          <w:kern w:val="0"/>
          <w:sz w:val="24"/>
          <w:szCs w:val="24"/>
          <w:lang w:val="en-US" w:eastAsia="zh-CN" w:bidi="ar"/>
        </w:rPr>
        <w:t>思考题</w:t>
      </w:r>
    </w:p>
    <w:p>
      <w:pPr>
        <w:numPr>
          <w:ilvl w:val="0"/>
          <w:numId w:val="2"/>
        </w:numPr>
        <w:jc w:val="both"/>
        <w:rPr>
          <w:rFonts w:hint="eastAsia" w:ascii="宋体" w:hAnsi="宋体" w:cs="宋体"/>
          <w:color w:val="000000"/>
          <w:kern w:val="0"/>
          <w:sz w:val="24"/>
          <w:szCs w:val="24"/>
          <w:lang w:val="en-US" w:eastAsia="zh-CN" w:bidi="ar"/>
        </w:rPr>
      </w:pPr>
      <w:r>
        <w:rPr>
          <w:rFonts w:hint="eastAsia" w:ascii="宋体" w:hAnsi="宋体" w:cs="宋体"/>
          <w:color w:val="auto"/>
          <w:kern w:val="0"/>
          <w:sz w:val="24"/>
          <w:szCs w:val="24"/>
          <w:lang w:val="en-US" w:eastAsia="zh-CN" w:bidi="ar"/>
        </w:rPr>
        <w:t>请说明频谱分析仪的Amplititude下的“ref level”与TG下的“7 TG level”以及TG下的“ref level”有何联系和区别？</w:t>
      </w:r>
    </w:p>
    <w:p>
      <w:pPr>
        <w:ind w:firstLine="480" w:firstLineChars="200"/>
        <w:rPr>
          <w:rFonts w:hint="default" w:ascii="Times New Roman" w:hAnsi="Times New Roman" w:eastAsia="宋体" w:cs="Times New Roman"/>
          <w:b w:val="0"/>
          <w:bCs w:val="0"/>
          <w:i w:val="0"/>
          <w:iCs w:val="0"/>
          <w:caps w:val="0"/>
          <w:color w:val="auto"/>
          <w:spacing w:val="0"/>
          <w:sz w:val="24"/>
          <w:szCs w:val="24"/>
          <w:u w:val="none"/>
          <w:shd w:val="clear" w:fill="FFFFFF"/>
        </w:rPr>
      </w:pPr>
      <w:r>
        <w:rPr>
          <w:rFonts w:hint="default" w:ascii="Times New Roman" w:hAnsi="Times New Roman" w:eastAsia="宋体" w:cs="Times New Roman"/>
          <w:b w:val="0"/>
          <w:bCs w:val="0"/>
          <w:i w:val="0"/>
          <w:iCs w:val="0"/>
          <w:caps w:val="0"/>
          <w:color w:val="auto"/>
          <w:spacing w:val="0"/>
          <w:sz w:val="24"/>
          <w:szCs w:val="24"/>
          <w:u w:val="none"/>
          <w:shd w:val="clear" w:fill="FFFFFF"/>
        </w:rPr>
        <w:t>Amplititude下的ref level用来设定频谱仪可以显示的最大幅值，即将该电平搬移至频谱仪显示屏最上端（实验一为-10</w:t>
      </w:r>
      <w:r>
        <w:rPr>
          <w:rFonts w:hint="eastAsia" w:cs="Times New Roman"/>
          <w:b w:val="0"/>
          <w:bCs w:val="0"/>
          <w:i w:val="0"/>
          <w:iCs w:val="0"/>
          <w:caps w:val="0"/>
          <w:color w:val="auto"/>
          <w:spacing w:val="0"/>
          <w:sz w:val="24"/>
          <w:szCs w:val="24"/>
          <w:u w:val="none"/>
          <w:shd w:val="clear" w:fill="FFFFFF"/>
          <w:lang w:val="en-US" w:eastAsia="zh-CN"/>
        </w:rPr>
        <w:t>dB</w:t>
      </w:r>
      <w:r>
        <w:rPr>
          <w:rFonts w:hint="default" w:ascii="Times New Roman" w:hAnsi="Times New Roman" w:eastAsia="宋体" w:cs="Times New Roman"/>
          <w:b w:val="0"/>
          <w:bCs w:val="0"/>
          <w:i w:val="0"/>
          <w:iCs w:val="0"/>
          <w:caps w:val="0"/>
          <w:color w:val="auto"/>
          <w:spacing w:val="0"/>
          <w:sz w:val="24"/>
          <w:szCs w:val="24"/>
          <w:u w:val="none"/>
          <w:shd w:val="clear" w:fill="FFFFFF"/>
        </w:rPr>
        <w:t>，实验二为</w:t>
      </w:r>
      <w:r>
        <w:rPr>
          <w:rFonts w:hint="eastAsia" w:cs="Times New Roman"/>
          <w:b w:val="0"/>
          <w:bCs w:val="0"/>
          <w:i w:val="0"/>
          <w:iCs w:val="0"/>
          <w:caps w:val="0"/>
          <w:color w:val="auto"/>
          <w:spacing w:val="0"/>
          <w:sz w:val="24"/>
          <w:szCs w:val="24"/>
          <w:u w:val="none"/>
          <w:shd w:val="clear" w:fill="FFFFFF"/>
          <w:lang w:val="en-US" w:eastAsia="zh-CN"/>
        </w:rPr>
        <w:t>20dB</w:t>
      </w:r>
      <w:r>
        <w:rPr>
          <w:rFonts w:hint="default" w:ascii="Times New Roman" w:hAnsi="Times New Roman" w:eastAsia="宋体" w:cs="Times New Roman"/>
          <w:b w:val="0"/>
          <w:bCs w:val="0"/>
          <w:i w:val="0"/>
          <w:iCs w:val="0"/>
          <w:caps w:val="0"/>
          <w:color w:val="auto"/>
          <w:spacing w:val="0"/>
          <w:sz w:val="24"/>
          <w:szCs w:val="24"/>
          <w:u w:val="none"/>
          <w:shd w:val="clear" w:fill="FFFFFF"/>
        </w:rPr>
        <w:t>），TG下的TG level用来设定测量的参考基准线的大小（两个实验均为-20</w:t>
      </w:r>
      <w:r>
        <w:rPr>
          <w:rFonts w:hint="eastAsia" w:cs="Times New Roman"/>
          <w:b w:val="0"/>
          <w:bCs w:val="0"/>
          <w:i w:val="0"/>
          <w:iCs w:val="0"/>
          <w:caps w:val="0"/>
          <w:color w:val="auto"/>
          <w:spacing w:val="0"/>
          <w:sz w:val="24"/>
          <w:szCs w:val="24"/>
          <w:u w:val="none"/>
          <w:shd w:val="clear" w:fill="FFFFFF"/>
          <w:lang w:val="en-US" w:eastAsia="zh-CN"/>
        </w:rPr>
        <w:t>dB</w:t>
      </w:r>
      <w:r>
        <w:rPr>
          <w:rFonts w:hint="default" w:ascii="Times New Roman" w:hAnsi="Times New Roman" w:eastAsia="宋体" w:cs="Times New Roman"/>
          <w:b w:val="0"/>
          <w:bCs w:val="0"/>
          <w:i w:val="0"/>
          <w:iCs w:val="0"/>
          <w:caps w:val="0"/>
          <w:color w:val="auto"/>
          <w:spacing w:val="0"/>
          <w:sz w:val="24"/>
          <w:szCs w:val="24"/>
          <w:u w:val="none"/>
          <w:shd w:val="clear" w:fill="FFFFFF"/>
        </w:rPr>
        <w:t>），TG下的“ref level”可以将指定准位额处的增减值正规化。</w:t>
      </w:r>
    </w:p>
    <w:p>
      <w:pPr>
        <w:ind w:firstLine="480" w:firstLineChars="200"/>
        <w:rPr>
          <w:rFonts w:hint="eastAsia" w:ascii="Times New Roman" w:hAnsi="Times New Roman" w:eastAsia="宋体" w:cs="Times New Roman"/>
          <w:b w:val="0"/>
          <w:bCs w:val="0"/>
          <w:i w:val="0"/>
          <w:iCs w:val="0"/>
          <w:caps w:val="0"/>
          <w:color w:val="auto"/>
          <w:spacing w:val="0"/>
          <w:sz w:val="24"/>
          <w:szCs w:val="24"/>
          <w:u w:val="none"/>
          <w:shd w:val="clear" w:fill="FFFFFF"/>
          <w:lang w:val="en-US" w:eastAsia="zh-CN"/>
        </w:rPr>
      </w:pPr>
    </w:p>
    <w:p>
      <w:pPr>
        <w:widowControl w:val="0"/>
        <w:numPr>
          <w:numId w:val="0"/>
        </w:numPr>
        <w:spacing w:before="120" w:after="120"/>
        <w:jc w:val="both"/>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2.</w:t>
      </w:r>
      <w:r>
        <w:rPr>
          <w:rFonts w:hint="eastAsia"/>
          <w:sz w:val="24"/>
          <w:szCs w:val="24"/>
        </w:rPr>
        <w:t>请说明频谱分析仪的“RBW”与”VBW”有何区别？</w:t>
      </w:r>
    </w:p>
    <w:p>
      <w:pPr>
        <w:widowControl w:val="0"/>
        <w:numPr>
          <w:numId w:val="0"/>
        </w:numPr>
        <w:spacing w:before="120" w:after="120"/>
        <w:ind w:firstLine="480" w:firstLineChars="200"/>
        <w:jc w:val="both"/>
        <w:rPr>
          <w:rFonts w:hint="default" w:ascii="宋体" w:hAnsi="宋体" w:eastAsia="宋体" w:cs="宋体"/>
          <w:color w:val="auto"/>
          <w:kern w:val="0"/>
          <w:sz w:val="24"/>
          <w:szCs w:val="24"/>
          <w:lang w:val="en-US" w:eastAsia="zh-CN" w:bidi="ar"/>
        </w:rPr>
      </w:pPr>
      <w:r>
        <w:rPr>
          <w:rFonts w:hint="eastAsia" w:ascii="宋体" w:hAnsi="宋体" w:cs="宋体"/>
          <w:color w:val="000000"/>
          <w:kern w:val="0"/>
          <w:sz w:val="24"/>
          <w:szCs w:val="24"/>
          <w:lang w:val="en-US" w:eastAsia="zh-CN" w:bidi="ar"/>
        </w:rPr>
        <w:t>RBW是分析带宽，</w:t>
      </w:r>
      <w:r>
        <w:rPr>
          <w:rFonts w:hint="eastAsia" w:ascii="宋体" w:hAnsi="宋体" w:eastAsia="宋体" w:cs="宋体"/>
          <w:i w:val="0"/>
          <w:iCs w:val="0"/>
          <w:caps w:val="0"/>
          <w:color w:val="auto"/>
          <w:spacing w:val="0"/>
          <w:sz w:val="24"/>
          <w:szCs w:val="24"/>
          <w:shd w:val="clear" w:fill="FFFFFF"/>
        </w:rPr>
        <w:t>代表两个不同频率的信号能够被清楚的分辨出来的最低频宽差异，两个不同频率的信号频宽如低于频谱分析仪的RBW，此时该两信号将重叠，难以分辨。</w:t>
      </w:r>
      <w:r>
        <w:rPr>
          <w:rFonts w:hint="eastAsia" w:ascii="宋体" w:hAnsi="宋体" w:cs="宋体"/>
          <w:i w:val="0"/>
          <w:iCs w:val="0"/>
          <w:caps w:val="0"/>
          <w:color w:val="auto"/>
          <w:spacing w:val="0"/>
          <w:sz w:val="24"/>
          <w:szCs w:val="24"/>
          <w:shd w:val="clear" w:fill="FFFFFF"/>
          <w:lang w:val="en-US" w:eastAsia="zh-CN"/>
        </w:rPr>
        <w:t>VBW是显示带宽。它描述的是在测量时所能看到的频带范围。VBW越大，代表看到的带宽越宽，同时曲线也更加粗糙。VBW减小时，代表显示的带宽较小，曲线更加准确。</w:t>
      </w:r>
    </w:p>
    <w:p>
      <w:pPr>
        <w:widowControl w:val="0"/>
        <w:numPr>
          <w:numId w:val="0"/>
        </w:numPr>
        <w:spacing w:before="120" w:after="120"/>
        <w:jc w:val="both"/>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3.放大器输入端的返回损耗的测量有何意义？</w:t>
      </w:r>
    </w:p>
    <w:p>
      <w:pPr>
        <w:widowControl w:val="0"/>
        <w:numPr>
          <w:numId w:val="0"/>
        </w:numPr>
        <w:spacing w:before="120" w:after="120"/>
        <w:ind w:firstLine="480" w:firstLineChars="200"/>
        <w:jc w:val="both"/>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由于高频部分能量是发射出去的，如果终端阻抗不匹配，会出现发射的功率全部反射回来的情况，这是我们不希望看到的。通过测量返回损耗就可以了解只有当阻抗匹配时发射的效率才比较高，能量最大程度被接收。最差的情况会造成全部的能量无法被接收。</w:t>
      </w:r>
    </w:p>
    <w:p>
      <w:pPr>
        <w:widowControl w:val="0"/>
        <w:numPr>
          <w:numId w:val="0"/>
        </w:numPr>
        <w:spacing w:before="120" w:after="120"/>
        <w:jc w:val="both"/>
        <w:rPr>
          <w:rFonts w:hint="eastAsia" w:ascii="宋体" w:hAnsi="宋体" w:cs="宋体"/>
          <w:color w:val="000000"/>
          <w:kern w:val="0"/>
          <w:sz w:val="24"/>
          <w:szCs w:val="24"/>
          <w:lang w:val="en-US" w:eastAsia="zh-CN" w:bidi="ar"/>
        </w:rPr>
      </w:pPr>
    </w:p>
    <w:p>
      <w:pPr>
        <w:widowControl w:val="0"/>
        <w:numPr>
          <w:numId w:val="0"/>
        </w:numPr>
        <w:spacing w:before="120" w:after="120"/>
        <w:jc w:val="both"/>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4.</w:t>
      </w:r>
      <w:r>
        <w:rPr>
          <w:rFonts w:hint="eastAsia"/>
          <w:sz w:val="24"/>
          <w:szCs w:val="24"/>
        </w:rPr>
        <w:t>放大器各频率点的增益是否相同？频带宽度是如何定义的？</w:t>
      </w:r>
    </w:p>
    <w:p>
      <w:pPr>
        <w:widowControl w:val="0"/>
        <w:numPr>
          <w:numId w:val="0"/>
        </w:numPr>
        <w:spacing w:before="120" w:after="120"/>
        <w:ind w:firstLine="480" w:firstLineChars="200"/>
        <w:jc w:val="both"/>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各频点增益不完全相同。频带宽度是指信号所占据的频带最高频率和最低频率之差。实际中不存在绝对锐截至且存在噪声，因此定义信号频谱的幅度下降至10%时的高低频率之差为信号带宽。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青云简">
    <w:panose1 w:val="00020600040101010101"/>
    <w:charset w:val="86"/>
    <w:family w:val="auto"/>
    <w:pitch w:val="default"/>
    <w:sig w:usb0="8000001F" w:usb1="1A0F781A" w:usb2="00000016" w:usb3="00000000" w:csb0="0004009F" w:csb1="DFD70000"/>
  </w:font>
  <w:font w:name="华文隶书">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2B267"/>
    <w:multiLevelType w:val="singleLevel"/>
    <w:tmpl w:val="96E2B267"/>
    <w:lvl w:ilvl="0" w:tentative="0">
      <w:start w:val="1"/>
      <w:numFmt w:val="chineseCounting"/>
      <w:suff w:val="nothing"/>
      <w:lvlText w:val="%1、"/>
      <w:lvlJc w:val="left"/>
      <w:rPr>
        <w:rFonts w:hint="eastAsia"/>
      </w:rPr>
    </w:lvl>
  </w:abstractNum>
  <w:abstractNum w:abstractNumId="1">
    <w:nsid w:val="6564D217"/>
    <w:multiLevelType w:val="singleLevel"/>
    <w:tmpl w:val="6564D21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033C13B3"/>
    <w:rsid w:val="00AB71A3"/>
    <w:rsid w:val="033C13B3"/>
    <w:rsid w:val="07E86EA8"/>
    <w:rsid w:val="09E13140"/>
    <w:rsid w:val="0B4D2EE6"/>
    <w:rsid w:val="0B777564"/>
    <w:rsid w:val="0F032819"/>
    <w:rsid w:val="178A3A30"/>
    <w:rsid w:val="260D4251"/>
    <w:rsid w:val="26CC67F7"/>
    <w:rsid w:val="2FD04A22"/>
    <w:rsid w:val="33926DE0"/>
    <w:rsid w:val="42A7482D"/>
    <w:rsid w:val="43CA4F48"/>
    <w:rsid w:val="47376F28"/>
    <w:rsid w:val="51A5155A"/>
    <w:rsid w:val="56520B3C"/>
    <w:rsid w:val="59825F5C"/>
    <w:rsid w:val="5ABD442A"/>
    <w:rsid w:val="5D131446"/>
    <w:rsid w:val="5FD86FE1"/>
    <w:rsid w:val="615E3731"/>
    <w:rsid w:val="69B55DB4"/>
    <w:rsid w:val="6FFC3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1621</Words>
  <Characters>2014</Characters>
  <Lines>0</Lines>
  <Paragraphs>0</Paragraphs>
  <TotalTime>10</TotalTime>
  <ScaleCrop>false</ScaleCrop>
  <LinksUpToDate>false</LinksUpToDate>
  <CharactersWithSpaces>2123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2022-10-12T07:52:00Z</dcterms:created>
  <dc:creator>XJTU202203394 王靳朝</dc:creator>
  <cp:lastModifiedBy>XJTU202203394 王靳朝</cp:lastModifiedBy>
  <dcterms:modified xsi:type="dcterms:W3CDTF">2022-10-12T09:05:37Z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27691CFD7B294840BF205023685CA576</vt:lpwstr>
  </property>
</Properties>
</file>