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87A85">
      <w:pPr>
        <w:spacing w:before="0" w:after="0" w:line="259" w:lineRule="auto"/>
        <w:jc w:val="both"/>
        <w:rPr>
          <w:rFonts w:ascii="黑体" w:hAnsi="黑体" w:eastAsia="黑体"/>
          <w:b w:val="0"/>
          <w:sz w:val="36"/>
        </w:rPr>
      </w:pPr>
      <w:bookmarkStart w:id="0" w:name="_GoBack"/>
      <w:bookmarkEnd w:id="0"/>
      <w:r>
        <w:rPr>
          <w:rFonts w:ascii="仿宋_GB2312" w:hAnsi="宋体" w:eastAsia="仿宋_GB2312" w:cs="宋体"/>
          <w:kern w:val="0"/>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249555</wp:posOffset>
                </wp:positionV>
                <wp:extent cx="1845310" cy="789305"/>
                <wp:effectExtent l="4445" t="4445" r="17145" b="6350"/>
                <wp:wrapNone/>
                <wp:docPr id="3" name="文本框 3"/>
                <wp:cNvGraphicFramePr/>
                <a:graphic xmlns:a="http://schemas.openxmlformats.org/drawingml/2006/main">
                  <a:graphicData uri="http://schemas.microsoft.com/office/word/2010/wordprocessingShape">
                    <wps:wsp>
                      <wps:cNvSpPr txBox="1"/>
                      <wps:spPr>
                        <a:xfrm>
                          <a:off x="0" y="0"/>
                          <a:ext cx="1845310" cy="7893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1A112B">
                            <w:pPr>
                              <w:spacing w:line="300" w:lineRule="exact"/>
                              <w:jc w:val="distribute"/>
                              <w:rPr>
                                <w:rFonts w:hint="eastAsia" w:ascii="楷体_GB2312" w:eastAsia="楷体_GB2312"/>
                                <w:sz w:val="24"/>
                              </w:rPr>
                            </w:pPr>
                            <w:r>
                              <w:rPr>
                                <w:rFonts w:hint="eastAsia" w:ascii="楷体_GB2312" w:eastAsia="楷体_GB2312"/>
                                <w:sz w:val="24"/>
                              </w:rPr>
                              <w:t>辽河油田第4</w:t>
                            </w:r>
                            <w:r>
                              <w:rPr>
                                <w:rFonts w:hint="eastAsia" w:ascii="楷体_GB2312" w:eastAsia="楷体_GB2312"/>
                                <w:sz w:val="24"/>
                                <w:lang w:val="en-US" w:eastAsia="zh-CN"/>
                              </w:rPr>
                              <w:t>2</w:t>
                            </w:r>
                            <w:r>
                              <w:rPr>
                                <w:rFonts w:hint="eastAsia" w:ascii="楷体_GB2312" w:eastAsia="楷体_GB2312"/>
                                <w:sz w:val="24"/>
                              </w:rPr>
                              <w:t>届</w:t>
                            </w:r>
                          </w:p>
                          <w:p w14:paraId="0FC2B908">
                            <w:pPr>
                              <w:spacing w:line="300" w:lineRule="exact"/>
                              <w:jc w:val="distribute"/>
                              <w:rPr>
                                <w:rFonts w:hint="eastAsia" w:ascii="楷体_GB2312" w:eastAsia="楷体_GB2312"/>
                                <w:sz w:val="24"/>
                              </w:rPr>
                            </w:pPr>
                            <w:r>
                              <w:rPr>
                                <w:rFonts w:hint="eastAsia" w:ascii="楷体_GB2312" w:eastAsia="楷体_GB2312"/>
                                <w:sz w:val="24"/>
                              </w:rPr>
                              <w:t>青年油</w:t>
                            </w:r>
                            <w:r>
                              <w:rPr>
                                <w:rFonts w:hint="eastAsia" w:ascii="楷体_GB2312" w:eastAsia="楷体_GB2312"/>
                                <w:sz w:val="24"/>
                                <w:lang w:eastAsia="zh-CN"/>
                              </w:rPr>
                              <w:t>（</w:t>
                            </w:r>
                            <w:r>
                              <w:rPr>
                                <w:rFonts w:hint="eastAsia" w:ascii="楷体_GB2312" w:eastAsia="楷体_GB2312"/>
                                <w:sz w:val="24"/>
                                <w:lang w:val="en-US" w:eastAsia="zh-CN"/>
                              </w:rPr>
                              <w:t>气</w:t>
                            </w:r>
                            <w:r>
                              <w:rPr>
                                <w:rFonts w:hint="eastAsia" w:ascii="楷体_GB2312" w:eastAsia="楷体_GB2312"/>
                                <w:sz w:val="24"/>
                                <w:lang w:eastAsia="zh-CN"/>
                              </w:rPr>
                              <w:t>）</w:t>
                            </w:r>
                            <w:r>
                              <w:rPr>
                                <w:rFonts w:hint="eastAsia" w:ascii="楷体_GB2312" w:eastAsia="楷体_GB2312"/>
                                <w:sz w:val="24"/>
                              </w:rPr>
                              <w:t>水井</w:t>
                            </w:r>
                            <w:r>
                              <w:rPr>
                                <w:rFonts w:hint="eastAsia" w:ascii="楷体_GB2312" w:eastAsia="楷体_GB2312"/>
                                <w:sz w:val="24"/>
                                <w:lang w:val="en-US" w:eastAsia="zh-CN"/>
                              </w:rPr>
                              <w:t>管理</w:t>
                            </w:r>
                            <w:r>
                              <w:rPr>
                                <w:rFonts w:hint="eastAsia" w:ascii="楷体_GB2312" w:eastAsia="楷体_GB2312"/>
                                <w:sz w:val="24"/>
                              </w:rPr>
                              <w:t>分析大赛</w:t>
                            </w:r>
                          </w:p>
                          <w:p w14:paraId="0056F1FD">
                            <w:pPr>
                              <w:spacing w:line="300" w:lineRule="exact"/>
                              <w:jc w:val="center"/>
                              <w:rPr>
                                <w:rFonts w:hint="eastAsia" w:ascii="楷体_GB2312" w:eastAsia="楷体_GB2312"/>
                                <w:sz w:val="24"/>
                              </w:rPr>
                            </w:pPr>
                            <w:r>
                              <w:rPr>
                                <w:rFonts w:hint="eastAsia" w:ascii="楷体_GB2312" w:eastAsia="楷体_GB2312"/>
                                <w:sz w:val="24"/>
                              </w:rPr>
                              <w:t>论  文</w:t>
                            </w:r>
                          </w:p>
                          <w:p w14:paraId="52EC0FEC"/>
                        </w:txbxContent>
                      </wps:txbx>
                      <wps:bodyPr upright="1"/>
                    </wps:wsp>
                  </a:graphicData>
                </a:graphic>
              </wp:anchor>
            </w:drawing>
          </mc:Choice>
          <mc:Fallback>
            <w:pict>
              <v:shape id="_x0000_s1026" o:spid="_x0000_s1026" o:spt="202" type="#_x0000_t202" style="position:absolute;left:0pt;margin-left:2.85pt;margin-top:19.65pt;height:62.15pt;width:145.3pt;z-index:251659264;mso-width-relative:page;mso-height-relative:page;" fillcolor="#FFFFFF" filled="t" stroked="t" coordsize="21600,21600" o:gfxdata="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RlUpI1wAAAAgBAAAPAAAAAAAAAAEAIAAAACIA&#10;AABkcnMvZG93bnJldi54bWxQSwECFAAUAAAACACHTuJAfQ38uAoCAAA2BAAADgAAAAAAAAABACAA&#10;AAAmAQAAZHJzL2Uyb0RvYy54bWxQSwUGAAAAAAYABgBZAQAAogUAAAAA&#10;">
                <v:fill on="t" focussize="0,0"/>
                <v:stroke color="#000000" joinstyle="miter"/>
                <v:imagedata o:title=""/>
                <o:lock v:ext="edit" aspectratio="f"/>
                <v:textbox>
                  <w:txbxContent>
                    <w:p w14:paraId="281A112B">
                      <w:pPr>
                        <w:spacing w:line="300" w:lineRule="exact"/>
                        <w:jc w:val="distribute"/>
                        <w:rPr>
                          <w:rFonts w:hint="eastAsia" w:ascii="楷体_GB2312" w:eastAsia="楷体_GB2312"/>
                          <w:sz w:val="24"/>
                        </w:rPr>
                      </w:pPr>
                      <w:r>
                        <w:rPr>
                          <w:rFonts w:hint="eastAsia" w:ascii="楷体_GB2312" w:eastAsia="楷体_GB2312"/>
                          <w:sz w:val="24"/>
                        </w:rPr>
                        <w:t>辽河油田第4</w:t>
                      </w:r>
                      <w:r>
                        <w:rPr>
                          <w:rFonts w:hint="eastAsia" w:ascii="楷体_GB2312" w:eastAsia="楷体_GB2312"/>
                          <w:sz w:val="24"/>
                          <w:lang w:val="en-US" w:eastAsia="zh-CN"/>
                        </w:rPr>
                        <w:t>2</w:t>
                      </w:r>
                      <w:r>
                        <w:rPr>
                          <w:rFonts w:hint="eastAsia" w:ascii="楷体_GB2312" w:eastAsia="楷体_GB2312"/>
                          <w:sz w:val="24"/>
                        </w:rPr>
                        <w:t>届</w:t>
                      </w:r>
                    </w:p>
                    <w:p w14:paraId="0FC2B908">
                      <w:pPr>
                        <w:spacing w:line="300" w:lineRule="exact"/>
                        <w:jc w:val="distribute"/>
                        <w:rPr>
                          <w:rFonts w:hint="eastAsia" w:ascii="楷体_GB2312" w:eastAsia="楷体_GB2312"/>
                          <w:sz w:val="24"/>
                        </w:rPr>
                      </w:pPr>
                      <w:r>
                        <w:rPr>
                          <w:rFonts w:hint="eastAsia" w:ascii="楷体_GB2312" w:eastAsia="楷体_GB2312"/>
                          <w:sz w:val="24"/>
                        </w:rPr>
                        <w:t>青年油</w:t>
                      </w:r>
                      <w:r>
                        <w:rPr>
                          <w:rFonts w:hint="eastAsia" w:ascii="楷体_GB2312" w:eastAsia="楷体_GB2312"/>
                          <w:sz w:val="24"/>
                          <w:lang w:eastAsia="zh-CN"/>
                        </w:rPr>
                        <w:t>（</w:t>
                      </w:r>
                      <w:r>
                        <w:rPr>
                          <w:rFonts w:hint="eastAsia" w:ascii="楷体_GB2312" w:eastAsia="楷体_GB2312"/>
                          <w:sz w:val="24"/>
                          <w:lang w:val="en-US" w:eastAsia="zh-CN"/>
                        </w:rPr>
                        <w:t>气</w:t>
                      </w:r>
                      <w:r>
                        <w:rPr>
                          <w:rFonts w:hint="eastAsia" w:ascii="楷体_GB2312" w:eastAsia="楷体_GB2312"/>
                          <w:sz w:val="24"/>
                          <w:lang w:eastAsia="zh-CN"/>
                        </w:rPr>
                        <w:t>）</w:t>
                      </w:r>
                      <w:r>
                        <w:rPr>
                          <w:rFonts w:hint="eastAsia" w:ascii="楷体_GB2312" w:eastAsia="楷体_GB2312"/>
                          <w:sz w:val="24"/>
                        </w:rPr>
                        <w:t>水井</w:t>
                      </w:r>
                      <w:r>
                        <w:rPr>
                          <w:rFonts w:hint="eastAsia" w:ascii="楷体_GB2312" w:eastAsia="楷体_GB2312"/>
                          <w:sz w:val="24"/>
                          <w:lang w:val="en-US" w:eastAsia="zh-CN"/>
                        </w:rPr>
                        <w:t>管理</w:t>
                      </w:r>
                      <w:r>
                        <w:rPr>
                          <w:rFonts w:hint="eastAsia" w:ascii="楷体_GB2312" w:eastAsia="楷体_GB2312"/>
                          <w:sz w:val="24"/>
                        </w:rPr>
                        <w:t>分析大赛</w:t>
                      </w:r>
                    </w:p>
                    <w:p w14:paraId="0056F1FD">
                      <w:pPr>
                        <w:spacing w:line="300" w:lineRule="exact"/>
                        <w:jc w:val="center"/>
                        <w:rPr>
                          <w:rFonts w:hint="eastAsia" w:ascii="楷体_GB2312" w:eastAsia="楷体_GB2312"/>
                          <w:sz w:val="24"/>
                        </w:rPr>
                      </w:pPr>
                      <w:r>
                        <w:rPr>
                          <w:rFonts w:hint="eastAsia" w:ascii="楷体_GB2312" w:eastAsia="楷体_GB2312"/>
                          <w:sz w:val="24"/>
                        </w:rPr>
                        <w:t>论  文</w:t>
                      </w:r>
                    </w:p>
                    <w:p w14:paraId="52EC0FEC"/>
                  </w:txbxContent>
                </v:textbox>
              </v:shape>
            </w:pict>
          </mc:Fallback>
        </mc:AlternateContent>
      </w:r>
    </w:p>
    <w:p w14:paraId="2A5D2114">
      <w:pPr>
        <w:spacing w:before="0" w:after="0" w:line="259" w:lineRule="auto"/>
        <w:jc w:val="center"/>
        <w:rPr>
          <w:rFonts w:ascii="黑体" w:hAnsi="黑体" w:eastAsia="黑体"/>
          <w:b w:val="0"/>
          <w:sz w:val="36"/>
        </w:rPr>
      </w:pPr>
    </w:p>
    <w:p w14:paraId="6864C476">
      <w:pPr>
        <w:widowControl/>
        <w:jc w:val="left"/>
        <w:rPr>
          <w:rFonts w:ascii="仿宋_GB2312" w:hAnsi="宋体" w:eastAsia="仿宋_GB2312" w:cs="宋体"/>
          <w:kern w:val="0"/>
          <w:sz w:val="30"/>
        </w:rPr>
      </w:pPr>
    </w:p>
    <w:p w14:paraId="5D49241E">
      <w:pPr>
        <w:widowControl/>
        <w:jc w:val="left"/>
        <w:rPr>
          <w:rFonts w:hint="eastAsia" w:ascii="仿宋_GB2312" w:hAnsi="宋体" w:eastAsia="仿宋_GB2312" w:cs="宋体"/>
          <w:kern w:val="0"/>
          <w:sz w:val="24"/>
        </w:rPr>
      </w:pPr>
    </w:p>
    <w:p w14:paraId="39E22421">
      <w:pPr>
        <w:widowControl/>
        <w:spacing w:before="156" w:beforeLines="50" w:line="620" w:lineRule="exact"/>
        <w:rPr>
          <w:rFonts w:hint="eastAsia" w:ascii="宋体" w:hAnsi="宋体" w:cs="宋体"/>
          <w:kern w:val="0"/>
          <w:sz w:val="52"/>
          <w:szCs w:val="52"/>
        </w:rPr>
      </w:pPr>
    </w:p>
    <w:p w14:paraId="107A19BE">
      <w:pPr>
        <w:widowControl/>
        <w:spacing w:before="156" w:beforeLines="50" w:line="620" w:lineRule="exact"/>
        <w:ind w:left="2648" w:hanging="2648"/>
        <w:jc w:val="center"/>
        <w:rPr>
          <w:rFonts w:hint="eastAsia" w:ascii="方正小标宋简体" w:hAnsi="宋体" w:eastAsia="方正小标宋简体" w:cs="宋体"/>
          <w:kern w:val="0"/>
          <w:sz w:val="52"/>
          <w:szCs w:val="52"/>
        </w:rPr>
      </w:pPr>
      <w:r>
        <w:rPr>
          <w:rFonts w:hint="eastAsia" w:ascii="方正小标宋简体" w:hAnsi="宋体" w:eastAsia="方正小标宋简体" w:cs="宋体"/>
          <w:kern w:val="0"/>
          <w:sz w:val="52"/>
          <w:szCs w:val="52"/>
        </w:rPr>
        <w:t>高采三区数智化注采管理系统</w:t>
      </w:r>
    </w:p>
    <w:p w14:paraId="4F90ED8C">
      <w:pPr>
        <w:widowControl/>
        <w:spacing w:before="156" w:beforeLines="50" w:line="620" w:lineRule="exact"/>
        <w:ind w:left="2648" w:hanging="2648"/>
        <w:jc w:val="center"/>
        <w:rPr>
          <w:rFonts w:hint="eastAsia" w:ascii="仿宋_GB2312" w:hAnsi="宋体" w:eastAsia="仿宋_GB2312" w:cs="宋体"/>
          <w:kern w:val="0"/>
          <w:sz w:val="24"/>
        </w:rPr>
      </w:pPr>
      <w:r>
        <w:rPr>
          <w:rFonts w:hint="eastAsia" w:ascii="方正小标宋简体" w:hAnsi="宋体" w:eastAsia="方正小标宋简体" w:cs="宋体"/>
          <w:kern w:val="0"/>
          <w:sz w:val="52"/>
          <w:szCs w:val="52"/>
        </w:rPr>
        <w:t>的构建与应用</w:t>
      </w:r>
    </w:p>
    <w:p w14:paraId="2158A865">
      <w:pPr>
        <w:widowControl/>
        <w:spacing w:line="620" w:lineRule="exact"/>
        <w:ind w:left="2646" w:hanging="2646"/>
        <w:jc w:val="left"/>
        <w:rPr>
          <w:rFonts w:hint="eastAsia" w:ascii="仿宋_GB2312" w:hAnsi="宋体" w:eastAsia="仿宋_GB2312" w:cs="宋体"/>
          <w:kern w:val="0"/>
          <w:sz w:val="24"/>
        </w:rPr>
      </w:pPr>
    </w:p>
    <w:p w14:paraId="11387A5F">
      <w:pPr>
        <w:widowControl/>
        <w:spacing w:line="620" w:lineRule="exact"/>
        <w:ind w:left="2646" w:hanging="2646"/>
        <w:jc w:val="center"/>
        <w:rPr>
          <w:rFonts w:hint="eastAsia" w:ascii="楷体_GB2312" w:hAnsi="宋体" w:eastAsia="楷体_GB2312" w:cs="宋体"/>
          <w:kern w:val="0"/>
          <w:sz w:val="32"/>
          <w:szCs w:val="32"/>
        </w:rPr>
      </w:pPr>
    </w:p>
    <w:p w14:paraId="1D77789E">
      <w:pPr>
        <w:widowControl/>
        <w:spacing w:line="620" w:lineRule="exact"/>
        <w:ind w:left="2646" w:hanging="2646"/>
        <w:jc w:val="center"/>
        <w:rPr>
          <w:rFonts w:hint="eastAsia" w:ascii="楷体_GB2312" w:hAnsi="宋体" w:eastAsia="楷体_GB2312" w:cs="宋体"/>
          <w:kern w:val="0"/>
          <w:sz w:val="32"/>
          <w:szCs w:val="32"/>
        </w:rPr>
      </w:pPr>
    </w:p>
    <w:p w14:paraId="01237BF9">
      <w:pPr>
        <w:widowControl/>
        <w:spacing w:line="620" w:lineRule="exact"/>
        <w:rPr>
          <w:rFonts w:hint="eastAsia" w:ascii="楷体_GB2312" w:hAnsi="宋体" w:eastAsia="楷体_GB2312" w:cs="宋体"/>
          <w:kern w:val="0"/>
          <w:sz w:val="24"/>
        </w:rPr>
      </w:pPr>
    </w:p>
    <w:p w14:paraId="0072194B">
      <w:pPr>
        <w:widowControl/>
        <w:spacing w:line="680" w:lineRule="exact"/>
        <w:ind w:firstLine="1800" w:firstLineChars="500"/>
        <w:jc w:val="left"/>
        <w:rPr>
          <w:rFonts w:hint="eastAsia" w:ascii="黑体" w:hAnsi="宋体" w:eastAsia="黑体" w:cs="宋体"/>
          <w:kern w:val="0"/>
          <w:sz w:val="36"/>
          <w:szCs w:val="36"/>
          <w:u w:val="single"/>
        </w:rPr>
      </w:pPr>
      <w:r>
        <w:rPr>
          <w:rFonts w:hint="eastAsia" w:ascii="黑体" w:hAnsi="宋体" w:eastAsia="黑体" w:cs="宋体"/>
          <w:kern w:val="0"/>
          <w:sz w:val="36"/>
          <w:szCs w:val="36"/>
        </w:rPr>
        <w:t>单  位：</w:t>
      </w:r>
      <w:r>
        <w:rPr>
          <w:rFonts w:hint="eastAsia" w:ascii="黑体" w:eastAsia="黑体" w:cs="宋体"/>
          <w:kern w:val="0"/>
          <w:sz w:val="36"/>
          <w:szCs w:val="36"/>
          <w:u w:val="single"/>
          <w:lang w:val="en-US" w:eastAsia="zh-CN"/>
        </w:rPr>
        <w:t>高升</w:t>
      </w:r>
      <w:r>
        <w:rPr>
          <w:rFonts w:hint="eastAsia" w:ascii="黑体" w:hAnsi="宋体" w:eastAsia="黑体" w:cs="宋体"/>
          <w:kern w:val="0"/>
          <w:sz w:val="36"/>
          <w:szCs w:val="36"/>
          <w:u w:val="single"/>
        </w:rPr>
        <w:t>采油厂</w:t>
      </w:r>
      <w:r>
        <w:rPr>
          <w:rFonts w:hint="eastAsia" w:ascii="黑体" w:eastAsia="黑体" w:cs="宋体"/>
          <w:kern w:val="0"/>
          <w:sz w:val="36"/>
          <w:szCs w:val="36"/>
          <w:u w:val="single"/>
          <w:lang w:val="en-US" w:eastAsia="zh-CN"/>
        </w:rPr>
        <w:t>采油作业三区</w:t>
      </w:r>
    </w:p>
    <w:p w14:paraId="344340CF">
      <w:pPr>
        <w:widowControl/>
        <w:spacing w:line="680" w:lineRule="exact"/>
        <w:ind w:firstLine="1800" w:firstLineChars="500"/>
        <w:jc w:val="left"/>
        <w:rPr>
          <w:rFonts w:hint="eastAsia" w:ascii="黑体" w:hAnsi="宋体" w:eastAsia="黑体" w:cs="宋体"/>
          <w:kern w:val="0"/>
          <w:sz w:val="36"/>
          <w:szCs w:val="36"/>
        </w:rPr>
      </w:pPr>
      <w:r>
        <w:rPr>
          <w:rFonts w:hint="eastAsia" w:ascii="黑体" w:hAnsi="宋体" w:eastAsia="黑体" w:cs="宋体"/>
          <w:kern w:val="0"/>
          <w:sz w:val="36"/>
          <w:szCs w:val="36"/>
        </w:rPr>
        <w:t>答辩人：</w:t>
      </w:r>
      <w:r>
        <w:rPr>
          <w:rFonts w:hint="eastAsia" w:ascii="黑体" w:hAnsi="宋体" w:eastAsia="黑体" w:cs="宋体"/>
          <w:kern w:val="0"/>
          <w:sz w:val="36"/>
          <w:szCs w:val="36"/>
          <w:u w:val="single"/>
        </w:rPr>
        <w:t xml:space="preserve">    </w:t>
      </w:r>
      <w:r>
        <w:rPr>
          <w:rFonts w:hint="eastAsia" w:ascii="黑体" w:eastAsia="黑体" w:cs="宋体"/>
          <w:kern w:val="0"/>
          <w:sz w:val="36"/>
          <w:szCs w:val="36"/>
          <w:u w:val="single"/>
          <w:lang w:val="en-US" w:eastAsia="zh-CN"/>
        </w:rPr>
        <w:t xml:space="preserve">  田   宇         </w:t>
      </w:r>
      <w:r>
        <w:rPr>
          <w:rFonts w:hint="eastAsia" w:ascii="黑体" w:eastAsia="黑体" w:cs="宋体"/>
          <w:color w:val="FFFFFF" w:themeColor="background1"/>
          <w:kern w:val="0"/>
          <w:sz w:val="36"/>
          <w:szCs w:val="36"/>
          <w:u w:val="single"/>
          <w:lang w:val="en-US" w:eastAsia="zh-CN"/>
          <w14:textFill>
            <w14:solidFill>
              <w14:schemeClr w14:val="bg1"/>
            </w14:solidFill>
          </w14:textFill>
        </w:rPr>
        <w:t>宇</w:t>
      </w:r>
      <w:r>
        <w:rPr>
          <w:rFonts w:hint="eastAsia" w:ascii="黑体" w:eastAsia="黑体" w:cs="宋体"/>
          <w:kern w:val="0"/>
          <w:sz w:val="36"/>
          <w:szCs w:val="36"/>
          <w:u w:val="single"/>
          <w:lang w:val="en-US" w:eastAsia="zh-CN"/>
        </w:rPr>
        <w:t xml:space="preserve">    </w:t>
      </w:r>
      <w:r>
        <w:rPr>
          <w:rFonts w:hint="eastAsia" w:ascii="黑体" w:hAnsi="宋体" w:eastAsia="黑体" w:cs="宋体"/>
          <w:kern w:val="0"/>
          <w:sz w:val="36"/>
          <w:szCs w:val="36"/>
          <w:u w:val="single"/>
        </w:rPr>
        <w:t xml:space="preserve">      </w:t>
      </w:r>
    </w:p>
    <w:p w14:paraId="44ED72A4">
      <w:pPr>
        <w:widowControl/>
        <w:spacing w:line="680" w:lineRule="exact"/>
        <w:ind w:firstLine="1800" w:firstLineChars="500"/>
        <w:jc w:val="left"/>
        <w:rPr>
          <w:rFonts w:hint="eastAsia" w:ascii="黑体" w:hAnsi="宋体" w:eastAsia="黑体" w:cs="宋体"/>
          <w:kern w:val="0"/>
          <w:sz w:val="36"/>
          <w:szCs w:val="36"/>
        </w:rPr>
      </w:pPr>
      <w:r>
        <w:rPr>
          <w:rFonts w:hint="eastAsia" w:ascii="黑体" w:hAnsi="宋体" w:eastAsia="黑体" w:cs="宋体"/>
          <w:kern w:val="0"/>
          <w:sz w:val="36"/>
          <w:szCs w:val="36"/>
        </w:rPr>
        <w:t>组  别：</w:t>
      </w:r>
      <w:r>
        <w:rPr>
          <w:rFonts w:hint="eastAsia" w:ascii="黑体" w:hAnsi="宋体" w:eastAsia="黑体" w:cs="宋体"/>
          <w:kern w:val="0"/>
          <w:sz w:val="36"/>
          <w:szCs w:val="36"/>
          <w:u w:val="single"/>
        </w:rPr>
        <w:t xml:space="preserve">   </w:t>
      </w:r>
      <w:r>
        <w:rPr>
          <w:rFonts w:hint="eastAsia" w:ascii="黑体" w:eastAsia="黑体" w:cs="宋体"/>
          <w:kern w:val="0"/>
          <w:sz w:val="36"/>
          <w:szCs w:val="36"/>
          <w:u w:val="single"/>
          <w:lang w:val="en-US" w:eastAsia="zh-CN"/>
        </w:rPr>
        <w:t xml:space="preserve"> </w:t>
      </w:r>
      <w:r>
        <w:rPr>
          <w:rFonts w:hint="eastAsia" w:ascii="黑体" w:hAnsi="宋体" w:eastAsia="黑体" w:cs="宋体"/>
          <w:kern w:val="0"/>
          <w:sz w:val="36"/>
          <w:szCs w:val="36"/>
          <w:u w:val="single"/>
        </w:rPr>
        <w:t>采</w:t>
      </w:r>
      <w:r>
        <w:rPr>
          <w:rFonts w:hint="eastAsia" w:ascii="黑体" w:eastAsia="黑体" w:cs="宋体"/>
          <w:kern w:val="0"/>
          <w:sz w:val="36"/>
          <w:szCs w:val="36"/>
          <w:u w:val="single"/>
          <w:lang w:val="en-US" w:eastAsia="zh-CN"/>
        </w:rPr>
        <w:t xml:space="preserve"> </w:t>
      </w:r>
      <w:r>
        <w:rPr>
          <w:rFonts w:hint="eastAsia" w:ascii="黑体" w:hAnsi="宋体" w:eastAsia="黑体" w:cs="宋体"/>
          <w:kern w:val="0"/>
          <w:sz w:val="36"/>
          <w:szCs w:val="36"/>
          <w:u w:val="single"/>
        </w:rPr>
        <w:t>油（气）工</w:t>
      </w:r>
      <w:r>
        <w:rPr>
          <w:rFonts w:hint="eastAsia" w:ascii="黑体" w:eastAsia="黑体" w:cs="宋体"/>
          <w:kern w:val="0"/>
          <w:sz w:val="36"/>
          <w:szCs w:val="36"/>
          <w:u w:val="single"/>
          <w:lang w:val="en-US" w:eastAsia="zh-CN"/>
        </w:rPr>
        <w:t xml:space="preserve"> </w:t>
      </w:r>
      <w:r>
        <w:rPr>
          <w:rFonts w:hint="eastAsia" w:ascii="黑体" w:hAnsi="宋体" w:eastAsia="黑体" w:cs="宋体"/>
          <w:kern w:val="0"/>
          <w:sz w:val="36"/>
          <w:szCs w:val="36"/>
          <w:u w:val="single"/>
        </w:rPr>
        <w:t>艺</w:t>
      </w:r>
      <w:r>
        <w:rPr>
          <w:rFonts w:hint="eastAsia" w:ascii="黑体" w:eastAsia="黑体" w:cs="宋体"/>
          <w:kern w:val="0"/>
          <w:sz w:val="36"/>
          <w:szCs w:val="36"/>
          <w:u w:val="single"/>
          <w:lang w:val="en-US" w:eastAsia="zh-CN"/>
        </w:rPr>
        <w:t xml:space="preserve"> </w:t>
      </w:r>
      <w:r>
        <w:rPr>
          <w:rFonts w:hint="eastAsia" w:ascii="黑体" w:hAnsi="宋体" w:eastAsia="黑体" w:cs="宋体"/>
          <w:kern w:val="0"/>
          <w:sz w:val="36"/>
          <w:szCs w:val="36"/>
          <w:u w:val="single"/>
        </w:rPr>
        <w:t xml:space="preserve">组   </w:t>
      </w:r>
    </w:p>
    <w:p w14:paraId="5F4BC1A1">
      <w:pPr>
        <w:widowControl/>
        <w:rPr>
          <w:rFonts w:hint="eastAsia" w:ascii="仿宋_GB2312" w:hAnsi="宋体" w:eastAsia="仿宋_GB2312" w:cs="宋体"/>
          <w:kern w:val="0"/>
          <w:sz w:val="24"/>
        </w:rPr>
      </w:pPr>
    </w:p>
    <w:p w14:paraId="75EC9990">
      <w:pPr>
        <w:widowControl/>
        <w:ind w:left="1960" w:leftChars="700" w:firstLine="630"/>
        <w:rPr>
          <w:rFonts w:hint="eastAsia" w:ascii="仿宋_GB2312" w:hAnsi="宋体" w:eastAsia="仿宋_GB2312" w:cs="宋体"/>
          <w:kern w:val="0"/>
          <w:sz w:val="24"/>
        </w:rPr>
      </w:pPr>
    </w:p>
    <w:p w14:paraId="624CCB6E">
      <w:pPr>
        <w:widowControl/>
        <w:ind w:left="1960" w:leftChars="700" w:firstLine="630"/>
        <w:rPr>
          <w:rFonts w:hint="eastAsia" w:ascii="仿宋_GB2312" w:hAnsi="宋体" w:eastAsia="仿宋_GB2312" w:cs="宋体"/>
          <w:kern w:val="0"/>
          <w:sz w:val="24"/>
        </w:rPr>
      </w:pPr>
    </w:p>
    <w:p w14:paraId="28118532">
      <w:pPr>
        <w:widowControl/>
        <w:ind w:left="1960" w:leftChars="700" w:firstLine="630"/>
        <w:rPr>
          <w:rFonts w:hint="eastAsia" w:ascii="仿宋_GB2312" w:hAnsi="宋体" w:eastAsia="仿宋_GB2312" w:cs="宋体"/>
          <w:kern w:val="0"/>
          <w:sz w:val="24"/>
        </w:rPr>
      </w:pPr>
    </w:p>
    <w:p w14:paraId="7FFFE5DA">
      <w:pPr>
        <w:widowControl/>
        <w:spacing w:line="680" w:lineRule="exact"/>
        <w:jc w:val="center"/>
        <w:rPr>
          <w:rFonts w:hint="eastAsia" w:ascii="黑体" w:hAnsi="宋体" w:eastAsia="黑体" w:cs="宋体"/>
          <w:kern w:val="0"/>
          <w:sz w:val="36"/>
          <w:szCs w:val="36"/>
        </w:rPr>
      </w:pPr>
      <w:r>
        <w:rPr>
          <w:rFonts w:hint="eastAsia" w:ascii="黑体" w:hAnsi="宋体" w:eastAsia="黑体" w:cs="宋体"/>
          <w:kern w:val="0"/>
          <w:sz w:val="36"/>
          <w:szCs w:val="36"/>
        </w:rPr>
        <w:t>二○二</w:t>
      </w:r>
      <w:r>
        <w:rPr>
          <w:rFonts w:hint="eastAsia" w:ascii="黑体" w:hAnsi="宋体" w:eastAsia="黑体" w:cs="宋体"/>
          <w:kern w:val="0"/>
          <w:sz w:val="36"/>
          <w:szCs w:val="36"/>
          <w:lang w:val="en-US" w:eastAsia="zh-CN"/>
        </w:rPr>
        <w:t>六</w:t>
      </w:r>
      <w:r>
        <w:rPr>
          <w:rFonts w:hint="eastAsia" w:ascii="黑体" w:hAnsi="宋体" w:eastAsia="黑体" w:cs="宋体"/>
          <w:kern w:val="0"/>
          <w:sz w:val="36"/>
          <w:szCs w:val="36"/>
        </w:rPr>
        <w:t>年</w:t>
      </w:r>
      <w:r>
        <w:rPr>
          <w:rFonts w:hint="eastAsia" w:ascii="黑体" w:eastAsia="黑体" w:cs="宋体"/>
          <w:kern w:val="0"/>
          <w:sz w:val="36"/>
          <w:szCs w:val="36"/>
          <w:lang w:val="en-US" w:eastAsia="zh-CN"/>
        </w:rPr>
        <w:t>七</w:t>
      </w:r>
      <w:r>
        <w:rPr>
          <w:rFonts w:hint="eastAsia" w:ascii="黑体" w:hAnsi="宋体" w:eastAsia="黑体" w:cs="宋体"/>
          <w:kern w:val="0"/>
          <w:sz w:val="36"/>
          <w:szCs w:val="36"/>
        </w:rPr>
        <w:t>月</w:t>
      </w:r>
    </w:p>
    <w:p w14:paraId="2C6D2E83">
      <w:pPr>
        <w:spacing w:before="0" w:after="0" w:line="240" w:lineRule="auto"/>
        <w:jc w:val="center"/>
      </w:pPr>
      <w:r>
        <w:rPr>
          <w:rFonts w:ascii="黑体" w:hAnsi="黑体" w:eastAsia="黑体"/>
          <w:b/>
          <w:sz w:val="40"/>
        </w:rPr>
        <w:t>高采三区数智化注采管理系统的构建与应用</w:t>
      </w:r>
    </w:p>
    <w:p w14:paraId="59C07F3B">
      <w:pPr>
        <w:spacing w:before="80" w:after="280" w:line="240" w:lineRule="auto"/>
        <w:jc w:val="center"/>
      </w:pPr>
      <w:r>
        <w:rPr>
          <w:rFonts w:ascii="方正书宋简体" w:hAnsi="方正书宋简体" w:eastAsia="方正书宋简体"/>
          <w:b w:val="0"/>
          <w:sz w:val="32"/>
        </w:rPr>
        <w:t>——稠油热采老区全流程数字化管控实践</w:t>
      </w:r>
    </w:p>
    <w:p w14:paraId="4F0C79A7">
      <w:pPr>
        <w:spacing w:before="0" w:after="120" w:line="240" w:lineRule="auto"/>
        <w:jc w:val="center"/>
      </w:pPr>
      <w:r>
        <w:rPr>
          <w:rFonts w:ascii="仿宋_GB2312" w:hAnsi="仿宋_GB2312" w:eastAsia="仿宋_GB2312"/>
          <w:b w:val="0"/>
          <w:sz w:val="28"/>
        </w:rPr>
        <w:t>作者（高升采油厂采油作业三区）</w:t>
      </w:r>
    </w:p>
    <w:p w14:paraId="31FED91E">
      <w:pPr>
        <w:spacing w:before="0" w:after="0" w:line="260" w:lineRule="exact"/>
        <w:jc w:val="both"/>
      </w:pPr>
      <w:r>
        <w:rPr>
          <w:rFonts w:ascii="仿宋_GB2312" w:hAnsi="仿宋_GB2312" w:eastAsia="仿宋_GB2312"/>
          <w:b w:val="0"/>
          <w:sz w:val="18"/>
        </w:rPr>
        <w:t>摘要：高升采油厂采油作业三区是以稠油热采开发为主的老作业区，经过30余年开发，面临注汽效果逐年下降、高效注汽井选井困难、年递减率逐年升高等严峻挑战。为解决注汽措施“选井→方案→施工→焖井转抽→响应→评价→复盘”全流程不完善的问题，基于React+Node.js+ECharts全栈技术架构，构建了一套覆盖5大功能分组、20余个功能模块的数智化注采管理系统。系统以“单井精细诊断→井组注采平衡→区块整体调控”三级协同管控为核心，贯通“选井决策→方案与计划→施工监控→焖井转抽→生产响应→效果评价→优化复盘”注汽全流程闭环，实现了注采数据实时采集与两年同期对标、基于本轮/上轮比值的ABCD四级效果分级、基于四种井状态的365天产量预测、注汽质量全程追踪与吸汽剖面诊断、注汽四情景预测与最优运行推荐、分层分段精准注汽与组合式汽窜治理等关键功能。应用表明，系统有效提升了选井效率与准确率，缩短了异常响应时间，为稠油热采老区的稳产增效提供了有力支撑。</w:t>
      </w:r>
    </w:p>
    <w:p w14:paraId="735ED1BD">
      <w:pPr>
        <w:spacing w:before="0" w:after="120" w:line="259" w:lineRule="auto"/>
        <w:jc w:val="both"/>
      </w:pPr>
      <w:r>
        <w:rPr>
          <w:rFonts w:ascii="楷体_GB2312" w:hAnsi="楷体_GB2312" w:eastAsia="楷体_GB2312"/>
          <w:b w:val="0"/>
          <w:sz w:val="18"/>
        </w:rPr>
        <w:t>关键词：数智化注采；稠油热采；全流程闭环；三级协同管控；ABCD分级管理；产量预测；注汽优化；汽窜治理</w:t>
      </w:r>
    </w:p>
    <w:p w14:paraId="06EA5AB5">
      <w:pPr>
        <w:spacing w:before="120" w:after="120" w:line="259" w:lineRule="auto"/>
        <w:jc w:val="both"/>
      </w:pPr>
      <w:r>
        <w:rPr>
          <w:rFonts w:ascii="黑体" w:hAnsi="黑体" w:eastAsia="黑体"/>
          <w:b/>
          <w:sz w:val="28"/>
        </w:rPr>
        <w:t>1  引言</w:t>
      </w:r>
    </w:p>
    <w:p w14:paraId="16252B83">
      <w:pPr>
        <w:spacing w:before="0" w:after="0" w:line="259" w:lineRule="auto"/>
        <w:jc w:val="both"/>
      </w:pPr>
      <w:r>
        <w:rPr>
          <w:rFonts w:ascii="宋体" w:hAnsi="宋体" w:eastAsia="宋体"/>
          <w:b/>
          <w:sz w:val="28"/>
        </w:rPr>
        <w:t>1.1  作业区基本概况</w:t>
      </w:r>
    </w:p>
    <w:p w14:paraId="0BDC69B7">
      <w:pPr>
        <w:spacing w:before="0" w:after="0" w:line="259" w:lineRule="auto"/>
        <w:ind w:firstLine="420"/>
        <w:jc w:val="both"/>
      </w:pPr>
      <w:r>
        <w:rPr>
          <w:rFonts w:ascii="宋体" w:hAnsi="宋体" w:eastAsia="宋体"/>
          <w:b w:val="0"/>
          <w:sz w:val="28"/>
        </w:rPr>
        <w:t>高升采油厂采油作业三区是以稠油热采开发为主的老作业区，经过30多年的开发，地层压力逐年下降，稳产基础薄弱，年递减率逐年升高。全区总面积达12.9平方公里，包括7个稠油区块，共管理油井870口，开井数为4</w:t>
      </w:r>
      <w:r>
        <w:rPr>
          <w:rFonts w:hint="eastAsia"/>
          <w:b w:val="0"/>
          <w:sz w:val="28"/>
          <w:lang w:val="en-US" w:eastAsia="zh-CN"/>
        </w:rPr>
        <w:t>5</w:t>
      </w:r>
      <w:r>
        <w:rPr>
          <w:rFonts w:ascii="宋体" w:hAnsi="宋体" w:eastAsia="宋体"/>
          <w:b w:val="0"/>
          <w:sz w:val="28"/>
        </w:rPr>
        <w:t>0口，日产油量670吨，年均产油约24.2万吨，采油速度0.37%，地质储量采出程度已达23.7%。</w:t>
      </w:r>
    </w:p>
    <w:p w14:paraId="0ABBD530">
      <w:pPr>
        <w:spacing w:before="0" w:after="0" w:line="259" w:lineRule="auto"/>
        <w:ind w:firstLine="420"/>
        <w:jc w:val="both"/>
      </w:pPr>
      <w:r>
        <w:rPr>
          <w:rFonts w:ascii="宋体" w:hAnsi="宋体" w:eastAsia="宋体"/>
          <w:b w:val="0"/>
          <w:sz w:val="28"/>
        </w:rPr>
        <w:t>该区以注汽吞吐为主要开发方式，具有井多、人多、分散广的特点。注汽过程涉及高温高压工况，管理难度大；同时区块多、油品规律性强，各区块开发特征差异明显。进入开发后期，注汽效果逐年下降，地层存水多，高效注汽井选井困难，如何科学选井、精细跟踪、准确评价成为制约稳产的核心难题。</w:t>
      </w:r>
    </w:p>
    <w:p w14:paraId="76ADD66C">
      <w:pPr>
        <w:spacing w:before="0" w:after="0" w:line="259" w:lineRule="auto"/>
        <w:jc w:val="both"/>
      </w:pPr>
      <w:r>
        <w:rPr>
          <w:rFonts w:ascii="宋体" w:hAnsi="宋体" w:eastAsia="宋体"/>
          <w:b/>
          <w:sz w:val="28"/>
        </w:rPr>
        <w:t>1.2  面临的核心挑战</w:t>
      </w:r>
    </w:p>
    <w:p w14:paraId="44E40D48">
      <w:pPr>
        <w:spacing w:before="0" w:after="0" w:line="259" w:lineRule="auto"/>
        <w:ind w:firstLine="420"/>
        <w:jc w:val="both"/>
      </w:pPr>
      <w:r>
        <w:rPr>
          <w:rFonts w:ascii="宋体" w:hAnsi="宋体" w:eastAsia="宋体"/>
          <w:b w:val="0"/>
          <w:sz w:val="28"/>
        </w:rPr>
        <w:t>经过深入调研和系统梳理，作业区在注采管理方面主要面临以下五方面挑战：</w:t>
      </w:r>
    </w:p>
    <w:p w14:paraId="6C234A8D">
      <w:pPr>
        <w:spacing w:before="0" w:after="0" w:line="259" w:lineRule="auto"/>
        <w:ind w:firstLine="420"/>
        <w:jc w:val="both"/>
      </w:pPr>
      <w:r>
        <w:rPr>
          <w:rFonts w:ascii="宋体" w:hAnsi="宋体" w:eastAsia="宋体"/>
          <w:b w:val="0"/>
          <w:sz w:val="28"/>
        </w:rPr>
        <w:t>第一，注汽措施全流程不完善。注汽措施涉及选井、设计、运行、跟踪、分析、评价六个环节，传统模式下各环节数据分散在不同系统和报表中，缺乏统一平台支撑，导致信息传递滞后、决策依据不充分，难以形成闭环管理。</w:t>
      </w:r>
    </w:p>
    <w:p w14:paraId="78775178">
      <w:pPr>
        <w:spacing w:before="0" w:after="0" w:line="259" w:lineRule="auto"/>
        <w:ind w:firstLine="420"/>
        <w:jc w:val="both"/>
      </w:pPr>
      <w:r>
        <w:rPr>
          <w:rFonts w:ascii="宋体" w:hAnsi="宋体" w:eastAsia="宋体"/>
          <w:b w:val="0"/>
          <w:sz w:val="28"/>
        </w:rPr>
        <w:t>第二，选井依赖人工经验。高效注汽井的筛选需要综合考量油汽比、峰值产量、排水期、上轮效果等多个历史参数，传统人工翻阅台账的方式效率低、主观性强。</w:t>
      </w:r>
    </w:p>
    <w:p w14:paraId="425A149A">
      <w:pPr>
        <w:spacing w:before="0" w:after="0" w:line="259" w:lineRule="auto"/>
        <w:ind w:firstLine="420"/>
        <w:jc w:val="both"/>
      </w:pPr>
      <w:r>
        <w:rPr>
          <w:rFonts w:ascii="宋体" w:hAnsi="宋体" w:eastAsia="宋体"/>
          <w:b w:val="0"/>
          <w:sz w:val="28"/>
        </w:rPr>
        <w:t>第三，井间汽窜矛盾突出。稠油热采区块井距密、多轮次注汽后井间热连通加强，汽窜问题日益严重，井组注采关系失衡，热量利用效率持续走低。</w:t>
      </w:r>
    </w:p>
    <w:p w14:paraId="75AA3969">
      <w:pPr>
        <w:spacing w:before="0" w:after="0" w:line="259" w:lineRule="auto"/>
        <w:ind w:firstLine="420"/>
        <w:jc w:val="both"/>
      </w:pPr>
      <w:r>
        <w:rPr>
          <w:rFonts w:ascii="宋体" w:hAnsi="宋体" w:eastAsia="宋体"/>
          <w:b w:val="0"/>
          <w:sz w:val="28"/>
        </w:rPr>
        <w:t>第四，单井诊断缺乏系统性。注汽质量、吸汽剖面、生产动态等诊断维度分散，缺乏从锅炉出口到井底、从注汽到采油的全链条分析，难以精准定位问题根源。</w:t>
      </w:r>
    </w:p>
    <w:p w14:paraId="2E4362D9">
      <w:pPr>
        <w:spacing w:before="0" w:after="0" w:line="259" w:lineRule="auto"/>
        <w:ind w:firstLine="420"/>
        <w:jc w:val="both"/>
      </w:pPr>
      <w:r>
        <w:rPr>
          <w:rFonts w:ascii="宋体" w:hAnsi="宋体" w:eastAsia="宋体"/>
          <w:b w:val="0"/>
          <w:sz w:val="28"/>
        </w:rPr>
        <w:t>第五，区块调控缺乏全局视角。各井组独立管理，缺乏对区块压力场和温度场的整体把控，注汽井网与开发方式难以适应开发后期的变化。</w:t>
      </w:r>
    </w:p>
    <w:p w14:paraId="1E349826">
      <w:pPr>
        <w:spacing w:before="0" w:after="0" w:line="259" w:lineRule="auto"/>
        <w:jc w:val="both"/>
      </w:pPr>
      <w:r>
        <w:rPr>
          <w:rFonts w:ascii="宋体" w:hAnsi="宋体" w:eastAsia="宋体"/>
          <w:b/>
          <w:sz w:val="28"/>
        </w:rPr>
        <w:t>1.3  数智化建设的必要性与目标</w:t>
      </w:r>
    </w:p>
    <w:p w14:paraId="2DB65DD3">
      <w:pPr>
        <w:spacing w:before="0" w:after="0" w:line="259" w:lineRule="auto"/>
        <w:ind w:firstLine="420"/>
        <w:jc w:val="both"/>
      </w:pPr>
      <w:r>
        <w:rPr>
          <w:rFonts w:ascii="宋体" w:hAnsi="宋体" w:eastAsia="宋体"/>
          <w:b w:val="0"/>
          <w:sz w:val="28"/>
        </w:rPr>
        <w:t>针对上述挑战，作业区明确提出以数智化手段重构注采管理体系的建设目标：一是构建统一数据底座，打通生产日报、含水化验、泵况检测、占产记录、措施台账、注汽阶段与日数据、井温测试、注窜关系等多源数据；二是建立“单井精细诊断→井组注采平衡→区块整体调控”三级协同智能管控体系，实现从微观诊断到宏观调控的全层次覆盖；三是构建“选井决策→方案与计划→施工监控→焖井转抽→生产响应→效果评价→优化复盘”注汽全流程数字化闭环，开发覆盖全流程的功能模块，实现从经验判断到数据决策的转变。</w:t>
      </w:r>
    </w:p>
    <w:p w14:paraId="42945A1D">
      <w:pPr>
        <w:spacing w:before="120" w:after="120" w:line="259" w:lineRule="auto"/>
        <w:jc w:val="both"/>
      </w:pPr>
      <w:r>
        <w:rPr>
          <w:rFonts w:ascii="黑体" w:hAnsi="黑体" w:eastAsia="黑体"/>
          <w:b/>
          <w:sz w:val="28"/>
        </w:rPr>
        <w:t>2  系统总体架构设计</w:t>
      </w:r>
    </w:p>
    <w:p w14:paraId="7D8746C1">
      <w:pPr>
        <w:spacing w:before="0" w:after="0" w:line="259" w:lineRule="auto"/>
        <w:jc w:val="both"/>
      </w:pPr>
      <w:r>
        <w:rPr>
          <w:rFonts w:ascii="宋体" w:hAnsi="宋体" w:eastAsia="宋体"/>
          <w:b/>
          <w:sz w:val="28"/>
        </w:rPr>
        <w:t>2.1  技术架构</w:t>
      </w:r>
    </w:p>
    <w:p w14:paraId="10C14765">
      <w:pPr>
        <w:spacing w:before="0" w:after="0" w:line="259" w:lineRule="auto"/>
        <w:ind w:firstLine="420"/>
        <w:jc w:val="both"/>
      </w:pPr>
      <w:r>
        <w:rPr>
          <w:rFonts w:ascii="宋体" w:hAnsi="宋体" w:eastAsia="宋体"/>
          <w:b w:val="0"/>
          <w:sz w:val="28"/>
        </w:rPr>
        <w:t>系统采用"数据源层→数据缓存层→业务逻辑层→可视化展示层"四层架构设计。数据源层通过Oracle数据库连接器获取远程生产数据，同时支持Excel文件的批量导入，涵盖含水化验报表、泵况检测数据、占产记录、措施台账等结构化与非结构化数据。</w:t>
      </w:r>
    </w:p>
    <w:p w14:paraId="627DEF16">
      <w:pPr>
        <w:spacing w:before="0" w:after="0" w:line="259" w:lineRule="auto"/>
        <w:ind w:firstLine="420"/>
        <w:jc w:val="both"/>
      </w:pPr>
      <w:r>
        <w:rPr>
          <w:rFonts w:ascii="宋体" w:hAnsi="宋体" w:eastAsia="宋体"/>
          <w:b w:val="0"/>
          <w:sz w:val="28"/>
        </w:rPr>
        <w:t>数据缓存层采用SQLite本地数据库，通过增量同步机制将Oracle远程数据定时同步至本地，同步频率为每4小时一次，每日进行一次完整性校验重建。该设计既降低了对远程数据库的持续依赖，又保障了前端查询的响应速度，在局域网环境下实现了秒级数据加载体验。</w:t>
      </w:r>
    </w:p>
    <w:p w14:paraId="0B8440A2">
      <w:pPr>
        <w:spacing w:before="0" w:after="0" w:line="259" w:lineRule="auto"/>
        <w:ind w:firstLine="420"/>
        <w:jc w:val="both"/>
      </w:pPr>
      <w:r>
        <w:rPr>
          <w:rFonts w:ascii="宋体" w:hAnsi="宋体" w:eastAsia="宋体"/>
          <w:b w:val="0"/>
          <w:sz w:val="28"/>
        </w:rPr>
        <w:t>业务逻辑层基于Node.js+Express框架构建，提供80余个RESTful API接口，涵盖数据同步、图表查询、选井评分、方案计划、施工监控、注窜治理、四情景预测、运行报告等全部业务场景；通过基于令牌的登录认证与角色权限控制（游客只读、管理员维护），保障数据操作安全。</w:t>
      </w:r>
    </w:p>
    <w:p w14:paraId="5BF9C9DA">
      <w:pPr>
        <w:spacing w:before="0" w:after="0" w:line="259" w:lineRule="auto"/>
        <w:ind w:firstLine="420"/>
        <w:jc w:val="both"/>
      </w:pPr>
      <w:r>
        <w:rPr>
          <w:rFonts w:ascii="宋体" w:hAnsi="宋体" w:eastAsia="宋体"/>
          <w:b w:val="0"/>
          <w:sz w:val="28"/>
        </w:rPr>
        <w:t>可视化展示层基于React 19+Vite构建单页应用，采用Tailwind CSS实现响应式布局，ECharts 6.0与Recharts驱动全部图表渲染。深色侧边栏导航承载5大功能分组、20余个功能模块，主内容区采用卡片式布局，统一8px圆角、品牌红#D32F2F强调色。系统支持Excel文件安全上传与批量解析、导出，实现业务数据的快速导入与成果报告的自动生成。</w:t>
      </w:r>
    </w:p>
    <w:p w14:paraId="7EE2888C">
      <w:pPr>
        <w:spacing w:before="0" w:after="0" w:line="259" w:lineRule="auto"/>
        <w:jc w:val="both"/>
      </w:pPr>
      <w:r>
        <w:rPr>
          <w:rFonts w:ascii="宋体" w:hAnsi="宋体" w:eastAsia="宋体"/>
          <w:b/>
          <w:sz w:val="28"/>
        </w:rPr>
        <w:t>2.2  多源数据融合</w:t>
      </w:r>
    </w:p>
    <w:p w14:paraId="37F66139">
      <w:pPr>
        <w:spacing w:before="0" w:after="0" w:line="259" w:lineRule="auto"/>
        <w:ind w:firstLine="420"/>
        <w:jc w:val="both"/>
      </w:pPr>
      <w:r>
        <w:rPr>
          <w:rFonts w:ascii="宋体" w:hAnsi="宋体" w:eastAsia="宋体"/>
          <w:b w:val="0"/>
          <w:sz w:val="28"/>
        </w:rPr>
        <w:t>系统实现了五大类数据的统一接入与融合：（1）生产日报数据，包含日产液、日产油、含水率、日产气、掺油量等核心生产指标，由Oracle远程数据库定时同步；（2）含水化验数据，来源于实验室定期采样化验报表，通过Excel导入模块统一入库；（3）泵况检测数据，包含泵效、沉没度、电流等泵况参数；（4）占产记录，按检泵、注汽、注窜等类型分类统计；（5）措施台账，覆盖注汽井从注汽到生产的全过程数据。</w:t>
      </w:r>
    </w:p>
    <w:p w14:paraId="272013FE">
      <w:pPr>
        <w:spacing w:before="0" w:after="0" w:line="259" w:lineRule="auto"/>
        <w:ind w:firstLine="420"/>
        <w:jc w:val="both"/>
      </w:pPr>
      <w:r>
        <w:rPr>
          <w:rFonts w:ascii="宋体" w:hAnsi="宋体" w:eastAsia="宋体"/>
          <w:b w:val="0"/>
          <w:sz w:val="28"/>
        </w:rPr>
        <w:t>五类数据以井号（JH）为主键关联，以日期为时间轴对齐，形成每口井"地下→井筒→地面"的完整数据画像。</w:t>
      </w:r>
    </w:p>
    <w:p w14:paraId="39CA2494">
      <w:pPr>
        <w:spacing w:before="0" w:after="0" w:line="259" w:lineRule="auto"/>
        <w:ind w:firstLine="420"/>
        <w:jc w:val="both"/>
      </w:pPr>
      <w:r>
        <w:rPr>
          <w:rFonts w:ascii="宋体" w:hAnsi="宋体" w:eastAsia="宋体"/>
          <w:b w:val="0"/>
          <w:sz w:val="28"/>
        </w:rPr>
        <w:t>在五大类基础数据之外，系统进一步接入井筒温度压力测试、注窜关系、外输计量、注汽阶段产油与日注汽参数等专题数据。各类数据均通过Excel模板批量导入并保留来源批次，导入时执行字段、日期与数值完整性校验，支持数据追溯与质量复核，形成以井号为主键、以日期为时间轴的统一数据底座。</w:t>
      </w:r>
    </w:p>
    <w:p w14:paraId="1884BF75">
      <w:pPr>
        <w:spacing w:before="0" w:after="0" w:line="259" w:lineRule="auto"/>
        <w:jc w:val="both"/>
      </w:pPr>
      <w:r>
        <w:rPr>
          <w:rFonts w:ascii="宋体" w:hAnsi="宋体" w:eastAsia="宋体"/>
          <w:b/>
          <w:sz w:val="28"/>
        </w:rPr>
        <w:t>2.3  功能体系与三级管控架构</w:t>
      </w:r>
    </w:p>
    <w:p w14:paraId="5A8B7271">
      <w:pPr>
        <w:spacing w:before="0" w:after="0" w:line="259" w:lineRule="auto"/>
        <w:ind w:firstLine="420"/>
        <w:jc w:val="both"/>
      </w:pPr>
      <w:r>
        <w:rPr>
          <w:rFonts w:ascii="宋体" w:hAnsi="宋体" w:eastAsia="宋体"/>
          <w:b w:val="0"/>
          <w:sz w:val="28"/>
        </w:rPr>
        <w:t>系统围绕“选井决策→方案与计划→施工监控→焖井转抽→生产响应→效果评价→优化复盘”的注汽全流程闭环，设置了基本情况、注汽管理、生产分析、专项监测、系统管理5大功能分组、20余个功能模块，并围绕“单井精细诊断→井组注采平衡→区块整体调控”三级管控架构进行组织：</w:t>
      </w:r>
    </w:p>
    <w:p w14:paraId="113ACD70">
      <w:pPr>
        <w:spacing w:before="0" w:after="0" w:line="259" w:lineRule="auto"/>
        <w:ind w:firstLine="420"/>
        <w:jc w:val="both"/>
      </w:pPr>
      <w:r>
        <w:rPr>
          <w:rFonts w:ascii="宋体" w:hAnsi="宋体" w:eastAsia="宋体"/>
          <w:b w:val="0"/>
          <w:sz w:val="28"/>
        </w:rPr>
        <w:t>单井级：以单井分析、含水化验、井温监控、措施跟踪、ABCD分级管理为核心，支撑每口井的精准诊断与效果评价。</w:t>
      </w:r>
    </w:p>
    <w:p w14:paraId="2C331B06">
      <w:pPr>
        <w:spacing w:before="0" w:after="0" w:line="259" w:lineRule="auto"/>
        <w:ind w:firstLine="420"/>
        <w:jc w:val="both"/>
      </w:pPr>
      <w:r>
        <w:rPr>
          <w:rFonts w:ascii="宋体" w:hAnsi="宋体" w:eastAsia="宋体"/>
          <w:b w:val="0"/>
          <w:sz w:val="28"/>
        </w:rPr>
        <w:t>井组级：以措施选井、方案与计划、施工监控、焖井转抽、措施分析（旬度/月度/区块/类型/自定义）、占产分析、注窜项目台账为核心，支撑井组注采关系的平衡与优化。</w:t>
      </w:r>
    </w:p>
    <w:p w14:paraId="5120D2CB">
      <w:pPr>
        <w:spacing w:before="0" w:after="0" w:line="259" w:lineRule="auto"/>
        <w:ind w:firstLine="420"/>
        <w:jc w:val="both"/>
      </w:pPr>
      <w:r>
        <w:rPr>
          <w:rFonts w:ascii="宋体" w:hAnsi="宋体" w:eastAsia="宋体"/>
          <w:b w:val="0"/>
          <w:sz w:val="28"/>
        </w:rPr>
        <w:t>区块级：以系统概览、重点情况、注汽驾驶舱、注采状态地图、区块分析、产量预测、注汽优化预测、检泵分析、外输跟踪为核心，支撑区块整体的态势把控与战略调控。</w:t>
      </w:r>
    </w:p>
    <w:p w14:paraId="596070C1">
      <w:pPr>
        <w:spacing w:before="0" w:after="0" w:line="259" w:lineRule="auto"/>
        <w:ind w:firstLine="420"/>
        <w:jc w:val="both"/>
      </w:pPr>
      <w:r>
        <w:rPr>
          <w:rFonts w:ascii="宋体" w:hAnsi="宋体" w:eastAsia="宋体"/>
          <w:b w:val="0"/>
          <w:sz w:val="28"/>
        </w:rPr>
        <w:t>三级之间数据贯通、层层递进：单井诊断为井组调整提供依据，井组优化为区块调控积累经验，区块决策又反馈指导单井措施。</w:t>
      </w:r>
    </w:p>
    <w:p w14:paraId="0F883A51">
      <w:pPr>
        <w:keepNext/>
        <w:spacing w:before="0" w:after="0" w:line="259" w:lineRule="auto"/>
        <w:jc w:val="center"/>
      </w:pPr>
      <w:r>
        <w:drawing>
          <wp:inline xmlns:a="http://schemas.openxmlformats.org/drawingml/2006/main" xmlns:pic="http://schemas.openxmlformats.org/drawingml/2006/picture">
            <wp:extent cx="5256000" cy="2910509"/>
            <wp:docPr id="4" name="Picture 4"/>
            <wp:cNvGraphicFramePr>
              <a:graphicFrameLocks noChangeAspect="1"/>
            </wp:cNvGraphicFramePr>
            <a:graphic>
              <a:graphicData uri="http://schemas.openxmlformats.org/drawingml/2006/picture">
                <pic:pic>
                  <pic:nvPicPr>
                    <pic:cNvPr id="0" name="figure-1-three-tier-control-architecture.png"/>
                    <pic:cNvPicPr/>
                  </pic:nvPicPr>
                  <pic:blipFill>
                    <a:blip r:embed="rId10"/>
                    <a:stretch>
                      <a:fillRect/>
                    </a:stretch>
                  </pic:blipFill>
                  <pic:spPr>
                    <a:xfrm>
                      <a:off x="0" y="0"/>
                      <a:ext cx="5256000" cy="2910509"/>
                    </a:xfrm>
                    <a:prstGeom prst="rect"/>
                  </pic:spPr>
                </pic:pic>
              </a:graphicData>
            </a:graphic>
          </wp:inline>
        </w:drawing>
      </w:r>
    </w:p>
    <w:p w14:paraId="67D108F2">
      <w:pPr>
        <w:spacing w:before="120" w:after="200" w:line="259" w:lineRule="auto"/>
        <w:jc w:val="center"/>
      </w:pPr>
      <w:r>
        <w:rPr>
          <w:rFonts w:ascii="黑体" w:hAnsi="黑体" w:eastAsia="黑体"/>
          <w:b w:val="0"/>
          <w:sz w:val="18"/>
        </w:rPr>
        <w:t>图1  系统三级管控架构示意图</w:t>
      </w:r>
    </w:p>
    <w:p w14:paraId="23B66DA8">
      <w:pPr>
        <w:spacing w:before="120" w:after="120" w:line="259" w:lineRule="auto"/>
        <w:jc w:val="both"/>
      </w:pPr>
      <w:r>
        <w:rPr>
          <w:rFonts w:ascii="黑体" w:hAnsi="黑体" w:eastAsia="黑体"/>
          <w:b/>
          <w:sz w:val="28"/>
        </w:rPr>
        <w:t>3  数据驱动的一体化监控体系</w:t>
      </w:r>
    </w:p>
    <w:p w14:paraId="4C828C01">
      <w:pPr>
        <w:spacing w:before="0" w:after="0" w:line="259" w:lineRule="auto"/>
        <w:ind w:firstLine="420"/>
        <w:jc w:val="both"/>
      </w:pPr>
      <w:r>
        <w:rPr>
          <w:rFonts w:ascii="宋体" w:hAnsi="宋体" w:eastAsia="宋体"/>
          <w:b w:val="0"/>
          <w:sz w:val="28"/>
        </w:rPr>
        <w:t>本章对应系统“基本情况”功能分组，围绕系统概览、重点情况、注汽驾驶舱、注采状态地图、井温监控五个模块，构建面向生产管理者的数据驱动一体化监控体系。</w:t>
      </w:r>
    </w:p>
    <w:p w14:paraId="72027801">
      <w:pPr>
        <w:spacing w:before="0" w:after="0" w:line="259" w:lineRule="auto"/>
        <w:jc w:val="both"/>
      </w:pPr>
      <w:r>
        <w:rPr>
          <w:rFonts w:ascii="宋体" w:hAnsi="宋体" w:eastAsia="宋体"/>
          <w:b/>
          <w:sz w:val="28"/>
        </w:rPr>
        <w:t>3.1  系统概览——两年同期对标</w:t>
      </w:r>
    </w:p>
    <w:p w14:paraId="29A3A891">
      <w:pPr>
        <w:spacing w:before="0" w:after="0" w:line="259" w:lineRule="auto"/>
        <w:ind w:firstLine="420"/>
        <w:jc w:val="both"/>
      </w:pPr>
      <w:r>
        <w:rPr>
          <w:rFonts w:ascii="宋体" w:hAnsi="宋体" w:eastAsia="宋体"/>
          <w:b w:val="0"/>
          <w:sz w:val="28"/>
        </w:rPr>
        <w:t>系统概览模块是作业区生产管理者进入系统的第一视图。页面顶部展示日产液、日产油、日产气、综合含水率四维KPI指标卡，采用业务标准颜色体系（日产液蓝色#2563eb、日产油品牌红色#D32F2F、含水绿色#16a34a、日产气黄色#facc15）。</w:t>
      </w:r>
    </w:p>
    <w:p w14:paraId="2085F78B">
      <w:pPr>
        <w:spacing w:before="0" w:after="0" w:line="259" w:lineRule="auto"/>
        <w:ind w:firstLine="420"/>
        <w:jc w:val="both"/>
      </w:pPr>
      <w:r>
        <w:rPr>
          <w:rFonts w:ascii="宋体" w:hAnsi="宋体" w:eastAsia="宋体"/>
          <w:b w:val="0"/>
          <w:sz w:val="28"/>
        </w:rPr>
        <w:t>核心创新在于"两年同期数据对标"机制。系统默认同步展示当年与上一年同期的生产曲线，两条曲线以不同颜色叠加在同一坐标系中，管理者可直观判断当前产量走势是否偏离历史同期水平。当偏离幅度超过预设阈值时，系统自动在曲线上标注异常区间，将传统的"月底对账"升级为"每日对标"。</w:t>
      </w:r>
    </w:p>
    <w:p w14:paraId="0C1C12AA">
      <w:pPr>
        <w:spacing w:before="0" w:after="0" w:line="259" w:lineRule="auto"/>
        <w:jc w:val="both"/>
      </w:pPr>
      <w:r>
        <w:rPr>
          <w:rFonts w:ascii="宋体" w:hAnsi="宋体" w:eastAsia="宋体"/>
          <w:b/>
          <w:sz w:val="28"/>
        </w:rPr>
        <w:t>3.2  重点情况——六类异常处置工作台</w:t>
      </w:r>
    </w:p>
    <w:p w14:paraId="1F2BC7A3">
      <w:pPr>
        <w:spacing w:before="0" w:after="0" w:line="259" w:lineRule="auto"/>
        <w:ind w:firstLine="420"/>
        <w:jc w:val="both"/>
      </w:pPr>
      <w:r>
        <w:rPr>
          <w:rFonts w:ascii="宋体" w:hAnsi="宋体" w:eastAsia="宋体"/>
          <w:b w:val="0"/>
          <w:sz w:val="28"/>
        </w:rPr>
        <w:t>重点情况模块将生产管理中的异常问题集中为“六类重点异常处置工作台”，统一汇聚检泵异常、含水偏差、区块递减、正焖井、注汽同期变化、复产井跟踪六类问题。模块按照严重程度、偏差绝对值、数据日期综合排序，逐条给出井号（或区块）、关键对比、偏差值、当前状态与处置建议，并支持一键下钻至单井分析、检泵跟踪、焖井转抽、措施跟踪等对应业务页面，实现异常发现、原因定位、处置跟踪的闭环管理。</w:t>
      </w:r>
    </w:p>
    <w:p w14:paraId="674FEDB6">
      <w:pPr>
        <w:spacing w:before="0" w:after="0" w:line="259" w:lineRule="auto"/>
        <w:ind w:firstLine="420"/>
        <w:jc w:val="both"/>
      </w:pPr>
      <w:r>
        <w:rPr>
          <w:rFonts w:ascii="宋体" w:hAnsi="宋体" w:eastAsia="宋体"/>
          <w:b w:val="0"/>
          <w:sz w:val="28"/>
        </w:rPr>
        <w:t>在数据口径上，检泵异常以检泵后近5天平均日产油与检泵前近5天平均日产油之比判定恢复率；含水偏差取化验含水与报产含水同期可比记录的绝对偏差；区块递减率采用上年全年产量与目标月折算年产量对比的统一算法；正焖井、注汽同期变化、复产井跟踪分别联动焖井转抽、措施跟踪等共享数据源。所有指标均标注数据来源与更新时间，数据不足时明确显示“待补全”而非以零代替，避免虚假告警。</w:t>
      </w:r>
    </w:p>
    <w:p w14:paraId="4EDFCC86">
      <w:pPr>
        <w:spacing w:before="0" w:after="0" w:line="259" w:lineRule="auto"/>
        <w:jc w:val="both"/>
      </w:pPr>
      <w:r>
        <w:rPr>
          <w:rFonts w:ascii="宋体" w:hAnsi="宋体" w:eastAsia="宋体"/>
          <w:b/>
          <w:sz w:val="28"/>
        </w:rPr>
        <w:t>3.3  注采驾驶舱——注采运行态势总览</w:t>
      </w:r>
    </w:p>
    <w:p w14:paraId="4DA344B9">
      <w:pPr>
        <w:spacing w:before="0" w:after="0" w:line="259" w:lineRule="auto"/>
        <w:ind w:firstLine="420"/>
        <w:jc w:val="both"/>
      </w:pPr>
      <w:r>
        <w:rPr>
          <w:rFonts w:ascii="宋体" w:hAnsi="宋体" w:eastAsia="宋体"/>
          <w:b w:val="0"/>
          <w:sz w:val="28"/>
        </w:rPr>
        <w:t>注采驾驶舱是连接注汽端与采油端的一体化运行总览视图。页面顶部以数据健康条展示生产数据最新日期、注汽数据导入时间、选井数据导入时间与数据同步状态，统一呈现“正常、滞后、失败、待导入”四种健康状态，消除数据时效性歧义。</w:t>
      </w:r>
    </w:p>
    <w:p w14:paraId="5A7CACEE">
      <w:pPr>
        <w:spacing w:before="0" w:after="0" w:line="259" w:lineRule="auto"/>
        <w:ind w:firstLine="420"/>
        <w:jc w:val="both"/>
      </w:pPr>
      <w:r>
        <w:rPr>
          <w:rFonts w:ascii="宋体" w:hAnsi="宋体" w:eastAsia="宋体"/>
          <w:b w:val="0"/>
          <w:sz w:val="28"/>
        </w:rPr>
        <w:t>驾驶舱核心指标卡依次展示生产井数、正注井数、焖井数、待转抽井数、日产油、累计增油、油汽比等注采运行指标，全部指标标注数据口径与更新时间；油汽比统一采用周期产油与实际注汽量的比值计算，数据不足时明确显示“数据待补全”而不以零代替。</w:t>
      </w:r>
    </w:p>
    <w:p w14:paraId="00FA17BA">
      <w:pPr>
        <w:spacing w:before="0" w:after="0" w:line="259" w:lineRule="auto"/>
        <w:ind w:firstLine="420"/>
        <w:jc w:val="both"/>
      </w:pPr>
      <w:r>
        <w:rPr>
          <w:rFonts w:ascii="宋体" w:hAnsi="宋体" w:eastAsia="宋体"/>
          <w:b w:val="0"/>
          <w:sz w:val="28"/>
        </w:rPr>
        <w:t>驾驶舱自动生成数据待补全、未评价、低效井、焖井逾期、待转抽逾期五类异常待办清单，点击待办即可携带筛选条件下钻至措施跟踪、效果评价或注采状态地图，形成“总览—定位—处置”的快速路径，显著缩短异常响应时效。</w:t>
      </w:r>
    </w:p>
    <w:p w14:paraId="0CDCBBB7">
      <w:pPr>
        <w:spacing w:before="0" w:after="0" w:line="259" w:lineRule="auto"/>
        <w:jc w:val="both"/>
      </w:pPr>
      <w:r>
        <w:rPr>
          <w:rFonts w:ascii="宋体" w:hAnsi="宋体" w:eastAsia="宋体"/>
          <w:b/>
          <w:sz w:val="28"/>
        </w:rPr>
        <w:t>3.4  注采状态地图——井位与注窜关系空间化</w:t>
      </w:r>
    </w:p>
    <w:p w14:paraId="07A599AE">
      <w:pPr>
        <w:spacing w:before="0" w:after="0" w:line="259" w:lineRule="auto"/>
        <w:ind w:firstLine="420"/>
        <w:jc w:val="both"/>
      </w:pPr>
      <w:r>
        <w:rPr>
          <w:rFonts w:ascii="宋体" w:hAnsi="宋体" w:eastAsia="宋体"/>
          <w:b w:val="0"/>
          <w:sz w:val="28"/>
        </w:rPr>
        <w:t>注采状态地图以井位图为基础，将正注、焖井、待转抽、转抽生产等注汽生命周期状态以不同颜色叠加到井位坐标上，并支持按区块与分类筛选、图例统计，使管理人员一图掌握全区注汽运行格局；无坐标井单独列出“待补坐标”清单，保证状态统计完整。</w:t>
      </w:r>
    </w:p>
    <w:p w14:paraId="69FC6D20">
      <w:pPr>
        <w:spacing w:before="0" w:after="0" w:line="259" w:lineRule="auto"/>
        <w:ind w:firstLine="420"/>
        <w:jc w:val="both"/>
      </w:pPr>
      <w:r>
        <w:rPr>
          <w:rFonts w:ascii="宋体" w:hAnsi="宋体" w:eastAsia="宋体"/>
          <w:b w:val="0"/>
          <w:sz w:val="28"/>
        </w:rPr>
        <w:t>地图同时提供注窜关系图层，以红色实线、橙色实线、紫色虚线、灰色线分别标识高影响已确认、一般已确认、疑似待确认、已解除的注窜关系；点击连线可查看关联注井与采油井、影响等级、置信度、证据、注汽过程及产量影响，支撑井间汽窜的空间化研判与现场协同治理。</w:t>
      </w:r>
    </w:p>
    <w:p w14:paraId="0A4F0A77">
      <w:pPr>
        <w:spacing w:before="0" w:after="0" w:line="259" w:lineRule="auto"/>
        <w:jc w:val="both"/>
      </w:pPr>
      <w:r>
        <w:rPr>
          <w:rFonts w:ascii="宋体" w:hAnsi="宋体" w:eastAsia="宋体"/>
          <w:b/>
          <w:sz w:val="28"/>
        </w:rPr>
        <w:t>3.5  井温监控——井筒温度压力剖面透视</w:t>
      </w:r>
    </w:p>
    <w:p w14:paraId="14443E1C">
      <w:pPr>
        <w:spacing w:before="0" w:after="0" w:line="259" w:lineRule="auto"/>
        <w:ind w:firstLine="420"/>
        <w:jc w:val="both"/>
      </w:pPr>
      <w:r>
        <w:rPr>
          <w:rFonts w:ascii="宋体" w:hAnsi="宋体" w:eastAsia="宋体"/>
          <w:b w:val="0"/>
          <w:sz w:val="28"/>
        </w:rPr>
        <w:t>井温监控模块支持上传井筒温度压力测试表，按井号与测试日期保存历史测试记录；以温度—井深、压力—井深两条曲线展示测试剖面，纵轴井深自上而下，直观呈现井筒沿程温度压力分布。</w:t>
      </w:r>
    </w:p>
    <w:p w14:paraId="6FC0B4B3">
      <w:pPr>
        <w:spacing w:before="0" w:after="0" w:line="259" w:lineRule="auto"/>
        <w:ind w:firstLine="420"/>
        <w:jc w:val="both"/>
      </w:pPr>
      <w:r>
        <w:rPr>
          <w:rFonts w:ascii="宋体" w:hAnsi="宋体" w:eastAsia="宋体"/>
          <w:b w:val="0"/>
          <w:sz w:val="28"/>
        </w:rPr>
        <w:t>曲线同时以浅黄色区间标注射孔井段顶底深度，技术人员可结合射孔位置判断各层段的动用与蒸汽波及情况，为吸汽剖面诊断和分层注汽方案提供井筒实测依据；同一井号的多次测试独立保存，支持历史测试对比。</w:t>
      </w:r>
    </w:p>
    <w:p w14:paraId="59F1FD5C">
      <w:pPr>
        <w:spacing w:before="120" w:after="120" w:line="259" w:lineRule="auto"/>
        <w:jc w:val="both"/>
      </w:pPr>
      <w:r>
        <w:rPr>
          <w:rFonts w:ascii="黑体" w:hAnsi="黑体" w:eastAsia="黑体"/>
          <w:b/>
          <w:sz w:val="28"/>
        </w:rPr>
        <w:t>4  智能选井与注汽措施全流程管控</w:t>
      </w:r>
    </w:p>
    <w:p w14:paraId="7D699569">
      <w:pPr>
        <w:spacing w:before="0" w:after="0" w:line="259" w:lineRule="auto"/>
        <w:jc w:val="both"/>
      </w:pPr>
      <w:r>
        <w:rPr>
          <w:rFonts w:ascii="宋体" w:hAnsi="宋体" w:eastAsia="宋体"/>
          <w:b/>
          <w:sz w:val="28"/>
        </w:rPr>
        <w:t>4.1  措施选井——数据驱动的智能决策</w:t>
      </w:r>
    </w:p>
    <w:p w14:paraId="7DA61230">
      <w:pPr>
        <w:spacing w:before="0" w:after="0" w:line="259" w:lineRule="auto"/>
        <w:ind w:firstLine="420"/>
        <w:jc w:val="both"/>
      </w:pPr>
      <w:r>
        <w:rPr>
          <w:rFonts w:ascii="宋体" w:hAnsi="宋体" w:eastAsia="宋体"/>
          <w:b w:val="0"/>
          <w:sz w:val="28"/>
        </w:rPr>
        <w:t>措施选井是注汽管理的起点。系统建立了多维度选井参数体系，核心指标包括：（1）油汽比（OSR），即上轮注汽累产油与注汽量的比值；（2）峰值产量，即注汽后最高日产油水平；（3）排水期，即注汽后从开井到见油高峰的天数；（4）上轮累产油；（5）井间距离与注汽干扰风险。</w:t>
      </w:r>
    </w:p>
    <w:p w14:paraId="5A6203C3">
      <w:pPr>
        <w:spacing w:before="0" w:after="0" w:line="259" w:lineRule="auto"/>
        <w:ind w:firstLine="420"/>
        <w:jc w:val="both"/>
      </w:pPr>
      <w:r>
        <w:rPr>
          <w:rFonts w:ascii="宋体" w:hAnsi="宋体" w:eastAsia="宋体"/>
          <w:b w:val="0"/>
          <w:sz w:val="28"/>
        </w:rPr>
        <w:t>系统支持批量导入近六年阶段产油与日注汽参数两类历史数据，自动重建选井数据底账，并按透明规则建立可解释评分模型：以历史油汽比为主要排序指标，叠加最近周期阶段产油、多周期油汽比稳定性、日注汽数据完整性（温度、压力、干度、日注汽量）等因素，关键数据缺失或异常自动降分并记录原因；候选井自动排除已标记为低效或存在井况问题的井，实现“机器推荐+人工确认”的人机协同选井模式。系统可自动生成目标月份最多30口井的可执行注汽计划，推荐匹配锅炉并自动识别氮气、二氧化碳辅助注入标记，支持人工调整、锁定、剔除与Excel导出，并支持年度注汽计划编制，在保稳产、保增产的同时减少搬家运行费用。</w:t>
      </w:r>
    </w:p>
    <w:p w14:paraId="5C085AFD">
      <w:pPr>
        <w:keepNext/>
        <w:spacing w:before="240" w:after="40" w:line="259" w:lineRule="auto"/>
        <w:jc w:val="center"/>
      </w:pPr>
      <w:r>
        <w:rPr>
          <w:rFonts w:ascii="黑体" w:hAnsi="黑体" w:eastAsia="黑体"/>
          <w:b w:val="0"/>
          <w:sz w:val="18"/>
        </w:rPr>
        <w:t>表1  选井评分指标及权重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3651"/>
      </w:tblGrid>
      <w:tr w14:paraId="4E76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78" w:type="dxa"/>
          </w:tcPr>
          <w:p w14:paraId="371503C7">
            <w:pPr>
              <w:spacing w:after="0"/>
            </w:pPr>
            <w:r>
              <w:t>评分指标</w:t>
            </w:r>
          </w:p>
        </w:tc>
        <w:tc>
          <w:tcPr>
            <w:tcW w:w="2078" w:type="dxa"/>
          </w:tcPr>
          <w:p w14:paraId="47BDBC2A">
            <w:pPr>
              <w:spacing w:after="0"/>
            </w:pPr>
            <w:r>
              <w:t>权重（分）</w:t>
            </w:r>
          </w:p>
        </w:tc>
        <w:tc>
          <w:tcPr>
            <w:tcW w:w="3651" w:type="dxa"/>
          </w:tcPr>
          <w:p w14:paraId="631115E9">
            <w:pPr>
              <w:spacing w:after="0"/>
            </w:pPr>
            <w:r>
              <w:t>计算口径</w:t>
            </w:r>
          </w:p>
        </w:tc>
      </w:tr>
      <w:tr w14:paraId="6630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78" w:type="dxa"/>
          </w:tcPr>
          <w:p w14:paraId="1CAFA37A">
            <w:pPr>
              <w:spacing w:after="0"/>
            </w:pPr>
            <w:r>
              <w:t>油汽比</w:t>
            </w:r>
          </w:p>
        </w:tc>
        <w:tc>
          <w:tcPr>
            <w:tcW w:w="2078" w:type="dxa"/>
          </w:tcPr>
          <w:p w14:paraId="6289570A">
            <w:pPr>
              <w:spacing w:after="0"/>
            </w:pPr>
            <w:r>
              <w:t>40</w:t>
            </w:r>
          </w:p>
        </w:tc>
        <w:tc>
          <w:tcPr>
            <w:tcW w:w="3651" w:type="dxa"/>
          </w:tcPr>
          <w:p w14:paraId="17A8A145">
            <w:pPr>
              <w:spacing w:after="0"/>
            </w:pPr>
            <w:r>
              <w:t>周期产油/实际注汽量；近3轮均值×0.7＋全部周期均值×0.3，按区块百分位计分</w:t>
            </w:r>
          </w:p>
        </w:tc>
      </w:tr>
      <w:tr w14:paraId="4DD9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78" w:type="dxa"/>
          </w:tcPr>
          <w:p w14:paraId="36202612">
            <w:pPr>
              <w:spacing w:after="0"/>
            </w:pPr>
            <w:r>
              <w:t>周期产油</w:t>
            </w:r>
          </w:p>
        </w:tc>
        <w:tc>
          <w:tcPr>
            <w:tcW w:w="2078" w:type="dxa"/>
          </w:tcPr>
          <w:p w14:paraId="01A36A50">
            <w:pPr>
              <w:spacing w:after="0"/>
            </w:pPr>
            <w:r>
              <w:t>20</w:t>
            </w:r>
          </w:p>
        </w:tc>
        <w:tc>
          <w:tcPr>
            <w:tcW w:w="3651" w:type="dxa"/>
          </w:tcPr>
          <w:p w14:paraId="5424359F">
            <w:pPr>
              <w:spacing w:after="0"/>
            </w:pPr>
            <w:r>
              <w:t>各轮阶段产油均值，按区块百分位计分</w:t>
            </w:r>
          </w:p>
        </w:tc>
      </w:tr>
      <w:tr w14:paraId="4E77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78" w:type="dxa"/>
          </w:tcPr>
          <w:p w14:paraId="3224369F">
            <w:pPr>
              <w:spacing w:after="0"/>
            </w:pPr>
            <w:r>
              <w:t>峰值产油</w:t>
            </w:r>
          </w:p>
        </w:tc>
        <w:tc>
          <w:tcPr>
            <w:tcW w:w="2078" w:type="dxa"/>
          </w:tcPr>
          <w:p w14:paraId="67757B97">
            <w:pPr>
              <w:spacing w:after="0"/>
            </w:pPr>
            <w:r>
              <w:t>15</w:t>
            </w:r>
          </w:p>
        </w:tc>
        <w:tc>
          <w:tcPr>
            <w:tcW w:w="3651" w:type="dxa"/>
          </w:tcPr>
          <w:p w14:paraId="0A20D13D">
            <w:pPr>
              <w:spacing w:after="0"/>
            </w:pPr>
            <w:r>
              <w:t>最近周期最高日产油，按区块百分位计分</w:t>
            </w:r>
          </w:p>
        </w:tc>
      </w:tr>
      <w:tr w14:paraId="0C85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78" w:type="dxa"/>
          </w:tcPr>
          <w:p w14:paraId="443BBA03">
            <w:pPr>
              <w:spacing w:after="0"/>
            </w:pPr>
            <w:r>
              <w:t>见油时间</w:t>
            </w:r>
          </w:p>
        </w:tc>
        <w:tc>
          <w:tcPr>
            <w:tcW w:w="2078" w:type="dxa"/>
          </w:tcPr>
          <w:p w14:paraId="7A796AA2">
            <w:pPr>
              <w:spacing w:after="0"/>
            </w:pPr>
            <w:r>
              <w:t>10</w:t>
            </w:r>
          </w:p>
        </w:tc>
        <w:tc>
          <w:tcPr>
            <w:tcW w:w="3651" w:type="dxa"/>
          </w:tcPr>
          <w:p w14:paraId="698A96B0">
            <w:pPr>
              <w:spacing w:after="0"/>
            </w:pPr>
            <w:r>
              <w:t>注汽后见油高峰天数，越短越好，按区块百分位反向计分</w:t>
            </w:r>
          </w:p>
        </w:tc>
      </w:tr>
      <w:tr w14:paraId="66BB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78" w:type="dxa"/>
          </w:tcPr>
          <w:p w14:paraId="31C61249">
            <w:pPr>
              <w:spacing w:after="0"/>
            </w:pPr>
            <w:r>
              <w:t>注汽稳定性</w:t>
            </w:r>
          </w:p>
        </w:tc>
        <w:tc>
          <w:tcPr>
            <w:tcW w:w="2078" w:type="dxa"/>
          </w:tcPr>
          <w:p w14:paraId="0B893EEB">
            <w:pPr>
              <w:spacing w:after="0"/>
            </w:pPr>
            <w:r>
              <w:t>10</w:t>
            </w:r>
          </w:p>
        </w:tc>
        <w:tc>
          <w:tcPr>
            <w:tcW w:w="3651" w:type="dxa"/>
          </w:tcPr>
          <w:p w14:paraId="51A386B9">
            <w:pPr>
              <w:spacing w:after="0"/>
            </w:pPr>
            <w:r>
              <w:t>1－|实际注汽量/设计注汽量－1|，偏差越小得分越高</w:t>
            </w:r>
          </w:p>
        </w:tc>
      </w:tr>
      <w:tr w14:paraId="11140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78" w:type="dxa"/>
          </w:tcPr>
          <w:p w14:paraId="2FA384E5">
            <w:pPr>
              <w:spacing w:after="0"/>
            </w:pPr>
            <w:r>
              <w:t>数据完整度</w:t>
            </w:r>
          </w:p>
        </w:tc>
        <w:tc>
          <w:tcPr>
            <w:tcW w:w="2078" w:type="dxa"/>
          </w:tcPr>
          <w:p w14:paraId="165B20A0">
            <w:pPr>
              <w:spacing w:after="0"/>
            </w:pPr>
            <w:r>
              <w:t>5</w:t>
            </w:r>
          </w:p>
        </w:tc>
        <w:tc>
          <w:tcPr>
            <w:tcW w:w="3651" w:type="dxa"/>
          </w:tcPr>
          <w:p w14:paraId="068EB0ED">
            <w:pPr>
              <w:spacing w:after="0"/>
            </w:pPr>
            <w:r>
              <w:t>有效字段数/应填字段数</w:t>
            </w:r>
          </w:p>
        </w:tc>
      </w:tr>
    </w:tbl>
    <w:p w14:paraId="0D8DCC1B">
      <w:pPr>
        <w:spacing w:before="0" w:after="0" w:line="259" w:lineRule="auto"/>
        <w:ind w:firstLine="420"/>
        <w:jc w:val="both"/>
      </w:pPr>
      <w:r>
        <w:rPr>
          <w:rFonts w:ascii="宋体" w:hAnsi="宋体" w:eastAsia="宋体"/>
          <w:b w:val="0"/>
          <w:sz w:val="28"/>
        </w:rPr>
        <w:t>评分模型采用百分制加权求和，综合得分S=Σ（wi×si），各指标权重与计算口径见表1。其中：油汽比按周期产油与实际注汽量之比计算，采用近3轮均值与全部周期均值按0.7∶0.3加权平滑；油汽比、周期产油、峰值产油、见油时间四项指标按井在所在区块全部候选井中的百分位排名计分，见油时间越短越好、反向计分，可消除不同区块产能基数差异；注汽稳定性按1－|实际注汽量/设计注汽量－1|计算，实际与设计注汽偏差越小得分越高；数据完整度按有效字段占应填字段的比例计分。综合得分不低于75分为推荐井，60～74.9分为候选井，低于60分为暂不推荐井，油汽比缺失的井自动标记为数据待补全，不参与推荐。</w:t>
      </w:r>
    </w:p>
    <w:p w14:paraId="2A50AC1B">
      <w:pPr>
        <w:spacing w:before="0" w:after="0" w:line="259" w:lineRule="auto"/>
        <w:jc w:val="both"/>
      </w:pPr>
      <w:r>
        <w:rPr>
          <w:rFonts w:ascii="宋体" w:hAnsi="宋体" w:eastAsia="宋体"/>
          <w:b/>
          <w:sz w:val="28"/>
        </w:rPr>
        <w:t>4.2  措施跟踪——从注到采全周期管理</w:t>
      </w:r>
    </w:p>
    <w:p w14:paraId="001FE8B3">
      <w:pPr>
        <w:spacing w:before="0" w:after="0" w:line="259" w:lineRule="auto"/>
        <w:ind w:firstLine="420"/>
        <w:jc w:val="both"/>
      </w:pPr>
      <w:r>
        <w:rPr>
          <w:rFonts w:ascii="宋体" w:hAnsi="宋体" w:eastAsia="宋体"/>
          <w:b w:val="0"/>
          <w:sz w:val="28"/>
        </w:rPr>
        <w:t>措施跟踪模块实现了注汽井从注汽开始到生产结束的全周期数字化跟踪。系统支持Excel批量导入措施记录，跟踪产液、产油、含水、掺油四项指标的变化曲线，自动计算本轮注汽的峰值产量、见油时间、排水期、有效生产天数等关键参数。</w:t>
      </w:r>
    </w:p>
    <w:p w14:paraId="34CF6282">
      <w:pPr>
        <w:spacing w:before="0" w:after="0" w:line="259" w:lineRule="auto"/>
        <w:ind w:firstLine="420"/>
        <w:jc w:val="both"/>
      </w:pPr>
      <w:r>
        <w:rPr>
          <w:rFonts w:ascii="宋体" w:hAnsi="宋体" w:eastAsia="宋体"/>
          <w:b w:val="0"/>
          <w:sz w:val="28"/>
        </w:rPr>
        <w:t>系统实现本轮与上轮同期的自动对比，将两轮同期的日产油、累产油曲线叠加展示，直观呈现本轮效果是优于还是劣于上轮。差异量化后自动标注：效果好的井→提炼成功方法；效果差的井→追溯原因。</w:t>
      </w:r>
    </w:p>
    <w:p w14:paraId="639A1CB7">
      <w:pPr>
        <w:spacing w:before="0" w:after="0" w:line="259" w:lineRule="auto"/>
        <w:jc w:val="both"/>
      </w:pPr>
      <w:r>
        <w:rPr>
          <w:rFonts w:ascii="宋体" w:hAnsi="宋体" w:eastAsia="宋体"/>
          <w:b/>
          <w:sz w:val="28"/>
        </w:rPr>
        <w:t>4.3  措施井ABCD四级效果分级管理</w:t>
      </w:r>
    </w:p>
    <w:p w14:paraId="709199D2">
      <w:pPr>
        <w:spacing w:before="0" w:after="0" w:line="259" w:lineRule="auto"/>
        <w:ind w:firstLine="420"/>
        <w:jc w:val="both"/>
      </w:pPr>
      <w:r>
        <w:rPr>
          <w:rFonts w:ascii="宋体" w:hAnsi="宋体" w:eastAsia="宋体"/>
          <w:b w:val="0"/>
          <w:sz w:val="28"/>
        </w:rPr>
        <w:t>系统创新性地建立了基于"本轮/上轮对比"的ABCD四级效果分级体系。采用本轮累产油与上轮同期累产油的比值作为分级依据，更加科学地反映措施效果的纵向变化，消除了不同油井产能基数差异带来的评价偏差。</w:t>
      </w:r>
    </w:p>
    <w:p w14:paraId="55E81715">
      <w:pPr>
        <w:spacing w:before="240" w:after="40" w:line="259" w:lineRule="auto"/>
        <w:jc w:val="center"/>
      </w:pPr>
      <w:r>
        <w:rPr>
          <w:rFonts w:ascii="黑体" w:hAnsi="黑体" w:eastAsia="黑体"/>
          <w:b w:val="0"/>
          <w:sz w:val="18"/>
        </w:rPr>
        <w:t>表2  措施井ABCD效果分级标准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D08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81D24D5">
            <w:pPr>
              <w:spacing w:after="0"/>
            </w:pPr>
            <w:r>
              <w:t>等级</w:t>
            </w:r>
          </w:p>
        </w:tc>
        <w:tc>
          <w:tcPr>
            <w:tcW w:w="2078" w:type="dxa"/>
          </w:tcPr>
          <w:p w14:paraId="0ACE2AD5">
            <w:pPr>
              <w:spacing w:after="0"/>
            </w:pPr>
            <w:r>
              <w:t>比值（本轮/上轮）</w:t>
            </w:r>
          </w:p>
        </w:tc>
        <w:tc>
          <w:tcPr>
            <w:tcW w:w="2078" w:type="dxa"/>
          </w:tcPr>
          <w:p w14:paraId="780CF59C">
            <w:pPr>
              <w:spacing w:after="0"/>
            </w:pPr>
            <w:r>
              <w:t>含义</w:t>
            </w:r>
          </w:p>
        </w:tc>
        <w:tc>
          <w:tcPr>
            <w:tcW w:w="2078" w:type="dxa"/>
          </w:tcPr>
          <w:p w14:paraId="65AA7DE1">
            <w:pPr>
              <w:spacing w:after="0"/>
            </w:pPr>
            <w:r>
              <w:t>管理策略</w:t>
            </w:r>
          </w:p>
        </w:tc>
      </w:tr>
      <w:tr w14:paraId="75D9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127DB0E">
            <w:pPr>
              <w:spacing w:after="0"/>
            </w:pPr>
            <w:r>
              <w:t>A</w:t>
            </w:r>
          </w:p>
        </w:tc>
        <w:tc>
          <w:tcPr>
            <w:tcW w:w="2078" w:type="dxa"/>
          </w:tcPr>
          <w:p w14:paraId="779B6B2B">
            <w:pPr>
              <w:spacing w:after="0"/>
            </w:pPr>
            <w:r>
              <w:t>≥100%（或上轮无数据且本轮有效）</w:t>
            </w:r>
          </w:p>
        </w:tc>
        <w:tc>
          <w:tcPr>
            <w:tcW w:w="2078" w:type="dxa"/>
          </w:tcPr>
          <w:p w14:paraId="2985D3B8">
            <w:pPr>
              <w:spacing w:after="0"/>
            </w:pPr>
            <w:r>
              <w:t>效果达标或优于上轮</w:t>
            </w:r>
          </w:p>
        </w:tc>
        <w:tc>
          <w:tcPr>
            <w:tcW w:w="2078" w:type="dxa"/>
          </w:tcPr>
          <w:p w14:paraId="6FDFC3DA">
            <w:pPr>
              <w:spacing w:after="0"/>
            </w:pPr>
            <w:r>
              <w:t>总结成功经验，持续巩固</w:t>
            </w:r>
          </w:p>
        </w:tc>
      </w:tr>
      <w:tr w14:paraId="7178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57CF1F45">
            <w:pPr>
              <w:spacing w:after="0"/>
            </w:pPr>
            <w:r>
              <w:t>B</w:t>
            </w:r>
          </w:p>
        </w:tc>
        <w:tc>
          <w:tcPr>
            <w:tcW w:w="2078" w:type="dxa"/>
          </w:tcPr>
          <w:p w14:paraId="6B95DE04">
            <w:pPr>
              <w:spacing w:after="0"/>
            </w:pPr>
            <w:r>
              <w:t>80%~99.9%</w:t>
            </w:r>
          </w:p>
        </w:tc>
        <w:tc>
          <w:tcPr>
            <w:tcW w:w="2078" w:type="dxa"/>
          </w:tcPr>
          <w:p w14:paraId="790F3D0F">
            <w:pPr>
              <w:spacing w:after="0"/>
            </w:pPr>
            <w:r>
              <w:t>效果接近上轮</w:t>
            </w:r>
          </w:p>
        </w:tc>
        <w:tc>
          <w:tcPr>
            <w:tcW w:w="2078" w:type="dxa"/>
          </w:tcPr>
          <w:p w14:paraId="05252C09">
            <w:pPr>
              <w:spacing w:after="0"/>
            </w:pPr>
            <w:r>
              <w:t>关注差异点，争取恢复至A级</w:t>
            </w:r>
          </w:p>
        </w:tc>
      </w:tr>
      <w:tr w14:paraId="57A45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2C5DA9F3">
            <w:pPr>
              <w:spacing w:after="0"/>
            </w:pPr>
            <w:r>
              <w:t>C</w:t>
            </w:r>
          </w:p>
        </w:tc>
        <w:tc>
          <w:tcPr>
            <w:tcW w:w="2078" w:type="dxa"/>
          </w:tcPr>
          <w:p w14:paraId="0E5D672D">
            <w:pPr>
              <w:spacing w:after="0"/>
            </w:pPr>
            <w:r>
              <w:t>60%~79.9%</w:t>
            </w:r>
          </w:p>
        </w:tc>
        <w:tc>
          <w:tcPr>
            <w:tcW w:w="2078" w:type="dxa"/>
          </w:tcPr>
          <w:p w14:paraId="2C0C1D4C">
            <w:pPr>
              <w:spacing w:after="0"/>
            </w:pPr>
            <w:r>
              <w:t>效果明显下降</w:t>
            </w:r>
          </w:p>
        </w:tc>
        <w:tc>
          <w:tcPr>
            <w:tcW w:w="2078" w:type="dxa"/>
          </w:tcPr>
          <w:p w14:paraId="655AAFDF">
            <w:pPr>
              <w:spacing w:after="0"/>
            </w:pPr>
            <w:r>
              <w:t>深入分析原因，优化注汽参数</w:t>
            </w:r>
          </w:p>
        </w:tc>
      </w:tr>
      <w:tr w14:paraId="1A23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1BF8A5B2">
            <w:pPr>
              <w:spacing w:after="0"/>
            </w:pPr>
            <w:r>
              <w:t>D</w:t>
            </w:r>
          </w:p>
        </w:tc>
        <w:tc>
          <w:tcPr>
            <w:tcW w:w="2078" w:type="dxa"/>
          </w:tcPr>
          <w:p w14:paraId="59EC1C85">
            <w:pPr>
              <w:spacing w:after="0"/>
            </w:pPr>
            <w:r>
              <w:t>&lt;60%（或上轮无数据且本轮无效）</w:t>
            </w:r>
          </w:p>
        </w:tc>
        <w:tc>
          <w:tcPr>
            <w:tcW w:w="2078" w:type="dxa"/>
          </w:tcPr>
          <w:p w14:paraId="5C341897">
            <w:pPr>
              <w:spacing w:after="0"/>
            </w:pPr>
            <w:r>
              <w:t>效果差</w:t>
            </w:r>
          </w:p>
        </w:tc>
        <w:tc>
          <w:tcPr>
            <w:tcW w:w="2078" w:type="dxa"/>
          </w:tcPr>
          <w:p w14:paraId="6C3D29D7">
            <w:pPr>
              <w:spacing w:after="0"/>
            </w:pPr>
            <w:r>
              <w:t>研判是否继续注汽或调整方案</w:t>
            </w:r>
          </w:p>
        </w:tc>
      </w:tr>
    </w:tbl>
    <w:p w14:paraId="59194A12">
      <w:pPr>
        <w:spacing w:before="0" w:after="0" w:line="259" w:lineRule="auto"/>
        <w:ind w:firstLine="420"/>
        <w:jc w:val="both"/>
      </w:pPr>
      <w:r>
        <w:rPr>
          <w:rFonts w:ascii="宋体" w:hAnsi="宋体" w:eastAsia="宋体"/>
          <w:b w:val="0"/>
          <w:sz w:val="28"/>
        </w:rPr>
        <w:t>该分级体系的优势在于：统一了评价标尺——一口日产油3吨的井若本轮/上轮比值达到105%，同样可评为A级，因为它在自身基础上实现了超越；每一级都有明确的数值边界，避免了主观判断的模糊性；不同等级对应差异化的后续策略，将有限的管理资源向C、D级井倾斜。</w:t>
      </w:r>
    </w:p>
    <w:p w14:paraId="250F973C">
      <w:pPr>
        <w:spacing w:before="0" w:after="0" w:line="259" w:lineRule="auto"/>
        <w:jc w:val="both"/>
      </w:pPr>
      <w:r>
        <w:rPr>
          <w:rFonts w:ascii="宋体" w:hAnsi="宋体" w:eastAsia="宋体"/>
          <w:b/>
          <w:sz w:val="28"/>
        </w:rPr>
        <w:t>4.4  措施分析——多维度深化诊断</w:t>
      </w:r>
    </w:p>
    <w:p w14:paraId="59BE533C">
      <w:pPr>
        <w:spacing w:before="0" w:after="0" w:line="259" w:lineRule="auto"/>
        <w:ind w:firstLine="420"/>
        <w:jc w:val="both"/>
      </w:pPr>
      <w:r>
        <w:rPr>
          <w:rFonts w:ascii="宋体" w:hAnsi="宋体" w:eastAsia="宋体"/>
          <w:b w:val="0"/>
          <w:sz w:val="28"/>
        </w:rPr>
        <w:t>在措施跟踪基础上，系统提供了五个维度的深化分析子模块：</w:t>
      </w:r>
    </w:p>
    <w:p w14:paraId="0E9850E8">
      <w:pPr>
        <w:spacing w:before="0" w:after="0" w:line="259" w:lineRule="auto"/>
        <w:ind w:firstLine="420"/>
        <w:jc w:val="both"/>
      </w:pPr>
      <w:r>
        <w:rPr>
          <w:rFonts w:ascii="宋体" w:hAnsi="宋体" w:eastAsia="宋体"/>
          <w:b w:val="0"/>
          <w:sz w:val="28"/>
        </w:rPr>
        <w:t>措施旬度分析：以旬度为粒度汇总措施增油量变化趋势，判断措施节奏是否合理。</w:t>
      </w:r>
    </w:p>
    <w:p w14:paraId="716D810B">
      <w:pPr>
        <w:spacing w:before="0" w:after="0" w:line="259" w:lineRule="auto"/>
        <w:ind w:firstLine="420"/>
        <w:jc w:val="both"/>
      </w:pPr>
      <w:r>
        <w:rPr>
          <w:rFonts w:ascii="宋体" w:hAnsi="宋体" w:eastAsia="宋体"/>
          <w:b w:val="0"/>
          <w:sz w:val="28"/>
        </w:rPr>
        <w:t>措施月度分析：以月度为粒度宏观展示措施效果的时间序列变化，把握中长期规律。</w:t>
      </w:r>
    </w:p>
    <w:p w14:paraId="08E23275">
      <w:pPr>
        <w:spacing w:before="0" w:after="0" w:line="259" w:lineRule="auto"/>
        <w:ind w:firstLine="420"/>
        <w:jc w:val="both"/>
      </w:pPr>
      <w:r>
        <w:rPr>
          <w:rFonts w:ascii="宋体" w:hAnsi="宋体" w:eastAsia="宋体"/>
          <w:b w:val="0"/>
          <w:sz w:val="28"/>
        </w:rPr>
        <w:t>措施区块分析：按7个稠油区块分别统计措施效果和A/B/C/D各级占比，横向对比定位薄弱区块。</w:t>
      </w:r>
    </w:p>
    <w:p w14:paraId="1D31F45F">
      <w:pPr>
        <w:spacing w:before="0" w:after="0" w:line="259" w:lineRule="auto"/>
        <w:ind w:firstLine="420"/>
        <w:jc w:val="both"/>
      </w:pPr>
      <w:r>
        <w:rPr>
          <w:rFonts w:ascii="宋体" w:hAnsi="宋体" w:eastAsia="宋体"/>
          <w:b w:val="0"/>
          <w:sz w:val="28"/>
        </w:rPr>
        <w:t>措施类型分析：按注汽吞吐、蒸汽驱、火驱、化学驱等类型分类统计效果指标，支撑措施类型优选。</w:t>
      </w:r>
    </w:p>
    <w:p w14:paraId="153A3FF9">
      <w:pPr>
        <w:spacing w:before="0" w:after="0" w:line="259" w:lineRule="auto"/>
        <w:ind w:firstLine="420"/>
        <w:jc w:val="both"/>
      </w:pPr>
      <w:r>
        <w:rPr>
          <w:rFonts w:ascii="宋体" w:hAnsi="宋体" w:eastAsia="宋体"/>
          <w:b w:val="0"/>
          <w:sz w:val="28"/>
        </w:rPr>
        <w:t>自定义分析：支持管理者自定义筛选条件进行灵活查询，满足临时性、探索性分析需求。</w:t>
      </w:r>
    </w:p>
    <w:p w14:paraId="690E7339">
      <w:pPr>
        <w:spacing w:before="0" w:after="0" w:line="259" w:lineRule="auto"/>
        <w:jc w:val="both"/>
      </w:pPr>
      <w:r>
        <w:rPr>
          <w:rFonts w:ascii="宋体" w:hAnsi="宋体" w:eastAsia="宋体"/>
          <w:b/>
          <w:sz w:val="28"/>
        </w:rPr>
        <w:t>4.5  注汽方案与计划管理</w:t>
      </w:r>
    </w:p>
    <w:p w14:paraId="4C3E8835">
      <w:pPr>
        <w:spacing w:before="0" w:after="0" w:line="259" w:lineRule="auto"/>
        <w:ind w:firstLine="420"/>
        <w:jc w:val="both"/>
      </w:pPr>
      <w:r>
        <w:rPr>
          <w:rFonts w:ascii="宋体" w:hAnsi="宋体" w:eastAsia="宋体"/>
          <w:b w:val="0"/>
          <w:sz w:val="28"/>
        </w:rPr>
        <w:t>系统为每口注汽井建立“方案计划→正注→焖井→转抽生产→效果评价→关闭”的项目化管理链路。注汽方案涵盖方案编号、井号、区块、注汽工艺、计划注汽量、计划压力、计划排量、计划正注日、计划焖井日、计划转抽日、负责人与备注，方案状态分为草拟、已下达、已取消、已关闭，方案仅在下达后进入实施流程。</w:t>
      </w:r>
    </w:p>
    <w:p w14:paraId="4094F3D8">
      <w:pPr>
        <w:spacing w:before="0" w:after="0" w:line="259" w:lineRule="auto"/>
        <w:ind w:firstLine="420"/>
        <w:jc w:val="both"/>
      </w:pPr>
      <w:r>
        <w:rPr>
          <w:rFonts w:ascii="宋体" w:hAnsi="宋体" w:eastAsia="宋体"/>
          <w:b w:val="0"/>
          <w:sz w:val="28"/>
        </w:rPr>
        <w:t>系统支持月度注汽计划与年度注汽计划编制：月度计划基于选井评分自动生成，计划项包含建议注汽量、历史油汽比、阶段产油、评分依据、推荐锅炉及辅助气体标记，支持人工调整与Excel导出；年度计划按月份滚动编制，并自动评估每口候选井的选井资格与依据。计划下达后，系统自动开展计划与实际对比，对未开工、逾期、锅炉不匹配等情况逐项标识，支撑计划执行偏差的闭环纠偏。</w:t>
      </w:r>
    </w:p>
    <w:p w14:paraId="68EFAE9D">
      <w:pPr>
        <w:spacing w:before="0" w:after="0" w:line="259" w:lineRule="auto"/>
        <w:jc w:val="both"/>
      </w:pPr>
      <w:r>
        <w:rPr>
          <w:rFonts w:ascii="宋体" w:hAnsi="宋体" w:eastAsia="宋体"/>
          <w:b/>
          <w:sz w:val="28"/>
        </w:rPr>
        <w:t>4.6  施工监控与焖井转抽管理</w:t>
      </w:r>
    </w:p>
    <w:p w14:paraId="4B1EE4EF">
      <w:pPr>
        <w:spacing w:before="0" w:after="0" w:line="259" w:lineRule="auto"/>
        <w:ind w:firstLine="420"/>
        <w:jc w:val="both"/>
      </w:pPr>
      <w:r>
        <w:rPr>
          <w:rFonts w:ascii="宋体" w:hAnsi="宋体" w:eastAsia="宋体"/>
          <w:b w:val="0"/>
          <w:sz w:val="28"/>
        </w:rPr>
        <w:t>施工监控模块对注汽项目执行“待实施→正注→焖井→待转抽→转抽生产→已关闭”的状态流转，每次流转记录实际发生时间与操作备注，不允许跳过前置状态，从制度上保证施工过程规范可控；正注、焖井、转抽等各阶段节点均按计划日期自动生成待办，焖井超过计划转抽日或待转抽超期的井自动标记为逾期并显示逾期天数。</w:t>
      </w:r>
    </w:p>
    <w:p w14:paraId="3CE7715C">
      <w:pPr>
        <w:spacing w:before="0" w:after="0" w:line="259" w:lineRule="auto"/>
        <w:ind w:firstLine="420"/>
        <w:jc w:val="both"/>
      </w:pPr>
      <w:r>
        <w:rPr>
          <w:rFonts w:ascii="宋体" w:hAnsi="宋体" w:eastAsia="宋体"/>
          <w:b w:val="0"/>
          <w:sz w:val="28"/>
        </w:rPr>
        <w:t>焖井转抽管理以焖井转抽报表为数据源，持续跟踪当前处于焖井状态的油井，展示停注时间、焖井天数与计划复注/转抽时间，并与措施跟踪数据联动更新生产状态；转抽确认后自动衔接生产响应跟踪，形成从停注到复产的完整闭环。</w:t>
      </w:r>
    </w:p>
    <w:p w14:paraId="7FBC42A2">
      <w:pPr>
        <w:spacing w:before="120" w:after="120" w:line="259" w:lineRule="auto"/>
        <w:jc w:val="both"/>
      </w:pPr>
      <w:r>
        <w:rPr>
          <w:rFonts w:ascii="黑体" w:hAnsi="黑体" w:eastAsia="黑体"/>
          <w:b/>
          <w:sz w:val="28"/>
        </w:rPr>
        <w:t>5  产量损失溯源与专项监测分析</w:t>
      </w:r>
    </w:p>
    <w:p w14:paraId="50957A19">
      <w:pPr>
        <w:spacing w:before="0" w:after="0" w:line="259" w:lineRule="auto"/>
        <w:jc w:val="both"/>
      </w:pPr>
      <w:r>
        <w:rPr>
          <w:rFonts w:ascii="宋体" w:hAnsi="宋体" w:eastAsia="宋体"/>
          <w:b/>
          <w:sz w:val="28"/>
        </w:rPr>
        <w:t>5.1  占产分析——全口径产量损失追踪</w:t>
      </w:r>
    </w:p>
    <w:p w14:paraId="3A849F99">
      <w:pPr>
        <w:spacing w:before="0" w:after="0" w:line="259" w:lineRule="auto"/>
        <w:ind w:firstLine="420"/>
        <w:jc w:val="both"/>
      </w:pPr>
      <w:r>
        <w:rPr>
          <w:rFonts w:ascii="宋体" w:hAnsi="宋体" w:eastAsia="宋体"/>
          <w:b w:val="0"/>
          <w:sz w:val="28"/>
        </w:rPr>
        <w:t>占产分析模块将占产原因分为检泵、注汽、注窜、作业、其他五大类，对每类跟踪占产天数、影响油量和生产时率损失三项核心指标。模块提供按时间维度和类型维度的交叉统计分析，同期对比功能将当年占产数据与上年同期叠加展示。</w:t>
      </w:r>
    </w:p>
    <w:p w14:paraId="15121289">
      <w:pPr>
        <w:spacing w:before="0" w:after="0" w:line="259" w:lineRule="auto"/>
        <w:ind w:firstLine="420"/>
        <w:jc w:val="both"/>
      </w:pPr>
      <w:r>
        <w:rPr>
          <w:rFonts w:ascii="宋体" w:hAnsi="宋体" w:eastAsia="宋体"/>
          <w:b w:val="0"/>
          <w:sz w:val="28"/>
        </w:rPr>
        <w:t>通过持续占产追踪，管理者可量化评估管理优化措施的成效——例如优化检泵工艺后检泵占产天数是否下降、加强注汽管理后注窜占产是否减少。</w:t>
      </w:r>
    </w:p>
    <w:p w14:paraId="51433878">
      <w:pPr>
        <w:spacing w:before="0" w:after="0" w:line="259" w:lineRule="auto"/>
        <w:jc w:val="both"/>
      </w:pPr>
      <w:r>
        <w:rPr>
          <w:rFonts w:ascii="宋体" w:hAnsi="宋体" w:eastAsia="宋体"/>
          <w:b/>
          <w:sz w:val="28"/>
        </w:rPr>
        <w:t>5.2  检泵跟踪——恢复进度与产量预判</w:t>
      </w:r>
    </w:p>
    <w:p w14:paraId="252604C1">
      <w:pPr>
        <w:spacing w:before="0" w:after="0" w:line="259" w:lineRule="auto"/>
        <w:ind w:firstLine="420"/>
        <w:jc w:val="both"/>
      </w:pPr>
      <w:r>
        <w:rPr>
          <w:rFonts w:ascii="宋体" w:hAnsi="宋体" w:eastAsia="宋体"/>
          <w:b w:val="0"/>
          <w:sz w:val="28"/>
        </w:rPr>
        <w:t>检泵跟踪将油井分为"已检泵井"和"待检泵井"两类。已检泵井持续跟踪日产液、日产油恢复情况，生成恢复曲线判断检泵效果；待检泵井跟踪作业进度，结合检泵前产量水平自动计算待恢复产量，为整体产量走势预判提供量化依据。</w:t>
      </w:r>
    </w:p>
    <w:p w14:paraId="42EA4D3C">
      <w:pPr>
        <w:spacing w:before="0" w:after="0" w:line="259" w:lineRule="auto"/>
        <w:jc w:val="both"/>
      </w:pPr>
      <w:r>
        <w:rPr>
          <w:rFonts w:ascii="宋体" w:hAnsi="宋体" w:eastAsia="宋体"/>
          <w:b/>
          <w:sz w:val="28"/>
        </w:rPr>
        <w:t>5.3  检泵分析——根因归类和区块特征挖掘</w:t>
      </w:r>
    </w:p>
    <w:p w14:paraId="3CADA177">
      <w:pPr>
        <w:spacing w:before="0" w:after="0" w:line="259" w:lineRule="auto"/>
        <w:ind w:firstLine="420"/>
        <w:jc w:val="both"/>
      </w:pPr>
      <w:r>
        <w:rPr>
          <w:rFonts w:ascii="宋体" w:hAnsi="宋体" w:eastAsia="宋体"/>
          <w:b w:val="0"/>
          <w:sz w:val="28"/>
        </w:rPr>
        <w:t>检泵分析将原因归纳为三大维度：管杆质量问题（管材缺陷、杆柱疲劳断裂等）、管理原因（热洗不及时、加药不规范等）、地层出砂问题（地层疏松、防砂失效等）。</w:t>
      </w:r>
    </w:p>
    <w:p w14:paraId="15B39B47">
      <w:pPr>
        <w:spacing w:before="0" w:after="0" w:line="259" w:lineRule="auto"/>
        <w:ind w:firstLine="420"/>
        <w:jc w:val="both"/>
      </w:pPr>
      <w:r>
        <w:rPr>
          <w:rFonts w:ascii="宋体" w:hAnsi="宋体" w:eastAsia="宋体"/>
          <w:b w:val="0"/>
          <w:sz w:val="28"/>
        </w:rPr>
        <w:t>系统按区块维度聚合分析检泵原因，当某区块呈现明显集中趋势时识别为区块特征性问题，为制定针对性的区块治理方案提供数据支撑，推动检泵管理从"被动抢修"向"主动预防"转变。</w:t>
      </w:r>
    </w:p>
    <w:p w14:paraId="7CE54195">
      <w:pPr>
        <w:spacing w:before="0" w:after="0" w:line="259" w:lineRule="auto"/>
        <w:jc w:val="both"/>
      </w:pPr>
      <w:r>
        <w:rPr>
          <w:rFonts w:ascii="宋体" w:hAnsi="宋体" w:eastAsia="宋体"/>
          <w:b/>
          <w:sz w:val="28"/>
        </w:rPr>
        <w:t>5.4  含水化验——数据质量与异常校核</w:t>
      </w:r>
    </w:p>
    <w:p w14:paraId="6286EC8F">
      <w:pPr>
        <w:spacing w:before="0" w:after="0" w:line="259" w:lineRule="auto"/>
        <w:ind w:firstLine="420"/>
        <w:jc w:val="both"/>
      </w:pPr>
      <w:r>
        <w:rPr>
          <w:rFonts w:ascii="宋体" w:hAnsi="宋体" w:eastAsia="宋体"/>
          <w:b w:val="0"/>
          <w:sz w:val="28"/>
        </w:rPr>
        <w:t>含水化验模块统一管理各站、各井的含水化验数据，支持Excel批量导入并自动与生产报产含水进行同井同期比对，按化验含水与报产含水偏差筛查异常井，偏差超过20个百分点时重点提示，从源头上控制含水数据质量。</w:t>
      </w:r>
    </w:p>
    <w:p w14:paraId="011E2579">
      <w:pPr>
        <w:spacing w:before="0" w:after="0" w:line="259" w:lineRule="auto"/>
        <w:ind w:firstLine="420"/>
        <w:jc w:val="both"/>
      </w:pPr>
      <w:r>
        <w:rPr>
          <w:rFonts w:ascii="宋体" w:hAnsi="宋体" w:eastAsia="宋体"/>
          <w:b w:val="0"/>
          <w:sz w:val="28"/>
        </w:rPr>
        <w:t>模块提供区块含水趋势、单井含水变化曲线与重点井含水跟踪视图，支撑高含水井识别与找堵水措施效果评价，并为全区含水异常监控提供数据基础。</w:t>
      </w:r>
    </w:p>
    <w:p w14:paraId="14ED6831">
      <w:pPr>
        <w:spacing w:before="120" w:after="120" w:line="259" w:lineRule="auto"/>
        <w:jc w:val="both"/>
      </w:pPr>
      <w:r>
        <w:rPr>
          <w:rFonts w:ascii="黑体" w:hAnsi="黑体" w:eastAsia="黑体"/>
          <w:b/>
          <w:sz w:val="28"/>
        </w:rPr>
        <w:t>6  井</w:t>
      </w:r>
      <w:r>
        <w:rPr>
          <w:rFonts w:hint="eastAsia" w:ascii="黑体" w:hAnsi="黑体" w:eastAsia="黑体"/>
          <w:b/>
          <w:sz w:val="28"/>
          <w:lang w:eastAsia="zh-CN"/>
        </w:rPr>
        <w:t>、</w:t>
      </w:r>
      <w:r>
        <w:rPr>
          <w:rFonts w:ascii="黑体" w:hAnsi="黑体" w:eastAsia="黑体"/>
          <w:b/>
          <w:sz w:val="28"/>
        </w:rPr>
        <w:t>组</w:t>
      </w:r>
      <w:r>
        <w:rPr>
          <w:rFonts w:hint="eastAsia" w:ascii="黑体" w:hAnsi="黑体" w:eastAsia="黑体"/>
          <w:b/>
          <w:sz w:val="28"/>
          <w:lang w:eastAsia="zh-CN"/>
        </w:rPr>
        <w:t>、</w:t>
      </w:r>
      <w:r>
        <w:rPr>
          <w:rFonts w:ascii="黑体" w:hAnsi="黑体" w:eastAsia="黑体"/>
          <w:b/>
          <w:sz w:val="28"/>
        </w:rPr>
        <w:t>区块三级协同智能管控体系</w:t>
      </w:r>
    </w:p>
    <w:p w14:paraId="479F50BE">
      <w:pPr>
        <w:spacing w:before="0" w:after="0" w:line="259" w:lineRule="auto"/>
        <w:ind w:firstLine="420"/>
        <w:jc w:val="both"/>
      </w:pPr>
      <w:r>
        <w:rPr>
          <w:rFonts w:ascii="宋体" w:hAnsi="宋体" w:eastAsia="宋体"/>
          <w:b w:val="0"/>
          <w:sz w:val="28"/>
        </w:rPr>
        <w:t>稠油热采开发的核心矛盾在于"热"的利用效率与"油"的采出程度。随着吞吐轮次增加，单井效果递减、井间汽窜加剧、区块能量失衡三大问题交织叠加，传统的单井独立管理模式已难以应对。系统以"找准热量损失、平衡注采关系、重塑压力温度场"为主线，构建了"单井精细诊断→井组注采平衡→区块整体调控"三级协同智能管控体系，三级之间数据贯通、逐层递进：单井诊断为井组调整提供依据，井组优化为区块调控积累经验，区块决策又反馈指导单井措施。</w:t>
      </w:r>
    </w:p>
    <w:p w14:paraId="63FBD5DE">
      <w:pPr>
        <w:spacing w:before="0" w:after="0" w:line="259" w:lineRule="auto"/>
        <w:jc w:val="both"/>
      </w:pPr>
      <w:r>
        <w:rPr>
          <w:rFonts w:ascii="宋体" w:hAnsi="宋体" w:eastAsia="宋体"/>
          <w:b/>
          <w:sz w:val="28"/>
        </w:rPr>
        <w:t>6.1  单井精细诊断——找准"热"损失与"油"潜力</w:t>
      </w:r>
    </w:p>
    <w:p w14:paraId="674E42BE">
      <w:pPr>
        <w:spacing w:before="0" w:after="0" w:line="259" w:lineRule="auto"/>
        <w:ind w:firstLine="420"/>
        <w:jc w:val="both"/>
      </w:pPr>
      <w:r>
        <w:rPr>
          <w:rFonts w:ascii="宋体" w:hAnsi="宋体" w:eastAsia="宋体"/>
          <w:b w:val="0"/>
          <w:sz w:val="28"/>
        </w:rPr>
        <w:t>单井精细诊断是三级管控的基础。系统通过跟踪注汽井的注汽参数变化以及采出液、油、含水的动态变化，从注汽质量、吸汽剖面、生产动态三个维度对每口井进行全面诊断，精准定位热量损失环节和剩余油潜力方向。</w:t>
      </w:r>
    </w:p>
    <w:p w14:paraId="7A2B1335">
      <w:pPr>
        <w:spacing w:before="0" w:after="0" w:line="259" w:lineRule="auto"/>
        <w:jc w:val="both"/>
      </w:pPr>
      <w:r>
        <w:rPr>
          <w:rFonts w:ascii="楷体_GB2312" w:hAnsi="楷体_GB2312" w:eastAsia="楷体_GB2312"/>
          <w:b w:val="0"/>
          <w:sz w:val="28"/>
        </w:rPr>
        <w:t>6.1.1  注汽质量全程诊断——从锅炉到井底</w:t>
      </w:r>
    </w:p>
    <w:p w14:paraId="3C9932CA">
      <w:pPr>
        <w:spacing w:before="0" w:after="0" w:line="259" w:lineRule="auto"/>
        <w:ind w:firstLine="420"/>
        <w:jc w:val="both"/>
      </w:pPr>
      <w:r>
        <w:rPr>
          <w:rFonts w:ascii="宋体" w:hAnsi="宋体" w:eastAsia="宋体"/>
          <w:b w:val="0"/>
          <w:sz w:val="28"/>
        </w:rPr>
        <w:t>注汽质量是热效率的第一道关口。系统建立了"锅炉出口→井口→井底"三节点全程追踪机制，重点监测各节点的蒸汽干度与温度。传统管理模式下，往往只关注锅炉出口的蒸汽参数，忽略了井筒沿程的热损失，导致实际到达井底的蒸汽干度远低于设计值。</w:t>
      </w:r>
    </w:p>
    <w:p w14:paraId="1BDE68D3">
      <w:pPr>
        <w:spacing w:before="0" w:after="0" w:line="259" w:lineRule="auto"/>
        <w:ind w:firstLine="420"/>
        <w:jc w:val="both"/>
      </w:pPr>
      <w:r>
        <w:rPr>
          <w:rFonts w:ascii="宋体" w:hAnsi="宋体" w:eastAsia="宋体"/>
          <w:b w:val="0"/>
          <w:sz w:val="28"/>
        </w:rPr>
        <w:t>系统通过接入注汽管网的温压监测数据，结合井筒热损失模型，实时计算井底蒸汽干度，并与目标值对比。当井底干度低于设计值时，系统自动提示调整锅炉出口参数或优化井筒保温措施。实施全流程管控后，井底蒸汽干度较管控前提升了6个百分点，显著改善了注入热量的有效利用率。</w:t>
      </w:r>
    </w:p>
    <w:p w14:paraId="19B0AAB0">
      <w:pPr>
        <w:spacing w:before="0" w:after="0" w:line="259" w:lineRule="auto"/>
        <w:jc w:val="both"/>
      </w:pPr>
      <w:r>
        <w:rPr>
          <w:rFonts w:ascii="楷体_GB2312" w:hAnsi="楷体_GB2312" w:eastAsia="楷体_GB2312"/>
          <w:b w:val="0"/>
          <w:sz w:val="28"/>
        </w:rPr>
        <w:t>6.1.2  吸汽剖面诊断——蒸汽去了哪里</w:t>
      </w:r>
    </w:p>
    <w:p w14:paraId="14CFF839">
      <w:pPr>
        <w:spacing w:before="0" w:after="0" w:line="259" w:lineRule="auto"/>
        <w:ind w:firstLine="420"/>
        <w:jc w:val="both"/>
      </w:pPr>
      <w:r>
        <w:rPr>
          <w:rFonts w:ascii="宋体" w:hAnsi="宋体" w:eastAsia="宋体"/>
          <w:b w:val="0"/>
          <w:sz w:val="28"/>
        </w:rPr>
        <w:t>明确了注汽质量后，下一步需要判断蒸汽进入了哪些层位。系统通过接入注汽剖面测试数据，获取各小层的吸汽量和吸汽比例，识别哪些层位过量吸汽（可能导致汽窜或局部过热）、哪些层位吸汽不足（潜力未动用）。</w:t>
      </w:r>
    </w:p>
    <w:p w14:paraId="05259435">
      <w:pPr>
        <w:spacing w:before="0" w:after="0" w:line="259" w:lineRule="auto"/>
        <w:ind w:firstLine="420"/>
        <w:jc w:val="both"/>
      </w:pPr>
      <w:r>
        <w:rPr>
          <w:rFonts w:ascii="宋体" w:hAnsi="宋体" w:eastAsia="宋体"/>
          <w:b w:val="0"/>
          <w:sz w:val="28"/>
        </w:rPr>
        <w:t>吸汽剖面的可视化展示让技术人员可以直观判断注汽层位的均衡性。对于吸汽严重不均的井，系统提示优先考虑分层注汽或分段注汽方案，将热量集中作用于未动用的潜力层段。</w:t>
      </w:r>
    </w:p>
    <w:p w14:paraId="30BD1B32">
      <w:pPr>
        <w:spacing w:before="0" w:after="0" w:line="259" w:lineRule="auto"/>
        <w:jc w:val="both"/>
      </w:pPr>
      <w:r>
        <w:rPr>
          <w:rFonts w:ascii="楷体_GB2312" w:hAnsi="楷体_GB2312" w:eastAsia="楷体_GB2312"/>
          <w:b w:val="0"/>
          <w:sz w:val="28"/>
        </w:rPr>
        <w:t>6.1.3  生产动态与潜力诊断</w:t>
      </w:r>
    </w:p>
    <w:p w14:paraId="2CB55293">
      <w:pPr>
        <w:spacing w:before="0" w:after="0" w:line="259" w:lineRule="auto"/>
        <w:ind w:firstLine="420"/>
        <w:jc w:val="both"/>
      </w:pPr>
      <w:r>
        <w:rPr>
          <w:rFonts w:ascii="宋体" w:hAnsi="宋体" w:eastAsia="宋体"/>
          <w:b w:val="0"/>
          <w:sz w:val="28"/>
        </w:rPr>
        <w:t>在生产动态诊断方面，系统综合分析单井各周期的产量、含水、油汽比等变化规律，识别高含水、出砂、汽窜等异常井。通过对比各轮次注汽前后的产量变化，评估单井的剩余潜力和注汽经济性。</w:t>
      </w:r>
    </w:p>
    <w:p w14:paraId="63E69C1E">
      <w:pPr>
        <w:spacing w:before="0" w:after="0" w:line="259" w:lineRule="auto"/>
        <w:ind w:firstLine="420"/>
        <w:jc w:val="both"/>
      </w:pPr>
      <w:r>
        <w:rPr>
          <w:rFonts w:ascii="宋体" w:hAnsi="宋体" w:eastAsia="宋体"/>
          <w:b w:val="0"/>
          <w:sz w:val="28"/>
        </w:rPr>
        <w:t>系统将生产动态诊断总结为"六问"分析框架：是否具备转周条件？是否需要重新防砂？是否配套层系调整措施？是否配套热采辅助工艺？是否配套举升降黏措施？是否适合降黏冷采？通过六问逐项排查，为每口井的转周决策提供系统化依据。</w:t>
      </w:r>
    </w:p>
    <w:p w14:paraId="39A5DB00">
      <w:pPr>
        <w:spacing w:before="0" w:after="0" w:line="259" w:lineRule="auto"/>
        <w:jc w:val="both"/>
      </w:pPr>
      <w:r>
        <w:rPr>
          <w:rFonts w:ascii="楷体_GB2312" w:hAnsi="楷体_GB2312" w:eastAsia="楷体_GB2312"/>
          <w:b w:val="0"/>
          <w:sz w:val="28"/>
        </w:rPr>
        <w:t>6.1.4  工况分类与差异化对策</w:t>
      </w:r>
    </w:p>
    <w:p w14:paraId="14322559">
      <w:pPr>
        <w:spacing w:before="0" w:after="0" w:line="259" w:lineRule="auto"/>
        <w:ind w:firstLine="420"/>
        <w:jc w:val="both"/>
      </w:pPr>
      <w:r>
        <w:rPr>
          <w:rFonts w:ascii="宋体" w:hAnsi="宋体" w:eastAsia="宋体"/>
          <w:b w:val="0"/>
          <w:sz w:val="28"/>
        </w:rPr>
        <w:t>基于上述三维诊断结果，系统将单井自动分为四类工况："低效负效井"——油汽比持续走低、增油效果差的井，重点研判是否继续注汽或转换方式；"高含水井"——含水快速上升、存在管外窜或底水锥进风险的井，优先安排找堵水措施；"汽窜井"——与邻井存在明显注采干扰的井，纳入井组统筹治理；"潜力井"——剩余油富集、注汽效果良好的井，优先安排下一轮注汽。</w:t>
      </w:r>
    </w:p>
    <w:p w14:paraId="303F2C53">
      <w:pPr>
        <w:spacing w:before="0" w:after="0" w:line="259" w:lineRule="auto"/>
        <w:ind w:firstLine="420"/>
        <w:jc w:val="both"/>
      </w:pPr>
      <w:r>
        <w:rPr>
          <w:rFonts w:ascii="宋体" w:hAnsi="宋体" w:eastAsia="宋体"/>
          <w:b w:val="0"/>
          <w:sz w:val="28"/>
        </w:rPr>
        <w:t>实际应用中，系统通过单井精准分析，累计动态优化注汽量50井次，其中一口典型井通过精准诊断将注汽量从2800吨优化至2300吨，日增油达15吨。</w:t>
      </w:r>
    </w:p>
    <w:p w14:paraId="5115BE56">
      <w:pPr>
        <w:spacing w:before="0" w:after="0" w:line="259" w:lineRule="auto"/>
        <w:jc w:val="both"/>
      </w:pPr>
      <w:r>
        <w:rPr>
          <w:rFonts w:ascii="宋体" w:hAnsi="宋体" w:eastAsia="宋体"/>
          <w:b/>
          <w:sz w:val="28"/>
        </w:rPr>
        <w:t>6.2  井组注采平衡——控汽窜，提热效</w:t>
      </w:r>
    </w:p>
    <w:p w14:paraId="1CA8E516">
      <w:pPr>
        <w:spacing w:before="0" w:after="0" w:line="259" w:lineRule="auto"/>
        <w:ind w:firstLine="420"/>
        <w:jc w:val="both"/>
      </w:pPr>
      <w:r>
        <w:rPr>
          <w:rFonts w:ascii="宋体" w:hAnsi="宋体" w:eastAsia="宋体"/>
          <w:b w:val="0"/>
          <w:sz w:val="28"/>
        </w:rPr>
        <w:t>稠油注汽的井组平衡，关键是协调井间注采关系、控制汽窜、实现热量的有效利用。随着多轮次吞吐的推进，井间热连通日益增强，汽窜已成为制约井组整体效益的首要矛盾。系统从优化注汽时机、实施精准注汽、分级汽窜治理三个层面构建井组平衡策略。</w:t>
      </w:r>
    </w:p>
    <w:p w14:paraId="50D61074">
      <w:pPr>
        <w:spacing w:before="0" w:after="0" w:line="259" w:lineRule="auto"/>
        <w:jc w:val="both"/>
      </w:pPr>
      <w:r>
        <w:rPr>
          <w:rFonts w:ascii="楷体_GB2312" w:hAnsi="楷体_GB2312" w:eastAsia="楷体_GB2312"/>
          <w:b w:val="0"/>
          <w:sz w:val="28"/>
        </w:rPr>
        <w:t>6.2.1  优化注汽时机与方式</w:t>
      </w:r>
    </w:p>
    <w:p w14:paraId="793DA387">
      <w:pPr>
        <w:spacing w:before="0" w:after="0" w:line="259" w:lineRule="auto"/>
        <w:ind w:firstLine="420"/>
        <w:jc w:val="both"/>
      </w:pPr>
      <w:r>
        <w:rPr>
          <w:rFonts w:ascii="宋体" w:hAnsi="宋体" w:eastAsia="宋体"/>
          <w:b w:val="0"/>
          <w:sz w:val="28"/>
        </w:rPr>
        <w:t>系统根据井间距离和汽窜历史，自动推荐注汽时机优化方案。对距离近、汽窜风险高的井实施"同步注汽"或"背靠背"注汽——即在相近时间段内同时注汽，建立压力屏障，减少蒸汽向邻井的窜流。</w:t>
      </w:r>
    </w:p>
    <w:p w14:paraId="169BAF59">
      <w:pPr>
        <w:spacing w:before="0" w:after="0" w:line="259" w:lineRule="auto"/>
        <w:ind w:firstLine="420"/>
        <w:jc w:val="both"/>
      </w:pPr>
      <w:r>
        <w:rPr>
          <w:rFonts w:ascii="宋体" w:hAnsi="宋体" w:eastAsia="宋体"/>
          <w:b w:val="0"/>
          <w:sz w:val="28"/>
        </w:rPr>
        <w:t>对于多层合采井组，系统推荐"轮注轮采"的转周模式——相邻井交替注汽和生产，避免同一时间多井注汽导致的压力场紊乱。通过合理安排注汽节奏，实现井组产量的平稳接替。</w:t>
      </w:r>
    </w:p>
    <w:p w14:paraId="0226D704">
      <w:pPr>
        <w:spacing w:before="0" w:after="0" w:line="259" w:lineRule="auto"/>
        <w:jc w:val="both"/>
      </w:pPr>
      <w:r>
        <w:rPr>
          <w:rFonts w:ascii="楷体_GB2312" w:hAnsi="楷体_GB2312" w:eastAsia="楷体_GB2312"/>
          <w:b w:val="0"/>
          <w:sz w:val="28"/>
        </w:rPr>
        <w:t>6.2.2  分层/分段精准注汽</w:t>
      </w:r>
    </w:p>
    <w:p w14:paraId="016A6389">
      <w:pPr>
        <w:spacing w:before="0" w:after="0" w:line="259" w:lineRule="auto"/>
        <w:ind w:firstLine="420"/>
        <w:jc w:val="both"/>
      </w:pPr>
      <w:r>
        <w:rPr>
          <w:rFonts w:ascii="宋体" w:hAnsi="宋体" w:eastAsia="宋体"/>
          <w:b w:val="0"/>
          <w:sz w:val="28"/>
        </w:rPr>
        <w:t>传统的"多层合注"方式难以保证各层均匀受热，往往导致高渗层过量吸汽而低渗层未被动用。系统基于吸汽剖面诊断结果，推动从"多层合注"向"单层精准注汽"转变。</w:t>
      </w:r>
    </w:p>
    <w:p w14:paraId="0DD77A30">
      <w:pPr>
        <w:spacing w:before="0" w:after="0" w:line="259" w:lineRule="auto"/>
        <w:ind w:firstLine="420"/>
        <w:jc w:val="both"/>
      </w:pPr>
      <w:r>
        <w:rPr>
          <w:rFonts w:ascii="宋体" w:hAnsi="宋体" w:eastAsia="宋体"/>
          <w:b w:val="0"/>
          <w:sz w:val="28"/>
        </w:rPr>
        <w:t>对于水平井，系统推荐"分段注汽"方案——根据水平段各段的地质条件和动用程度，将注汽量分段分配，热力集中作用于未动用的潜力段。高3624块实施分段注汽17井次后，周期注汽量平均降低195吨，注窜占产减少215吨，周期油汽比提高了15%。</w:t>
      </w:r>
    </w:p>
    <w:p w14:paraId="34A87C15">
      <w:pPr>
        <w:spacing w:before="0" w:after="0" w:line="259" w:lineRule="auto"/>
        <w:jc w:val="both"/>
      </w:pPr>
      <w:r>
        <w:rPr>
          <w:rFonts w:ascii="楷体_GB2312" w:hAnsi="楷体_GB2312" w:eastAsia="楷体_GB2312"/>
          <w:b w:val="0"/>
          <w:sz w:val="28"/>
        </w:rPr>
        <w:t>6.2.3  分级汽窜治理</w:t>
      </w:r>
    </w:p>
    <w:p w14:paraId="1EFA43EC">
      <w:pPr>
        <w:spacing w:before="0" w:after="0" w:line="259" w:lineRule="auto"/>
        <w:ind w:firstLine="420"/>
        <w:jc w:val="both"/>
      </w:pPr>
      <w:r>
        <w:rPr>
          <w:rFonts w:ascii="宋体" w:hAnsi="宋体" w:eastAsia="宋体"/>
          <w:b w:val="0"/>
          <w:sz w:val="28"/>
        </w:rPr>
        <w:t>系统根据汽窜的严重程度，建立了三级分级治理策略，根据汽窜影响油量和井间压差自动判定汽窜级别并推荐相应治理方案：</w:t>
      </w:r>
    </w:p>
    <w:p w14:paraId="0EAF3B87">
      <w:pPr>
        <w:spacing w:before="240" w:after="40" w:line="259" w:lineRule="auto"/>
        <w:jc w:val="center"/>
      </w:pPr>
      <w:r>
        <w:rPr>
          <w:rFonts w:ascii="黑体" w:hAnsi="黑体" w:eastAsia="黑体"/>
          <w:b w:val="0"/>
          <w:sz w:val="18"/>
        </w:rPr>
        <w:t>表3  汽窜分级治理策略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B34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377D13ED">
            <w:pPr>
              <w:spacing w:after="0"/>
            </w:pPr>
            <w:r>
              <w:t>汽窜级别</w:t>
            </w:r>
          </w:p>
        </w:tc>
        <w:tc>
          <w:tcPr>
            <w:tcW w:w="2771" w:type="dxa"/>
          </w:tcPr>
          <w:p w14:paraId="65998FC7">
            <w:pPr>
              <w:spacing w:after="0"/>
            </w:pPr>
            <w:r>
              <w:t>判定标准</w:t>
            </w:r>
          </w:p>
        </w:tc>
        <w:tc>
          <w:tcPr>
            <w:tcW w:w="2771" w:type="dxa"/>
          </w:tcPr>
          <w:p w14:paraId="7A317B2D">
            <w:pPr>
              <w:spacing w:after="0"/>
            </w:pPr>
            <w:r>
              <w:t>治理方案</w:t>
            </w:r>
          </w:p>
        </w:tc>
      </w:tr>
      <w:tr w14:paraId="5F0E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08665D39">
            <w:pPr>
              <w:spacing w:after="0"/>
            </w:pPr>
            <w:r>
              <w:t>弱汽窜</w:t>
            </w:r>
          </w:p>
        </w:tc>
        <w:tc>
          <w:tcPr>
            <w:tcW w:w="2771" w:type="dxa"/>
          </w:tcPr>
          <w:p w14:paraId="580AC563">
            <w:pPr>
              <w:spacing w:after="0"/>
            </w:pPr>
            <w:r>
              <w:t>井间压差小，影响油量有限</w:t>
            </w:r>
          </w:p>
        </w:tc>
        <w:tc>
          <w:tcPr>
            <w:tcW w:w="2771" w:type="dxa"/>
          </w:tcPr>
          <w:p w14:paraId="4FEE5948">
            <w:pPr>
              <w:spacing w:after="0"/>
            </w:pPr>
            <w:r>
              <w:t>氮气泡沫调剖，改善吸汽剖面</w:t>
            </w:r>
          </w:p>
        </w:tc>
      </w:tr>
      <w:tr w14:paraId="7C52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9CF5D0F">
            <w:pPr>
              <w:spacing w:after="0"/>
            </w:pPr>
            <w:r>
              <w:t>中汽窜</w:t>
            </w:r>
          </w:p>
        </w:tc>
        <w:tc>
          <w:tcPr>
            <w:tcW w:w="2771" w:type="dxa"/>
          </w:tcPr>
          <w:p w14:paraId="28473EBD">
            <w:pPr>
              <w:spacing w:after="0"/>
            </w:pPr>
            <w:r>
              <w:t>井间压差明显，影响邻井产量</w:t>
            </w:r>
          </w:p>
        </w:tc>
        <w:tc>
          <w:tcPr>
            <w:tcW w:w="2771" w:type="dxa"/>
          </w:tcPr>
          <w:p w14:paraId="2AB57C37">
            <w:pPr>
              <w:spacing w:after="0"/>
            </w:pPr>
            <w:r>
              <w:t>组合吞吐+轮注轮采，拉大注汽井距</w:t>
            </w:r>
          </w:p>
        </w:tc>
      </w:tr>
      <w:tr w14:paraId="7F99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73A4E8B">
            <w:pPr>
              <w:spacing w:after="0"/>
            </w:pPr>
            <w:r>
              <w:t>强汽窜</w:t>
            </w:r>
          </w:p>
        </w:tc>
        <w:tc>
          <w:tcPr>
            <w:tcW w:w="2771" w:type="dxa"/>
          </w:tcPr>
          <w:p w14:paraId="4210AC2B">
            <w:pPr>
              <w:spacing w:after="0"/>
            </w:pPr>
            <w:r>
              <w:t>多井受窜，产量损失严重</w:t>
            </w:r>
          </w:p>
        </w:tc>
        <w:tc>
          <w:tcPr>
            <w:tcW w:w="2771" w:type="dxa"/>
          </w:tcPr>
          <w:p w14:paraId="0A1D7C64">
            <w:pPr>
              <w:spacing w:after="0"/>
            </w:pPr>
            <w:r>
              <w:t>固体颗粒封窜等堵水技术试验</w:t>
            </w:r>
          </w:p>
        </w:tc>
      </w:tr>
    </w:tbl>
    <w:p w14:paraId="76D1173A">
      <w:pPr>
        <w:spacing w:before="0" w:after="0" w:line="259" w:lineRule="auto"/>
        <w:jc w:val="both"/>
      </w:pPr>
      <w:r>
        <w:rPr>
          <w:rFonts w:ascii="楷体_GB2312" w:hAnsi="楷体_GB2312" w:eastAsia="楷体_GB2312"/>
          <w:b w:val="0"/>
          <w:sz w:val="28"/>
        </w:rPr>
        <w:t>6.2.4  创新补能方式</w:t>
      </w:r>
    </w:p>
    <w:p w14:paraId="4348769C">
      <w:pPr>
        <w:spacing w:before="0" w:after="0" w:line="259" w:lineRule="auto"/>
        <w:ind w:firstLine="420"/>
        <w:jc w:val="both"/>
      </w:pPr>
      <w:r>
        <w:rPr>
          <w:rFonts w:ascii="宋体" w:hAnsi="宋体" w:eastAsia="宋体"/>
          <w:b w:val="0"/>
          <w:sz w:val="28"/>
        </w:rPr>
        <w:t>对于能量不足的井组，系统推荐气汽辅助混注轮替补能、连续注气补能等补充能量方案。这些方案的选井和参数设计均基于井组的历史能量变化数据，系统自动匹配最适用的补能类型和注入参数，提高补能的针对性和有效性。</w:t>
      </w:r>
    </w:p>
    <w:p w14:paraId="1F2654A6">
      <w:pPr>
        <w:spacing w:before="0" w:after="0" w:line="259" w:lineRule="auto"/>
        <w:jc w:val="both"/>
      </w:pPr>
      <w:r>
        <w:rPr>
          <w:rFonts w:ascii="楷体_GB2312" w:hAnsi="楷体_GB2312" w:eastAsia="楷体_GB2312"/>
          <w:b w:val="0"/>
          <w:sz w:val="28"/>
        </w:rPr>
        <w:t>6.2.5  注窜项目台账与治理闭环</w:t>
      </w:r>
    </w:p>
    <w:p w14:paraId="00E58A5E">
      <w:pPr>
        <w:spacing w:before="0" w:after="0" w:line="259" w:lineRule="auto"/>
        <w:ind w:firstLine="420"/>
        <w:jc w:val="both"/>
      </w:pPr>
      <w:r>
        <w:rPr>
          <w:rFonts w:ascii="宋体" w:hAnsi="宋体" w:eastAsia="宋体"/>
          <w:b w:val="0"/>
          <w:sz w:val="28"/>
        </w:rPr>
        <w:t>系统建立“识别→确认→风险分级→治理→效果验证→关闭/复发”的注窜治理闭环。注窜项目台账维护注井—采油井关系，每条关系记录影响等级、置信度、有效期、来源、证据与状态（已确认、疑似待确认、已解除），支持手工维护与Excel批量导入；系统识别的疑似关系必须经技术人员确认后方可生效，确保治理依据可追溯。</w:t>
      </w:r>
    </w:p>
    <w:p w14:paraId="3968F717">
      <w:pPr>
        <w:spacing w:before="0" w:after="0" w:line="259" w:lineRule="auto"/>
        <w:ind w:firstLine="420"/>
        <w:jc w:val="both"/>
      </w:pPr>
      <w:r>
        <w:rPr>
          <w:rFonts w:ascii="宋体" w:hAnsi="宋体" w:eastAsia="宋体"/>
          <w:b w:val="0"/>
          <w:sz w:val="28"/>
        </w:rPr>
        <w:t>系统按区块、层系、工艺、注井、影响等级等维度汇总注窜项目，统计关联采油井数、受影响日产油、占产量、风险注汽量与处理率，并输出实际产量、自然递减基线、注汽增油、注窜损失、占产损失与净增油的关系曲线，为分级汽窜治理方案提供量化依据；治理完成后系统自动对比治理前后指标，验证治理效果并记录关闭证据。</w:t>
      </w:r>
    </w:p>
    <w:p w14:paraId="358DFF2B">
      <w:pPr>
        <w:spacing w:before="0" w:after="0" w:line="259" w:lineRule="auto"/>
        <w:jc w:val="both"/>
      </w:pPr>
      <w:r>
        <w:rPr>
          <w:rFonts w:ascii="宋体" w:hAnsi="宋体" w:eastAsia="宋体"/>
          <w:b/>
          <w:sz w:val="28"/>
        </w:rPr>
        <w:t>6.3  区块整体调控——优井网，转方式</w:t>
      </w:r>
    </w:p>
    <w:p w14:paraId="1E973229">
      <w:pPr>
        <w:spacing w:before="0" w:after="0" w:line="259" w:lineRule="auto"/>
        <w:ind w:firstLine="420"/>
        <w:jc w:val="both"/>
      </w:pPr>
      <w:r>
        <w:rPr>
          <w:rFonts w:ascii="宋体" w:hAnsi="宋体" w:eastAsia="宋体"/>
          <w:b w:val="0"/>
          <w:sz w:val="28"/>
        </w:rPr>
        <w:t>区块整体调控是战略层面的优化，目标是重塑整个区块的压力场和温度场。当单井和井组层面的优化已难以扭转区块整体递减趋势时，必须从井网重构、参数优化和开发方式转型三个维度进行系统性调整。</w:t>
      </w:r>
    </w:p>
    <w:p w14:paraId="296B6F5F">
      <w:pPr>
        <w:spacing w:before="0" w:after="0" w:line="259" w:lineRule="auto"/>
        <w:jc w:val="both"/>
      </w:pPr>
      <w:r>
        <w:rPr>
          <w:rFonts w:ascii="楷体_GB2312" w:hAnsi="楷体_GB2312" w:eastAsia="楷体_GB2312"/>
          <w:b w:val="0"/>
          <w:sz w:val="28"/>
        </w:rPr>
        <w:t>6.3.1  区块现状多维度分析与两期对比</w:t>
      </w:r>
    </w:p>
    <w:p w14:paraId="6B13C64F">
      <w:pPr>
        <w:spacing w:before="0" w:after="0" w:line="259" w:lineRule="auto"/>
        <w:ind w:firstLine="420"/>
        <w:jc w:val="both"/>
      </w:pPr>
      <w:r>
        <w:rPr>
          <w:rFonts w:ascii="宋体" w:hAnsi="宋体" w:eastAsia="宋体"/>
          <w:b w:val="0"/>
          <w:sz w:val="28"/>
        </w:rPr>
        <w:t>区块分析支持7个稠油区块的并行筛选与对比。顶部设置多选区控件，管理者可同时勾选多个区块，图表区域以2列网格布局同步展示各区块的生产曲线；每个区块展示日产液、日产油、含水率、日产气四条曲线，默认时间范围为近三年月度平均值，支持一键导出Excel功能。</w:t>
      </w:r>
    </w:p>
    <w:p w14:paraId="3C4A86F4">
      <w:pPr>
        <w:spacing w:before="0" w:after="0" w:line="259" w:lineRule="auto"/>
        <w:ind w:firstLine="420"/>
        <w:jc w:val="both"/>
      </w:pPr>
      <w:r>
        <w:rPr>
          <w:rFonts w:ascii="宋体" w:hAnsi="宋体" w:eastAsia="宋体"/>
          <w:b w:val="0"/>
          <w:sz w:val="28"/>
        </w:rPr>
        <w:t>对比分析模块支持选择基准期与对比期两个时间段及计量站范围，逐井对比两期日产液、日产油、掺油、含水率、日产气等指标的均值与变化幅度，自动识别变化显著井并支持导出，为区块、站点层面的生产动态差异诊断提供量化工具。</w:t>
      </w:r>
    </w:p>
    <w:p w14:paraId="089A531D">
      <w:pPr>
        <w:spacing w:before="0" w:after="0" w:line="259" w:lineRule="auto"/>
        <w:jc w:val="both"/>
      </w:pPr>
      <w:r>
        <w:rPr>
          <w:rFonts w:ascii="楷体_GB2312" w:hAnsi="楷体_GB2312" w:eastAsia="楷体_GB2312"/>
          <w:b w:val="0"/>
          <w:sz w:val="28"/>
        </w:rPr>
        <w:t>6.3.2  注采井网与井距重构</w:t>
      </w:r>
    </w:p>
    <w:p w14:paraId="74273AFF">
      <w:pPr>
        <w:spacing w:before="0" w:after="0" w:line="259" w:lineRule="auto"/>
        <w:ind w:firstLine="420"/>
        <w:jc w:val="both"/>
      </w:pPr>
      <w:r>
        <w:rPr>
          <w:rFonts w:ascii="宋体" w:hAnsi="宋体" w:eastAsia="宋体"/>
          <w:b w:val="0"/>
          <w:sz w:val="28"/>
        </w:rPr>
        <w:t>系统基于各井组的生产数据和汽窜历史，识别井网不完善的区域，对低效井组推荐"重建井组、重组井网"方案。核心策略是拉大注汽井距、实施控压注汽，扩大单井的蒸汽波及范围，减少无效热循环。</w:t>
      </w:r>
    </w:p>
    <w:p w14:paraId="22D18924">
      <w:pPr>
        <w:spacing w:before="0" w:after="0" w:line="259" w:lineRule="auto"/>
        <w:ind w:firstLine="420"/>
        <w:jc w:val="both"/>
      </w:pPr>
      <w:r>
        <w:rPr>
          <w:rFonts w:ascii="宋体" w:hAnsi="宋体" w:eastAsia="宋体"/>
          <w:b w:val="0"/>
          <w:sz w:val="28"/>
        </w:rPr>
        <w:t>高246区块实施拉大井距后，单井注汽量从2200吨降至2050吨，油汽比实现提升，验证了"少注汽、注好汽"的调控思路。</w:t>
      </w:r>
    </w:p>
    <w:p w14:paraId="7C2A16FB">
      <w:pPr>
        <w:spacing w:before="0" w:after="0" w:line="259" w:lineRule="auto"/>
        <w:jc w:val="both"/>
      </w:pPr>
      <w:r>
        <w:rPr>
          <w:rFonts w:ascii="楷体_GB2312" w:hAnsi="楷体_GB2312" w:eastAsia="楷体_GB2312"/>
          <w:b w:val="0"/>
          <w:sz w:val="28"/>
        </w:rPr>
        <w:t>6.3.3  注汽参数与方式优化</w:t>
      </w:r>
    </w:p>
    <w:p w14:paraId="0CD750DB">
      <w:pPr>
        <w:spacing w:before="0" w:after="0" w:line="259" w:lineRule="auto"/>
        <w:ind w:firstLine="420"/>
        <w:jc w:val="both"/>
      </w:pPr>
      <w:r>
        <w:rPr>
          <w:rFonts w:ascii="宋体" w:hAnsi="宋体" w:eastAsia="宋体"/>
          <w:b w:val="0"/>
          <w:sz w:val="28"/>
        </w:rPr>
        <w:t>在区块层面，系统推行"654"注汽优化模式，即转周前"六问"、方案制定"五优化"、注汽过程"四把控"，严格管控每一口井的注汽量。</w:t>
      </w:r>
    </w:p>
    <w:p w14:paraId="6863FEFD">
      <w:pPr>
        <w:spacing w:before="0" w:after="0" w:line="259" w:lineRule="auto"/>
        <w:ind w:firstLine="420"/>
        <w:jc w:val="both"/>
      </w:pPr>
      <w:r>
        <w:rPr>
          <w:rFonts w:ascii="宋体" w:hAnsi="宋体" w:eastAsia="宋体"/>
          <w:b w:val="0"/>
          <w:sz w:val="28"/>
        </w:rPr>
        <w:t>"六问"包括：是否转周？是否重新防砂？是否配套层系调整措施？是否配套热采辅助工艺？是否配套举升降黏措施？是否适合降黏冷采？</w:t>
      </w:r>
    </w:p>
    <w:p w14:paraId="37ABD3B7">
      <w:pPr>
        <w:spacing w:before="0" w:after="0" w:line="259" w:lineRule="auto"/>
        <w:ind w:firstLine="420"/>
        <w:jc w:val="both"/>
      </w:pPr>
      <w:r>
        <w:rPr>
          <w:rFonts w:ascii="宋体" w:hAnsi="宋体" w:eastAsia="宋体"/>
          <w:b w:val="0"/>
          <w:sz w:val="28"/>
        </w:rPr>
        <w:t>"五优化"原则要求：套损井、出砂井、汽窜井、高含水井、单采井必须优化后方可注汽，从方案源头杜绝低效注汽。注汽过程"四把控"包括：排查异常、优化注汽量、监测干度、跟踪效果。</w:t>
      </w:r>
    </w:p>
    <w:p w14:paraId="780BE807">
      <w:pPr>
        <w:spacing w:before="0" w:after="0" w:line="259" w:lineRule="auto"/>
        <w:ind w:firstLine="420"/>
        <w:jc w:val="both"/>
      </w:pPr>
      <w:r>
        <w:rPr>
          <w:rFonts w:ascii="宋体" w:hAnsi="宋体" w:eastAsia="宋体"/>
          <w:b w:val="0"/>
          <w:sz w:val="28"/>
        </w:rPr>
        <w:t>此外，系统支持区块层面的间歇汽驱、变干度注汽等多种调控方式。对高轮次区块，通过降低注汽强度和延长焖井时间，给予地层充分的能量恢复周期。</w:t>
      </w:r>
    </w:p>
    <w:p w14:paraId="3020A6A2">
      <w:pPr>
        <w:spacing w:before="0" w:after="0" w:line="259" w:lineRule="auto"/>
        <w:jc w:val="both"/>
      </w:pPr>
      <w:r>
        <w:rPr>
          <w:rFonts w:ascii="楷体_GB2312" w:hAnsi="楷体_GB2312" w:eastAsia="楷体_GB2312"/>
          <w:b w:val="0"/>
          <w:sz w:val="28"/>
        </w:rPr>
        <w:t>6.3.4  热量与能量统筹管理</w:t>
      </w:r>
    </w:p>
    <w:p w14:paraId="3B94EA39">
      <w:pPr>
        <w:spacing w:before="0" w:after="0" w:line="259" w:lineRule="auto"/>
        <w:ind w:firstLine="420"/>
        <w:jc w:val="both"/>
      </w:pPr>
      <w:r>
        <w:rPr>
          <w:rFonts w:ascii="宋体" w:hAnsi="宋体" w:eastAsia="宋体"/>
          <w:b w:val="0"/>
          <w:sz w:val="28"/>
        </w:rPr>
        <w:t>系统统筹分析区块热效率，通过重建注汽管网减少沿程热损失。对偏远区块，系统推荐"固定注汽站+移动锅炉"的互补注汽模式，降低因长距离输汽导致的干度损失。系统还跟踪区块整体能量变化趋势，结合产量预测模块判断当前能量水平能否支撑配产目标。</w:t>
      </w:r>
    </w:p>
    <w:p w14:paraId="2AC59014">
      <w:pPr>
        <w:spacing w:before="0" w:after="0" w:line="259" w:lineRule="auto"/>
        <w:jc w:val="both"/>
      </w:pPr>
      <w:r>
        <w:rPr>
          <w:rFonts w:ascii="楷体_GB2312" w:hAnsi="楷体_GB2312" w:eastAsia="楷体_GB2312"/>
          <w:b w:val="0"/>
          <w:sz w:val="28"/>
        </w:rPr>
        <w:t>6.3.5  开发方式转型探索</w:t>
      </w:r>
    </w:p>
    <w:p w14:paraId="499EAB9C">
      <w:pPr>
        <w:spacing w:before="0" w:after="0" w:line="259" w:lineRule="auto"/>
        <w:ind w:firstLine="420"/>
        <w:jc w:val="both"/>
      </w:pPr>
      <w:r>
        <w:rPr>
          <w:rFonts w:ascii="宋体" w:hAnsi="宋体" w:eastAsia="宋体"/>
          <w:b w:val="0"/>
          <w:sz w:val="28"/>
        </w:rPr>
        <w:t>对于多轮次吞吐后效益持续变差的区块，系统基于历史数据自动评估"热采转冷采"的可行性。通过分析油品黏温特性、地层能量和剩余油分布，推荐二氧化碳辅助吞吐、化学降黏冷采等转型方案，推动稠油开发从"热"到"冷"的转变，拓展开发后期的技术接替空间。</w:t>
      </w:r>
    </w:p>
    <w:p w14:paraId="62BC1315">
      <w:pPr>
        <w:keepNext/>
        <w:spacing w:before="0" w:after="0" w:line="259" w:lineRule="auto"/>
        <w:jc w:val="center"/>
      </w:pPr>
      <w:r>
        <w:drawing>
          <wp:inline xmlns:a="http://schemas.openxmlformats.org/drawingml/2006/main" xmlns:pic="http://schemas.openxmlformats.org/drawingml/2006/picture">
            <wp:extent cx="5256000" cy="2768159"/>
            <wp:docPr id="5" name="Picture 5"/>
            <wp:cNvGraphicFramePr>
              <a:graphicFrameLocks noChangeAspect="1"/>
            </wp:cNvGraphicFramePr>
            <a:graphic>
              <a:graphicData uri="http://schemas.openxmlformats.org/drawingml/2006/picture">
                <pic:pic>
                  <pic:nvPicPr>
                    <pic:cNvPr id="0" name="figure-2-three-tier-collaboration-example.png"/>
                    <pic:cNvPicPr/>
                  </pic:nvPicPr>
                  <pic:blipFill>
                    <a:blip r:embed="rId11"/>
                    <a:stretch>
                      <a:fillRect/>
                    </a:stretch>
                  </pic:blipFill>
                  <pic:spPr>
                    <a:xfrm>
                      <a:off x="0" y="0"/>
                      <a:ext cx="5256000" cy="2768159"/>
                    </a:xfrm>
                    <a:prstGeom prst="rect"/>
                  </pic:spPr>
                </pic:pic>
              </a:graphicData>
            </a:graphic>
          </wp:inline>
        </w:drawing>
      </w:r>
    </w:p>
    <w:p w14:paraId="3B3B6C0B">
      <w:pPr>
        <w:spacing w:before="120" w:after="200" w:line="259" w:lineRule="auto"/>
        <w:jc w:val="center"/>
      </w:pPr>
      <w:r>
        <w:rPr>
          <w:rFonts w:ascii="黑体" w:hAnsi="黑体" w:eastAsia="黑体"/>
          <w:b w:val="0"/>
          <w:sz w:val="18"/>
        </w:rPr>
        <w:t>图2  井→组→区块三级协同管控效果示例</w:t>
      </w:r>
    </w:p>
    <w:p w14:paraId="7260AF97">
      <w:pPr>
        <w:spacing w:before="120" w:after="120" w:line="259" w:lineRule="auto"/>
        <w:jc w:val="both"/>
      </w:pPr>
      <w:r>
        <w:rPr>
          <w:rFonts w:ascii="黑体" w:hAnsi="黑体" w:eastAsia="黑体"/>
          <w:b/>
          <w:sz w:val="28"/>
        </w:rPr>
        <w:t>7  产量预测与生产态势把控</w:t>
      </w:r>
    </w:p>
    <w:p w14:paraId="6C083737">
      <w:pPr>
        <w:spacing w:before="0" w:after="0" w:line="259" w:lineRule="auto"/>
        <w:jc w:val="both"/>
      </w:pPr>
      <w:r>
        <w:rPr>
          <w:rFonts w:ascii="宋体" w:hAnsi="宋体" w:eastAsia="宋体"/>
          <w:b/>
          <w:sz w:val="28"/>
        </w:rPr>
        <w:t>7.1  预测模型总体设计</w:t>
      </w:r>
    </w:p>
    <w:p w14:paraId="5F137BBC">
      <w:pPr>
        <w:spacing w:before="0" w:after="0" w:line="259" w:lineRule="auto"/>
        <w:ind w:firstLine="420"/>
        <w:jc w:val="both"/>
      </w:pPr>
      <w:r>
        <w:rPr>
          <w:rFonts w:ascii="宋体" w:hAnsi="宋体" w:eastAsia="宋体"/>
          <w:b w:val="0"/>
          <w:sz w:val="28"/>
        </w:rPr>
        <w:t>系统建立了固定365天的产量预测窗口，基于油井当前状态和措施计划，预测未来一年的产量走势。预测模型的核心思路是"分状态建模、按天叠加"——将全部油井按当前状态划分为四种类型，每种类型采用不同的预测起始时间规则，然后按天汇总所有井的预测日油量，生成全区的日产油预测曲线和旬均油曲线。</w:t>
      </w:r>
    </w:p>
    <w:p w14:paraId="20FEE5DA">
      <w:pPr>
        <w:spacing w:before="0" w:after="0" w:line="259" w:lineRule="auto"/>
        <w:jc w:val="both"/>
      </w:pPr>
      <w:r>
        <w:rPr>
          <w:rFonts w:ascii="宋体" w:hAnsi="宋体" w:eastAsia="宋体"/>
          <w:b/>
          <w:sz w:val="28"/>
        </w:rPr>
        <w:t>7.2  四种井状态及预测起始规则</w:t>
      </w:r>
    </w:p>
    <w:p w14:paraId="27E910B7">
      <w:pPr>
        <w:spacing w:before="240" w:after="40" w:line="259" w:lineRule="auto"/>
        <w:jc w:val="center"/>
      </w:pPr>
      <w:r>
        <w:rPr>
          <w:rFonts w:ascii="黑体" w:hAnsi="黑体" w:eastAsia="黑体"/>
          <w:b w:val="0"/>
          <w:sz w:val="18"/>
        </w:rPr>
        <w:t>表4  四种井状态及其预测起始规则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9E0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36E9E98F">
            <w:pPr>
              <w:spacing w:after="0"/>
            </w:pPr>
            <w:r>
              <w:t>井状态</w:t>
            </w:r>
          </w:p>
        </w:tc>
        <w:tc>
          <w:tcPr>
            <w:tcW w:w="2771" w:type="dxa"/>
          </w:tcPr>
          <w:p w14:paraId="3BB24868">
            <w:pPr>
              <w:spacing w:after="0"/>
            </w:pPr>
            <w:r>
              <w:t>预测起始时间</w:t>
            </w:r>
          </w:p>
        </w:tc>
        <w:tc>
          <w:tcPr>
            <w:tcW w:w="2771" w:type="dxa"/>
          </w:tcPr>
          <w:p w14:paraId="73878B3A">
            <w:pPr>
              <w:spacing w:after="0"/>
            </w:pPr>
            <w:r>
              <w:t>规则说明</w:t>
            </w:r>
          </w:p>
        </w:tc>
      </w:tr>
      <w:tr w14:paraId="1E2E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C7BD0E7">
            <w:pPr>
              <w:spacing w:after="0"/>
            </w:pPr>
            <w:r>
              <w:t>生产井</w:t>
            </w:r>
          </w:p>
        </w:tc>
        <w:tc>
          <w:tcPr>
            <w:tcW w:w="2771" w:type="dxa"/>
          </w:tcPr>
          <w:p w14:paraId="7E767C84">
            <w:pPr>
              <w:spacing w:after="0"/>
            </w:pPr>
            <w:r>
              <w:t>本轮转抽时间</w:t>
            </w:r>
          </w:p>
        </w:tc>
        <w:tc>
          <w:tcPr>
            <w:tcW w:w="2771" w:type="dxa"/>
          </w:tcPr>
          <w:p w14:paraId="20F38DAC">
            <w:pPr>
              <w:spacing w:after="0"/>
            </w:pPr>
            <w:r>
              <w:t>直接从措施台账读取，以此为Day 0</w:t>
            </w:r>
          </w:p>
        </w:tc>
      </w:tr>
      <w:tr w14:paraId="24A3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A92C3A6">
            <w:pPr>
              <w:spacing w:after="0"/>
            </w:pPr>
            <w:r>
              <w:t>转注井</w:t>
            </w:r>
          </w:p>
        </w:tc>
        <w:tc>
          <w:tcPr>
            <w:tcW w:w="2771" w:type="dxa"/>
          </w:tcPr>
          <w:p w14:paraId="17152C1A">
            <w:pPr>
              <w:spacing w:after="0"/>
            </w:pPr>
            <w:r>
              <w:t>转注时间+30天</w:t>
            </w:r>
          </w:p>
        </w:tc>
        <w:tc>
          <w:tcPr>
            <w:tcW w:w="2771" w:type="dxa"/>
          </w:tcPr>
          <w:p w14:paraId="5C5ECDD8">
            <w:pPr>
              <w:spacing w:after="0"/>
            </w:pPr>
            <w:r>
              <w:t>从措施</w:t>
            </w:r>
            <w:r>
              <w:rPr>
                <w:rFonts w:hint="eastAsia"/>
                <w:lang w:val="en-US" w:eastAsia="zh-CN"/>
              </w:rPr>
              <w:t>表</w:t>
            </w:r>
            <w:r>
              <w:t>中查找转注时间/注汽日期，偏移+30天</w:t>
            </w:r>
          </w:p>
        </w:tc>
      </w:tr>
      <w:tr w14:paraId="4649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076E1ED8">
            <w:pPr>
              <w:spacing w:after="0"/>
            </w:pPr>
            <w:r>
              <w:t>正注井</w:t>
            </w:r>
          </w:p>
        </w:tc>
        <w:tc>
          <w:tcPr>
            <w:tcW w:w="2771" w:type="dxa"/>
          </w:tcPr>
          <w:p w14:paraId="580709B5">
            <w:pPr>
              <w:spacing w:after="0"/>
            </w:pPr>
            <w:r>
              <w:t>开注时间+20天</w:t>
            </w:r>
          </w:p>
        </w:tc>
        <w:tc>
          <w:tcPr>
            <w:tcW w:w="2771" w:type="dxa"/>
          </w:tcPr>
          <w:p w14:paraId="1819370B">
            <w:pPr>
              <w:spacing w:after="0"/>
            </w:pPr>
            <w:r>
              <w:t>从措施</w:t>
            </w:r>
            <w:r>
              <w:rPr>
                <w:rFonts w:hint="eastAsia"/>
                <w:lang w:val="en-US" w:eastAsia="zh-CN"/>
              </w:rPr>
              <w:t>表</w:t>
            </w:r>
            <w:r>
              <w:t>中查找开注时间/开注日期，偏移+20天</w:t>
            </w:r>
          </w:p>
        </w:tc>
      </w:tr>
      <w:tr w14:paraId="35D3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35665C41">
            <w:pPr>
              <w:spacing w:after="0"/>
            </w:pPr>
            <w:r>
              <w:t>焖井井</w:t>
            </w:r>
          </w:p>
        </w:tc>
        <w:tc>
          <w:tcPr>
            <w:tcW w:w="2771" w:type="dxa"/>
          </w:tcPr>
          <w:p w14:paraId="34545245">
            <w:pPr>
              <w:spacing w:after="0"/>
            </w:pPr>
            <w:r>
              <w:t>停注时间+10天</w:t>
            </w:r>
          </w:p>
        </w:tc>
        <w:tc>
          <w:tcPr>
            <w:tcW w:w="2771" w:type="dxa"/>
          </w:tcPr>
          <w:p w14:paraId="4C9D6998">
            <w:pPr>
              <w:spacing w:after="0"/>
            </w:pPr>
            <w:r>
              <w:t>从措施</w:t>
            </w:r>
            <w:r>
              <w:rPr>
                <w:rFonts w:hint="eastAsia"/>
                <w:lang w:val="en-US" w:eastAsia="zh-CN"/>
              </w:rPr>
              <w:t>表</w:t>
            </w:r>
            <w:r>
              <w:t>中查找停注时间/停注日期，偏移+10天</w:t>
            </w:r>
          </w:p>
        </w:tc>
      </w:tr>
    </w:tbl>
    <w:p w14:paraId="0525E620">
      <w:pPr>
        <w:spacing w:before="0" w:after="0" w:line="259" w:lineRule="auto"/>
        <w:ind w:firstLine="420"/>
        <w:jc w:val="both"/>
      </w:pPr>
      <w:r>
        <w:rPr>
          <w:rFonts w:ascii="宋体" w:hAnsi="宋体" w:eastAsia="宋体"/>
          <w:b w:val="0"/>
          <w:sz w:val="28"/>
        </w:rPr>
        <w:t>上述规则的合理性在于：生产井正在产出，直接从转抽时间开始预测；转注井注汽结束后约30天才能见油；正注井尚未完成注汽，还需约20天才开始生产；焖井井焖井结束后约10天开始生产。</w:t>
      </w:r>
    </w:p>
    <w:p w14:paraId="6617BFC4">
      <w:pPr>
        <w:spacing w:before="0" w:after="0" w:line="259" w:lineRule="auto"/>
        <w:jc w:val="both"/>
      </w:pPr>
      <w:r>
        <w:rPr>
          <w:rFonts w:ascii="宋体" w:hAnsi="宋体" w:eastAsia="宋体"/>
          <w:b/>
          <w:sz w:val="28"/>
        </w:rPr>
        <w:t>7.3  预测曲线计算方法</w:t>
      </w:r>
    </w:p>
    <w:p w14:paraId="3D6EB16B">
      <w:pPr>
        <w:spacing w:before="0" w:after="0" w:line="259" w:lineRule="auto"/>
        <w:ind w:firstLine="420"/>
        <w:jc w:val="both"/>
      </w:pPr>
      <w:r>
        <w:rPr>
          <w:rFonts w:ascii="宋体" w:hAnsi="宋体" w:eastAsia="宋体"/>
          <w:b w:val="0"/>
          <w:sz w:val="28"/>
        </w:rPr>
        <w:t>日产油曲线：将同状态下所有井的日油量按天叠加汇总，即每一天的预测产量为当天所有已进入预测期的井的日油量之和。</w:t>
      </w:r>
    </w:p>
    <w:p w14:paraId="0F55950B">
      <w:pPr>
        <w:spacing w:before="0" w:after="0" w:line="259" w:lineRule="auto"/>
        <w:ind w:firstLine="420"/>
        <w:jc w:val="both"/>
      </w:pPr>
      <w:r>
        <w:rPr>
          <w:rFonts w:ascii="宋体" w:hAnsi="宋体" w:eastAsia="宋体"/>
          <w:b w:val="0"/>
          <w:sz w:val="28"/>
        </w:rPr>
        <w:t>旬均油曲线：对日产油曲线进行10天滑动平均处理，计算公式为：tenDayOil[i]=avg(oil[max(0,i−9)…i])，平滑日产量波动，清晰展示趋势方向。</w:t>
      </w:r>
    </w:p>
    <w:p w14:paraId="1751BAF2">
      <w:pPr>
        <w:spacing w:before="0" w:after="0" w:line="259" w:lineRule="auto"/>
        <w:ind w:firstLine="420"/>
        <w:jc w:val="both"/>
      </w:pPr>
      <w:r>
        <w:rPr>
          <w:rFonts w:ascii="宋体" w:hAnsi="宋体" w:eastAsia="宋体"/>
          <w:b w:val="0"/>
          <w:sz w:val="28"/>
        </w:rPr>
        <w:t>时间轴以该状态下最早预测起始日期作为X轴Day 0，向后延伸365天。当多种状态井同时存在时，以全局最早的预测起始日期为统一Day 0，确保所有曲线在统一时间坐标下叠加。</w:t>
      </w:r>
    </w:p>
    <w:p w14:paraId="3C31E418">
      <w:pPr>
        <w:spacing w:before="0" w:after="0" w:line="259" w:lineRule="auto"/>
        <w:jc w:val="both"/>
      </w:pPr>
      <w:r>
        <w:rPr>
          <w:rFonts w:ascii="宋体" w:hAnsi="宋体" w:eastAsia="宋体"/>
          <w:b/>
          <w:sz w:val="28"/>
        </w:rPr>
        <w:t>7.4  老井递减与措施增油双重驱动</w:t>
      </w:r>
    </w:p>
    <w:p w14:paraId="0AD01F8B">
      <w:pPr>
        <w:spacing w:before="0" w:after="0" w:line="259" w:lineRule="auto"/>
        <w:ind w:firstLine="420"/>
        <w:jc w:val="both"/>
      </w:pPr>
      <w:r>
        <w:rPr>
          <w:rFonts w:ascii="宋体" w:hAnsi="宋体" w:eastAsia="宋体"/>
          <w:b w:val="0"/>
          <w:sz w:val="28"/>
        </w:rPr>
        <w:t>系统分区块建立递减规律模型，采用指数递减、双曲递减、调和递减三种经典模型分别拟合，选取拟合优度最高者。将措施增油预测与老井递减预测叠加，输出全区未来365天的产量预测曲线。当预测曲线与年配产目标存在偏差时，系统自动提示调整"排兵布阵"策略。</w:t>
      </w:r>
    </w:p>
    <w:p w14:paraId="3AAA4B01">
      <w:pPr>
        <w:spacing w:before="0" w:after="0" w:line="259" w:lineRule="auto"/>
        <w:jc w:val="both"/>
      </w:pPr>
      <w:r>
        <w:rPr>
          <w:rFonts w:ascii="宋体" w:hAnsi="宋体" w:eastAsia="宋体"/>
          <w:b/>
          <w:sz w:val="28"/>
        </w:rPr>
        <w:t>7.5  外输计量跟踪——产输差异常透视</w:t>
      </w:r>
    </w:p>
    <w:p w14:paraId="3FF4120A">
      <w:pPr>
        <w:spacing w:before="0" w:after="0" w:line="259" w:lineRule="auto"/>
        <w:ind w:firstLine="420"/>
        <w:jc w:val="both"/>
      </w:pPr>
      <w:r>
        <w:rPr>
          <w:rFonts w:ascii="宋体" w:hAnsi="宋体" w:eastAsia="宋体"/>
          <w:b w:val="0"/>
          <w:sz w:val="28"/>
        </w:rPr>
        <w:t>外输跟踪模块以计量站外输分析报表为数据源，按计量站与日期展示井口日产液、日产油、日掺油、综合含水与外输量、外输差、排污、回流、稀油用量等指标的连续趋势，支持多站汇总与日期范围筛选，通过“井口产量—外输量”联动透视辅助识别计量异常与产量数据偏差。</w:t>
      </w:r>
    </w:p>
    <w:p w14:paraId="3968319B">
      <w:pPr>
        <w:spacing w:before="0" w:after="0" w:line="259" w:lineRule="auto"/>
        <w:jc w:val="both"/>
      </w:pPr>
      <w:r>
        <w:rPr>
          <w:rFonts w:ascii="宋体" w:hAnsi="宋体" w:eastAsia="宋体"/>
          <w:b/>
          <w:sz w:val="28"/>
        </w:rPr>
        <w:t>7.6  注汽四情景预测与最优运行推荐</w:t>
      </w:r>
    </w:p>
    <w:p w14:paraId="3B855AE8">
      <w:pPr>
        <w:spacing w:before="0" w:after="0" w:line="259" w:lineRule="auto"/>
        <w:ind w:firstLine="420"/>
        <w:jc w:val="both"/>
      </w:pPr>
      <w:r>
        <w:rPr>
          <w:rFonts w:ascii="宋体" w:hAnsi="宋体" w:eastAsia="宋体"/>
          <w:b w:val="0"/>
          <w:sz w:val="28"/>
        </w:rPr>
        <w:t>在365天全区产量预测基础上，系统面向注汽运行方案比选建立了四情景预测机制，分别生成自然递减、当前计划、稳产优化、风险约束四种情景下未来30/90/180天的产量曲线，统一口径为：预测日产油=自然递减产量+注汽增油贡献-注窜损失-占产损失。历史曲线充足时自动拟合递减率与注汽响应系数，数据不足时采用规则与案例参数并降低置信度，缺失数据明确标记“待补全”。</w:t>
      </w:r>
    </w:p>
    <w:p w14:paraId="7BC06A1A">
      <w:pPr>
        <w:spacing w:before="0" w:after="0" w:line="259" w:lineRule="auto"/>
        <w:ind w:firstLine="420"/>
        <w:jc w:val="both"/>
      </w:pPr>
      <w:r>
        <w:rPr>
          <w:rFonts w:ascii="宋体" w:hAnsi="宋体" w:eastAsia="宋体"/>
          <w:b w:val="0"/>
          <w:sz w:val="28"/>
        </w:rPr>
        <w:t>系统基于四情景预测输出Top 3最优运行方案，每套方案给出注井顺序、错峰窗口、注汽量、压力、排量、焖井天数、转抽窗口与锅炉负荷安排，量化累计净增油、产量波动、注窜与占产损失、蒸汽及作业成本、增油收入与净收益，并按“净收益-波动惩罚-注窜风险损失-占产损失-资源超限惩罚”进行评分；每项推荐均展示规则命中、同类井案例与数据完整度，人工调整记录原因并纳入效果校正闭环。</w:t>
      </w:r>
    </w:p>
    <w:p w14:paraId="63D7AE56">
      <w:pPr>
        <w:spacing w:before="0" w:after="0" w:line="259" w:lineRule="auto"/>
        <w:ind w:firstLine="420"/>
        <w:jc w:val="both"/>
      </w:pPr>
      <w:r>
        <w:rPr>
          <w:rFonts w:ascii="宋体" w:hAnsi="宋体" w:eastAsia="宋体"/>
          <w:b w:val="0"/>
          <w:sz w:val="28"/>
        </w:rPr>
        <w:t>系统同步提供同类井智能匹配能力，按区块、层系、井型、历史产液、含水、轮次、注汽参数、焖井时长与生产响应等维度计算加权相似度，输出Top 10相似井及其参数范围、历史效果与可迁移边界，辅助技术人员开展经验迁移与方案研判。</w:t>
      </w:r>
    </w:p>
    <w:p w14:paraId="4679C2E5">
      <w:pPr>
        <w:spacing w:before="120" w:after="120" w:line="259" w:lineRule="auto"/>
        <w:jc w:val="both"/>
      </w:pPr>
      <w:r>
        <w:rPr>
          <w:rFonts w:ascii="黑体" w:hAnsi="黑体" w:eastAsia="黑体"/>
          <w:b/>
          <w:sz w:val="28"/>
        </w:rPr>
        <w:t>8  应用效果分析</w:t>
      </w:r>
    </w:p>
    <w:p w14:paraId="4C84B2F6">
      <w:pPr>
        <w:spacing w:before="0" w:after="0" w:line="259" w:lineRule="auto"/>
        <w:jc w:val="both"/>
      </w:pPr>
      <w:r>
        <w:rPr>
          <w:rFonts w:ascii="宋体" w:hAnsi="宋体" w:eastAsia="宋体"/>
          <w:b/>
          <w:sz w:val="28"/>
        </w:rPr>
        <w:t>8.1  单井诊断精度提升</w:t>
      </w:r>
    </w:p>
    <w:p w14:paraId="2F66F935">
      <w:pPr>
        <w:spacing w:before="0" w:after="0" w:line="259" w:lineRule="auto"/>
        <w:ind w:firstLine="420"/>
        <w:jc w:val="both"/>
      </w:pPr>
      <w:r>
        <w:rPr>
          <w:rFonts w:ascii="宋体" w:hAnsi="宋体" w:eastAsia="宋体"/>
          <w:b w:val="0"/>
          <w:sz w:val="28"/>
        </w:rPr>
        <w:t>系统上线后，单井诊断从经验判断升级为数据驱动。注汽质量全程追踪将井底蒸汽干度提升6个百分点，累计动态优化注汽量50井次，单井日增油最高达15吨。吸汽剖面诊断指导分段注汽实施，高3624块17井次分段注汽后周期注汽量平均降低195吨。</w:t>
      </w:r>
    </w:p>
    <w:p w14:paraId="7BA5E89E">
      <w:pPr>
        <w:spacing w:before="0" w:after="0" w:line="259" w:lineRule="auto"/>
        <w:jc w:val="both"/>
      </w:pPr>
      <w:r>
        <w:rPr>
          <w:rFonts w:ascii="宋体" w:hAnsi="宋体" w:eastAsia="宋体"/>
          <w:b/>
          <w:sz w:val="28"/>
        </w:rPr>
        <w:t>8.2  井组汽窜治理成效显著</w:t>
      </w:r>
    </w:p>
    <w:p w14:paraId="42E8B61D">
      <w:pPr>
        <w:spacing w:before="0" w:after="0" w:line="259" w:lineRule="auto"/>
        <w:ind w:firstLine="420"/>
        <w:jc w:val="both"/>
      </w:pPr>
      <w:r>
        <w:rPr>
          <w:rFonts w:ascii="宋体" w:hAnsi="宋体" w:eastAsia="宋体"/>
          <w:b w:val="0"/>
          <w:sz w:val="28"/>
        </w:rPr>
        <w:t>分级汽窜治理策略实施后，高3624块注窜占产减少215吨，周期油汽比提高15%。同步注汽和轮注轮采的推广有效降低了井间汽窜频率，井组整体热效率明显改善。</w:t>
      </w:r>
    </w:p>
    <w:p w14:paraId="130978FF">
      <w:pPr>
        <w:spacing w:before="0" w:after="0" w:line="259" w:lineRule="auto"/>
        <w:jc w:val="both"/>
      </w:pPr>
      <w:r>
        <w:rPr>
          <w:rFonts w:ascii="宋体" w:hAnsi="宋体" w:eastAsia="宋体"/>
          <w:b/>
          <w:sz w:val="28"/>
        </w:rPr>
        <w:t>8.3  区块调控效果显现</w:t>
      </w:r>
    </w:p>
    <w:p w14:paraId="3D5CCF80">
      <w:pPr>
        <w:spacing w:before="0" w:after="0" w:line="259" w:lineRule="auto"/>
        <w:ind w:firstLine="420"/>
        <w:jc w:val="both"/>
      </w:pPr>
      <w:r>
        <w:rPr>
          <w:rFonts w:ascii="宋体" w:hAnsi="宋体" w:eastAsia="宋体"/>
          <w:b w:val="0"/>
          <w:sz w:val="28"/>
        </w:rPr>
        <w:t>高246区块拉大井距后，单井注汽量从2200吨降至2050吨，油汽比实现提升。"654"注汽优化模式的推行从方案源头杜绝了低效注汽，全区无效注汽井次明显下降。选井效率提升80%以上，异常响应时效从15~30天缩短至1~3天。</w:t>
      </w:r>
    </w:p>
    <w:p w14:paraId="0D0F5022">
      <w:pPr>
        <w:spacing w:before="0" w:after="0" w:line="259" w:lineRule="auto"/>
        <w:ind w:firstLine="420"/>
        <w:jc w:val="both"/>
      </w:pPr>
      <w:r>
        <w:rPr>
          <w:rFonts w:ascii="宋体" w:hAnsi="宋体" w:eastAsia="宋体"/>
          <w:b w:val="0"/>
          <w:sz w:val="28"/>
        </w:rPr>
        <w:t>此外，注汽四情景预测与最优运行推荐模块的应用，使注汽方案比选从人工经验推演走向多情景量化比较，方案论证效率显著提升；注窜项目台账与治理闭环实现注窜问题从发现、确认、治理到效果验证的全过程可追溯管理；注汽驾驶舱与六类异常处置工作台上线后，异常问题的定位与派单效率进一步提高。</w:t>
      </w:r>
    </w:p>
    <w:p>
      <w:pPr>
        <w:spacing w:before="0" w:after="0" w:line="259" w:lineRule="auto"/>
        <w:jc w:val="both"/>
      </w:pPr>
      <w:r>
        <w:rPr>
          <w:rFonts w:ascii="宋体" w:hAnsi="宋体" w:eastAsia="宋体"/>
          <w:b/>
          <w:sz w:val="28"/>
        </w:rPr>
        <w:t>8.4  典型案例分析</w:t>
      </w:r>
    </w:p>
    <w:p>
      <w:pPr>
        <w:spacing w:before="0" w:after="0" w:line="259" w:lineRule="auto"/>
        <w:jc w:val="both"/>
      </w:pPr>
      <w:r>
        <w:rPr>
          <w:rFonts w:ascii="楷体_GB2312" w:hAnsi="楷体_GB2312" w:eastAsia="楷体_GB2312"/>
          <w:b w:val="0"/>
          <w:sz w:val="28"/>
        </w:rPr>
        <w:t>8.4.1  典型单井——注汽前后生产曲线对比</w:t>
      </w:r>
    </w:p>
    <w:p>
      <w:pPr>
        <w:spacing w:before="0" w:after="0" w:line="259" w:lineRule="auto"/>
        <w:ind w:firstLine="420"/>
        <w:jc w:val="both"/>
      </w:pPr>
      <w:r>
        <w:rPr>
          <w:rFonts w:ascii="宋体" w:hAnsi="宋体" w:eastAsia="宋体"/>
          <w:b w:val="0"/>
          <w:sz w:val="28"/>
        </w:rPr>
        <w:t>选取××井作为典型单井案例。该井在注汽前通过系统单井精细诊断，识别出井底蒸汽干度偏低、注汽量偏大的问题，系统据此将注汽量由2800吨优化至2300吨。注汽后该井生产动态通过系统措施跟踪全程记录，本轮与上轮同期日产油曲线对比如图3所示：峰值日产油明显提升，日增油最高达15吨，油汽比同步改善，验证了“少注汽、注好汽”的精准注汽思路。</w:t>
      </w:r>
    </w:p>
    <w:p>
      <w:pPr>
        <w:spacing w:before="0" w:after="0" w:line="259" w:lineRule="auto"/>
        <w:ind w:firstLine="420"/>
        <w:jc w:val="both"/>
      </w:pPr>
    </w:p>
    <w:p>
      <w:pPr>
        <w:spacing w:before="120" w:after="200" w:line="259" w:lineRule="auto"/>
        <w:jc w:val="center"/>
      </w:pPr>
      <w:r>
        <w:rPr>
          <w:rFonts w:ascii="黑体" w:hAnsi="黑体" w:eastAsia="黑体"/>
          <w:b w:val="0"/>
          <w:sz w:val="18"/>
        </w:rPr>
        <w:t>图3  ××井本轮与上轮日产油对比曲线</w:t>
      </w:r>
    </w:p>
    <w:p>
      <w:pPr>
        <w:spacing w:before="0" w:after="0" w:line="259" w:lineRule="auto"/>
        <w:jc w:val="both"/>
      </w:pPr>
      <w:r>
        <w:rPr>
          <w:rFonts w:ascii="楷体_GB2312" w:hAnsi="楷体_GB2312" w:eastAsia="楷体_GB2312"/>
          <w:b w:val="0"/>
          <w:sz w:val="28"/>
        </w:rPr>
        <w:t>8.4.2  典型井组——汽窜治理前后产量对比</w:t>
      </w:r>
    </w:p>
    <w:p>
      <w:pPr>
        <w:spacing w:before="0" w:after="0" w:line="259" w:lineRule="auto"/>
        <w:ind w:firstLine="420"/>
        <w:jc w:val="both"/>
      </w:pPr>
      <w:r>
        <w:rPr>
          <w:rFonts w:ascii="宋体" w:hAnsi="宋体" w:eastAsia="宋体"/>
          <w:b w:val="0"/>
          <w:sz w:val="28"/>
        </w:rPr>
        <w:t>选取高3624块××井组作为典型井组案例。该井组多轮次注汽后井间热连通增强，注窜占产问题突出。系统通过注窜项目台账识别注窜关系并分级判定，制定“组合吞吐＋轮注轮采”治理方案，同步优化注汽时机与井距。治理后井组注窜占产减少215吨，周期油汽比提高15%，井组整体产量曲线与占产损失对比如图4所示，井间汽窜频率明显下降，热量利用效率显著改善。</w:t>
      </w:r>
    </w:p>
    <w:p>
      <w:pPr>
        <w:spacing w:before="0" w:after="0" w:line="259" w:lineRule="auto"/>
        <w:ind w:firstLine="420"/>
        <w:jc w:val="both"/>
      </w:pPr>
    </w:p>
    <w:p>
      <w:pPr>
        <w:spacing w:before="120" w:after="200" w:line="259" w:lineRule="auto"/>
        <w:jc w:val="center"/>
      </w:pPr>
      <w:r>
        <w:rPr>
          <w:rFonts w:ascii="黑体" w:hAnsi="黑体" w:eastAsia="黑体"/>
          <w:b w:val="0"/>
          <w:sz w:val="18"/>
        </w:rPr>
        <w:t>图4  ××井组汽窜治理前后产量对比</w:t>
      </w:r>
    </w:p>
    <w:p w14:paraId="54C6702C">
      <w:pPr>
        <w:spacing w:before="120" w:after="120" w:line="259" w:lineRule="auto"/>
        <w:jc w:val="both"/>
      </w:pPr>
      <w:r>
        <w:rPr>
          <w:rFonts w:ascii="黑体" w:hAnsi="黑体" w:eastAsia="黑体"/>
          <w:b/>
          <w:sz w:val="28"/>
        </w:rPr>
        <w:t>9  经济效益评价</w:t>
      </w:r>
    </w:p>
    <w:p w14:paraId="16CD9191">
      <w:pPr>
        <w:spacing w:before="0" w:after="0" w:line="259" w:lineRule="auto"/>
        <w:jc w:val="both"/>
      </w:pPr>
      <w:r>
        <w:rPr>
          <w:rFonts w:ascii="宋体" w:hAnsi="宋体" w:eastAsia="宋体"/>
          <w:b/>
          <w:sz w:val="28"/>
        </w:rPr>
        <w:t>9.1  增产效益</w:t>
      </w:r>
    </w:p>
    <w:p w14:paraId="13C37ADD">
      <w:pPr>
        <w:spacing w:before="0" w:after="0" w:line="259" w:lineRule="auto"/>
        <w:ind w:firstLine="420"/>
        <w:jc w:val="both"/>
      </w:pPr>
      <w:r>
        <w:rPr>
          <w:rFonts w:ascii="宋体" w:hAnsi="宋体" w:eastAsia="宋体"/>
          <w:b w:val="0"/>
          <w:sz w:val="28"/>
        </w:rPr>
        <w:t>根据《辽河油田公司青年油水井分析成果效益评价方法》，增产效益采用公式E=(1-30%)×F×Q×(P-T-C)-I计算。</w:t>
      </w:r>
    </w:p>
    <w:p w14:paraId="3D4DF473">
      <w:pPr>
        <w:spacing w:before="0" w:after="0" w:line="259" w:lineRule="auto"/>
        <w:ind w:firstLine="420"/>
        <w:jc w:val="both"/>
      </w:pPr>
      <w:r>
        <w:rPr>
          <w:rFonts w:ascii="宋体" w:hAnsi="宋体" w:eastAsia="宋体"/>
          <w:b w:val="0"/>
          <w:sz w:val="28"/>
        </w:rPr>
        <w:t>系统上线后，通过数据驱动选井和三级协同管控，年减少无效注汽井次5~8井次。分段注汽和分级汽窜治理累计增油显著，作为“注采工艺”类成果，分成系数F取0.6。按照《关于发布第42届青年油（气）水井基础管理分析大赛效益评价参数的通知》，原油价格参照2026年标准（中质油Ⅰ类3474元/吨，不含税），税金290.43元/吨，期间费用486.87元/吨（其中销售费用20.09元/吨、管理费用301.81元/吨、财务费用97.18元/吨、勘探费用67.79元/吨），油气操作成本按2026年预算口径计算，商品率按区块实际商品率取值，增加的油气商品量Q为增产产量与商品率的乘积。</w:t>
      </w:r>
    </w:p>
    <w:p w14:paraId="1BF28C70">
      <w:pPr>
        <w:spacing w:before="0" w:after="0" w:line="259" w:lineRule="auto"/>
        <w:jc w:val="both"/>
      </w:pPr>
      <w:r>
        <w:rPr>
          <w:rFonts w:ascii="宋体" w:hAnsi="宋体" w:eastAsia="宋体"/>
          <w:b/>
          <w:sz w:val="28"/>
        </w:rPr>
        <w:t>9.2  降本效益</w:t>
      </w:r>
    </w:p>
    <w:p w14:paraId="2CA18087">
      <w:pPr>
        <w:spacing w:before="0" w:after="0" w:line="259" w:lineRule="auto"/>
        <w:ind w:firstLine="420"/>
        <w:jc w:val="both"/>
      </w:pPr>
      <w:r>
        <w:rPr>
          <w:rFonts w:ascii="宋体" w:hAnsi="宋体" w:eastAsia="宋体"/>
          <w:b w:val="0"/>
          <w:sz w:val="28"/>
        </w:rPr>
        <w:t>降本效益体现在三方面：一是用工效率提升，技术人员的有效分析时间占比从40%提升至70%以上；二是搬家运行费用降低，最优布井组合减少注汽锅炉搬家2~3次/年，节约搬家费用6~15万元/年；三是检泵频次降低，根因分析和针对性治理使年检泵井次下降5%~10%。</w:t>
      </w:r>
    </w:p>
    <w:p w14:paraId="4DF2E1E1">
      <w:pPr>
        <w:spacing w:before="0" w:after="0" w:line="259" w:lineRule="auto"/>
        <w:jc w:val="both"/>
      </w:pPr>
      <w:r>
        <w:rPr>
          <w:rFonts w:ascii="宋体" w:hAnsi="宋体" w:eastAsia="宋体"/>
          <w:b/>
          <w:sz w:val="28"/>
        </w:rPr>
        <w:t>9.3  投入产出比</w:t>
      </w:r>
    </w:p>
    <w:p w14:paraId="27581896">
      <w:pPr>
        <w:spacing w:before="0" w:after="0" w:line="259" w:lineRule="auto"/>
        <w:ind w:firstLine="420"/>
        <w:jc w:val="both"/>
      </w:pPr>
      <w:r>
        <w:rPr>
          <w:rFonts w:ascii="宋体" w:hAnsi="宋体" w:eastAsia="宋体"/>
          <w:b w:val="0"/>
          <w:sz w:val="28"/>
        </w:rPr>
        <w:t>系统建设投入主要为自主软件开发，利用现有服务器，无新增硬件和外包成本。按照评价方法，投入产出比=Q×（P-T）/（Q×C+I），其中投资I按未形成固定资产全额计入；项目净产出为增产与降本效益之和，投入产出比预计大于3:1，经济效益显著。</w:t>
      </w:r>
    </w:p>
    <w:p w14:paraId="5803CCF7">
      <w:pPr>
        <w:spacing w:before="120" w:after="120" w:line="259" w:lineRule="auto"/>
        <w:jc w:val="both"/>
      </w:pPr>
      <w:r>
        <w:rPr>
          <w:rFonts w:ascii="黑体" w:hAnsi="黑体" w:eastAsia="黑体"/>
          <w:b/>
          <w:sz w:val="28"/>
        </w:rPr>
        <w:t>10  结论与展望</w:t>
      </w:r>
    </w:p>
    <w:p w14:paraId="6B1A698C">
      <w:pPr>
        <w:spacing w:before="0" w:after="0" w:line="259" w:lineRule="auto"/>
        <w:jc w:val="both"/>
      </w:pPr>
      <w:r>
        <w:rPr>
          <w:rFonts w:ascii="宋体" w:hAnsi="宋体" w:eastAsia="宋体"/>
          <w:b/>
          <w:sz w:val="28"/>
        </w:rPr>
        <w:t>10.1  主要结论</w:t>
      </w:r>
    </w:p>
    <w:p w14:paraId="462BD65C">
      <w:pPr>
        <w:spacing w:before="0" w:after="0" w:line="259" w:lineRule="auto"/>
        <w:ind w:firstLine="420"/>
        <w:jc w:val="both"/>
      </w:pPr>
      <w:r>
        <w:rPr>
          <w:rFonts w:ascii="宋体" w:hAnsi="宋体" w:eastAsia="宋体"/>
          <w:b w:val="0"/>
          <w:sz w:val="28"/>
        </w:rPr>
        <w:t>本文针对高升采油厂采油作业三区稠油热采开发后期的管理难题，构建了一套以"单井精细诊断→井组注采平衡→区块整体调控"三级协同管控为核心的数智化注采管理系统，取得了以下创新成果：</w:t>
      </w:r>
    </w:p>
    <w:p w14:paraId="1CE33F16">
      <w:pPr>
        <w:spacing w:before="0" w:after="0" w:line="259" w:lineRule="auto"/>
        <w:ind w:firstLine="420"/>
        <w:jc w:val="both"/>
      </w:pPr>
      <w:r>
        <w:rPr>
          <w:rFonts w:ascii="宋体" w:hAnsi="宋体" w:eastAsia="宋体"/>
          <w:b w:val="0"/>
          <w:sz w:val="28"/>
        </w:rPr>
        <w:t>一是在数据融合方面，打通了生产日报、含水化验、泵况检测、占产记录、措施台账、注汽阶段与日数据、井温测试、注窜关系等多源数据，建立了以井号为主键、以日期为时间轴的数据底座，实现了注采数据的实时采集与同步。</w:t>
      </w:r>
    </w:p>
    <w:p w14:paraId="0AD94184">
      <w:pPr>
        <w:spacing w:before="0" w:after="0" w:line="259" w:lineRule="auto"/>
        <w:ind w:firstLine="420"/>
        <w:jc w:val="both"/>
      </w:pPr>
      <w:r>
        <w:rPr>
          <w:rFonts w:ascii="宋体" w:hAnsi="宋体" w:eastAsia="宋体"/>
          <w:b w:val="0"/>
          <w:sz w:val="28"/>
        </w:rPr>
        <w:t>二是在智能诊断方面，建立了注汽质量全程追踪（锅炉→井口→井底三节点）、吸汽剖面诊断和生产动态“六问”分析三位一体的单井诊断体系；创新性地提出了基于本轮/上轮比值的ABCD四级效果分级体系；构建了基于四种井状态和365天预测窗口的产量预测模型，以及自然递减、当前计划、稳产优化、风险约束四情景注汽预测机制。</w:t>
      </w:r>
    </w:p>
    <w:p w14:paraId="7996F58E">
      <w:pPr>
        <w:spacing w:before="0" w:after="0" w:line="259" w:lineRule="auto"/>
        <w:ind w:firstLine="420"/>
        <w:jc w:val="both"/>
      </w:pPr>
      <w:r>
        <w:rPr>
          <w:rFonts w:ascii="宋体" w:hAnsi="宋体" w:eastAsia="宋体"/>
          <w:b w:val="0"/>
          <w:sz w:val="28"/>
        </w:rPr>
        <w:t>三是在协同管控方面，构建了从单井精准诊断、井组平衡调控到区块战略优化的三级递进体系，形成了注采驾驶舱、注采状态地图、同步注汽、分层分段注汽、分级汽窜治理与注窜治理闭环、井网井距重构、“654”注汽优化模式等一整套适应稠油热采老区的数智化注采管理方法。</w:t>
      </w:r>
    </w:p>
    <w:p w14:paraId="4EC342BA">
      <w:pPr>
        <w:spacing w:before="0" w:after="0" w:line="259" w:lineRule="auto"/>
        <w:jc w:val="both"/>
      </w:pPr>
      <w:r>
        <w:rPr>
          <w:rFonts w:ascii="宋体" w:hAnsi="宋体" w:eastAsia="宋体"/>
          <w:b/>
          <w:sz w:val="28"/>
        </w:rPr>
        <w:t>10.2  展望</w:t>
      </w:r>
    </w:p>
    <w:p w14:paraId="2F3C3053">
      <w:pPr>
        <w:spacing w:before="0" w:after="0" w:line="259" w:lineRule="auto"/>
        <w:ind w:firstLine="420"/>
        <w:jc w:val="both"/>
      </w:pPr>
      <w:r>
        <w:rPr>
          <w:rFonts w:ascii="宋体" w:hAnsi="宋体" w:eastAsia="宋体"/>
          <w:b w:val="0"/>
          <w:sz w:val="28"/>
        </w:rPr>
        <w:t>展望未来，系统将在以下方向持续深化：一是引入AI辅助决策，基于历史措施数据的深度学习，实现注汽方案的自动推荐和参数优化；二是推进注采实时联动，将注汽端与采油端数据实时联动，实现注汽参数的动态调整；三是探索热采转冷采的智能评估与决策模型，推动稠油开发方式的绿色低碳转型。</w:t>
      </w:r>
    </w:p>
    <w:p w14:paraId="138BA12D">
      <w:pPr>
        <w:spacing w:before="120" w:after="120" w:line="259" w:lineRule="auto"/>
        <w:jc w:val="both"/>
      </w:pPr>
      <w:r>
        <w:rPr>
          <w:rFonts w:ascii="黑体" w:hAnsi="黑体" w:eastAsia="黑体"/>
          <w:b/>
          <w:sz w:val="28"/>
        </w:rPr>
        <w:t>参考文献</w:t>
      </w:r>
    </w:p>
    <w:p w14:paraId="45B26C26">
      <w:pPr>
        <w:spacing w:before="0" w:after="0" w:line="250" w:lineRule="exact"/>
        <w:jc w:val="both"/>
      </w:pPr>
      <w:r>
        <w:rPr>
          <w:rFonts w:ascii="宋体" w:hAnsi="宋体" w:eastAsia="宋体"/>
          <w:b w:val="0"/>
          <w:sz w:val="28"/>
        </w:rPr>
        <w:t>[1] 王伟林, 计秋, 辽河油田分公司高升采油厂. 高3块蒸汽吞吐开采后期暴露的主要矛盾及下步工作思路[C]//中国石油天然气股份有限公司, 2007.</w:t>
      </w:r>
    </w:p>
    <w:p w14:paraId="322B2D1B">
      <w:pPr>
        <w:spacing w:before="0" w:after="0" w:line="250" w:lineRule="exact"/>
        <w:jc w:val="both"/>
      </w:pPr>
      <w:r>
        <w:rPr>
          <w:rFonts w:ascii="宋体" w:hAnsi="宋体" w:eastAsia="宋体"/>
          <w:b w:val="0"/>
          <w:sz w:val="28"/>
        </w:rPr>
        <w:t>[2] 李树山. 高3624块难采储量改善开发效果研究[J]. 特种油气藏, 2007, 14(6): 61-64.</w:t>
      </w:r>
    </w:p>
    <w:p w14:paraId="5F76606C">
      <w:pPr>
        <w:spacing w:before="0" w:after="0" w:line="250" w:lineRule="exact"/>
        <w:jc w:val="both"/>
      </w:pPr>
      <w:r>
        <w:rPr>
          <w:rFonts w:ascii="宋体" w:hAnsi="宋体" w:eastAsia="宋体"/>
          <w:b w:val="0"/>
          <w:sz w:val="28"/>
        </w:rPr>
        <w:t>[3] 裴雯. 改善高21块低速难采储量开发效果[J]. 科学中国人, 2015.</w:t>
      </w:r>
    </w:p>
    <w:p w14:paraId="5303B45B">
      <w:pPr>
        <w:spacing w:before="0" w:after="0" w:line="250" w:lineRule="exact"/>
        <w:jc w:val="both"/>
      </w:pPr>
      <w:r>
        <w:rPr>
          <w:rFonts w:ascii="宋体" w:hAnsi="宋体" w:eastAsia="宋体"/>
          <w:b w:val="0"/>
          <w:sz w:val="28"/>
        </w:rPr>
        <w:t>[4] 金兆勋, 江琴, 王卫东. 厚层稠油油藏吞吐后期火驱开发存在问题探讨[C]//致密和非常规油气资源的挑战和机会——油气藏监测与管理国际会议暨展会, 2013.</w:t>
      </w:r>
    </w:p>
    <w:p w14:paraId="752EEED4">
      <w:pPr>
        <w:spacing w:before="0" w:after="0" w:line="250" w:lineRule="exact"/>
        <w:jc w:val="both"/>
      </w:pPr>
      <w:r>
        <w:rPr>
          <w:rFonts w:ascii="宋体" w:hAnsi="宋体" w:eastAsia="宋体"/>
          <w:b w:val="0"/>
          <w:sz w:val="28"/>
        </w:rPr>
        <w:t>[5] 周兴武, 李树山. 高升油田高3块蒸汽吞吐开发后期管理策略[J]. 特种油气藏, 2003, 10(B09): 4.</w:t>
      </w:r>
    </w:p>
    <w:p w14:paraId="3BAADC7A">
      <w:pPr>
        <w:spacing w:before="0" w:after="0" w:line="250" w:lineRule="exact"/>
        <w:jc w:val="both"/>
      </w:pPr>
      <w:r>
        <w:rPr>
          <w:rFonts w:ascii="宋体" w:hAnsi="宋体" w:eastAsia="宋体"/>
          <w:b w:val="0"/>
          <w:sz w:val="28"/>
        </w:rPr>
        <w:t>[6] 辽河油田公司经济技术研究院. 辽河油田公司青年油水井分析成果效益评价方法[S]. 2026.</w:t>
      </w:r>
    </w:p>
    <w:p w14:paraId="0BC05BDC">
      <w:pPr>
        <w:spacing w:before="0" w:after="0" w:line="250" w:lineRule="exact"/>
        <w:jc w:val="both"/>
      </w:pPr>
      <w:r>
        <w:rPr>
          <w:rFonts w:ascii="宋体" w:hAnsi="宋体" w:eastAsia="宋体"/>
          <w:b w:val="0"/>
          <w:sz w:val="28"/>
        </w:rPr>
        <w:t>[7] 辽河油田公司经济技术研究院. 关于发布第42届青年油（气）水井基础管理分析大赛效益评价参数的通知[S]. 2026.</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方正小标宋简体">
    <w:altName w:val="宋体-方正超大字符集"/>
    <w:panose1 w:val="02000000000000000000"/>
    <w:charset w:val="86"/>
    <w:family w:val="auto"/>
    <w:pitch w:val="default"/>
    <w:sig w:usb0="00000000" w:usb1="00000000" w:usb2="00000012" w:usb3="00000000" w:csb0="00040001" w:csb1="00000000"/>
  </w:font>
  <w:font w:name="方正书宋简体">
    <w:altName w:val="宋体"/>
    <w:panose1 w:val="02000000000000000000"/>
    <w:charset w:val="86"/>
    <w:family w:val="auto"/>
    <w:pitch w:val="default"/>
    <w:sig w:usb0="00000000" w:usb1="00000000" w:usb2="00000012"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F9CBECC6">
    <w:panose1 w:val="02010609060101010101"/>
    <w:charset w:val="86"/>
    <w:family w:val="auto"/>
    <w:pitch w:val="default"/>
    <w:sig w:usb0="00000001" w:usb1="00000000" w:usb2="00000000" w:usb3="00000000" w:csb0="00040001" w:csb1="00000000"/>
  </w:font>
  <w:font w:name="宋体-方正超大字符集">
    <w:panose1 w:val="03000509000000000000"/>
    <w:charset w:val="86"/>
    <w:family w:val="auto"/>
    <w:pitch w:val="default"/>
    <w:sig w:usb0="00000001" w:usb1="080E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B30191"/>
    <w:rsid w:val="2EF84605"/>
    <w:rsid w:val="4F0230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59" w:lineRule="auto"/>
    </w:pPr>
    <w:rPr>
      <w:rFonts w:ascii="宋体" w:hAnsi="宋体" w:eastAsia="宋体" w:cstheme="minorBidi"/>
      <w:sz w:val="2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7243</Words>
  <Characters>7554</Characters>
  <Lines>0</Lines>
  <Paragraphs>0</Paragraphs>
  <TotalTime>1</TotalTime>
  <ScaleCrop>false</ScaleCrop>
  <LinksUpToDate>false</LinksUpToDate>
  <CharactersWithSpaces>7660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WPS_1639617558</cp:lastModifiedBy>
  <dcterms:modified xsi:type="dcterms:W3CDTF">2026-08-01T03:42:59Z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7E9D03CF47454782B8462C0A66310713_12</vt:lpwstr>
  </property>
  <property fmtid="{D5CDD505-2E9C-101B-9397-08002B2CF9AE}" pid="4" name="KSOTemplateDocerSaveRecord">
    <vt:lpwstr>eyJoZGlkIjoiNGMwODU3YjlmNjYzZTNkMjIyNTllNWMxYjZiYmU4YTEiLCJ1c2VySWQiOiIxMzAyMDM2MDE5In0=</vt:lpwstr>
  </property>
</Properties>
</file>