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简析智评功能与性能测试报告</w:t>
      </w:r>
    </w:p>
    <w:p>
      <w:pPr>
        <w:jc w:val="center"/>
      </w:pPr>
      <w:r>
        <w:t>测试版本：当前优化版　|　测试日期：2026-08-03</w:t>
      </w:r>
    </w:p>
    <w:p>
      <w:r>
        <w:t>本报告基于本地可复现脚本生成，原始简历仅在本地读取；报告和结果 JSON 不保存姓名、电话、学校、邮箱或简历正文。指标按实际测试口径记录，未将设计目标写成实测结果。</w:t>
      </w:r>
    </w:p>
    <w:p>
      <w:pPr>
        <w:pStyle w:val="Heading1"/>
      </w:pPr>
      <w:r>
        <w:t>一、测试结论</w:t>
      </w:r>
    </w:p>
    <w:p>
      <w:r>
        <w:t>本轮共处理真实简历 59 份。未启用 OCR 时正文可读率为 55.9%，启用 OCR 后为 100.0%；端到端分析成功率为 100.0%，解析质量通过率为 100.0%。OCR 提升的是文档可接入性，不能直接解释为板块识别准确率提升。</w:t>
      </w:r>
    </w:p>
    <w:p>
      <w:r>
        <w:t>合成解析集 20 条的板块级 F1 为 1.0000；该结果仅作为规则回归基线。</w:t>
      </w:r>
    </w:p>
    <w:p>
      <w:r>
        <w:t>探索性岗位匹配评估中，规则、语义、语义主排序 Spearman 分别为 0.5053、0.9056、0.9020。该结果使用同一弱标注集合，不能作为泛化验收结论。</w:t>
      </w:r>
    </w:p>
    <w:p>
      <w:pPr>
        <w:pStyle w:val="Heading1"/>
      </w:pPr>
      <w:r>
        <w:t>二、测试范围与环境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口径</w:t>
            </w:r>
          </w:p>
        </w:tc>
      </w:tr>
      <w:tr>
        <w:tc>
          <w:tcPr>
            <w:tcW w:type="dxa" w:w="4320"/>
          </w:tcPr>
          <w:p>
            <w:r>
              <w:t>输入数据</w:t>
            </w:r>
          </w:p>
        </w:tc>
        <w:tc>
          <w:tcPr>
            <w:tcW w:type="dxa" w:w="4320"/>
          </w:tcPr>
          <w:p>
            <w:r>
              <w:t>真实简历 59 份；仅保留聚合结果</w:t>
            </w:r>
          </w:p>
        </w:tc>
      </w:tr>
      <w:tr>
        <w:tc>
          <w:tcPr>
            <w:tcW w:type="dxa" w:w="4320"/>
          </w:tcPr>
          <w:p>
            <w:r>
              <w:t>文件构成</w:t>
            </w:r>
          </w:p>
        </w:tc>
        <w:tc>
          <w:tcPr>
            <w:tcW w:type="dxa" w:w="4320"/>
          </w:tcPr>
          <w:p>
            <w:r>
              <w:t>DOCX 33 份；PDF 26 份</w:t>
            </w:r>
          </w:p>
        </w:tc>
      </w:tr>
      <w:tr>
        <w:tc>
          <w:tcPr>
            <w:tcW w:type="dxa" w:w="4320"/>
          </w:tcPr>
          <w:p>
            <w:r>
              <w:t>运行模式</w:t>
            </w:r>
          </w:p>
        </w:tc>
        <w:tc>
          <w:tcPr>
            <w:tcW w:type="dxa" w:w="4320"/>
          </w:tcPr>
          <w:p>
            <w:r>
              <w:t>本地规则解析、岗位匹配、可选语义模型；AI 改写关闭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C:\Users\Administrator\Desktop\文档\大学生数据要素素质大赛\赵文凯组\代码\简历分析V2.0\backend\.venv\Scripts\python.exe</w:t>
            </w:r>
          </w:p>
        </w:tc>
      </w:tr>
      <w:tr>
        <w:tc>
          <w:tcPr>
            <w:tcW w:type="dxa" w:w="4320"/>
          </w:tcPr>
          <w:p>
            <w:r>
              <w:t>报告生成</w:t>
            </w:r>
          </w:p>
        </w:tc>
        <w:tc>
          <w:tcPr>
            <w:tcW w:type="dxa" w:w="4320"/>
          </w:tcPr>
          <w:p>
            <w:r>
              <w:t>python-docx，UTF-8 文本写入</w:t>
            </w:r>
          </w:p>
        </w:tc>
      </w:tr>
    </w:tbl>
    <w:p>
      <w:pPr>
        <w:pStyle w:val="Heading1"/>
      </w:pPr>
      <w:r>
        <w:t>三、底层功能测试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解析板块 Precision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 条合成脱敏样本，板块级</w:t>
            </w:r>
          </w:p>
        </w:tc>
      </w:tr>
      <w:tr>
        <w:tc>
          <w:tcPr>
            <w:tcW w:type="dxa" w:w="2880"/>
          </w:tcPr>
          <w:p>
            <w:r>
              <w:t>解析板块 Recall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 条合成脱敏样本，板块级</w:t>
            </w:r>
          </w:p>
        </w:tc>
      </w:tr>
      <w:tr>
        <w:tc>
          <w:tcPr>
            <w:tcW w:type="dxa" w:w="2880"/>
          </w:tcPr>
          <w:p>
            <w:r>
              <w:t>解析板块 F1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不可外推为真实简历字段准确率</w:t>
            </w:r>
          </w:p>
        </w:tc>
      </w:tr>
      <w:tr>
        <w:tc>
          <w:tcPr>
            <w:tcW w:type="dxa" w:w="2880"/>
          </w:tcPr>
          <w:p>
            <w:r>
              <w:t>端到端分析成功率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真实文件 59/59</w:t>
            </w:r>
          </w:p>
        </w:tc>
      </w:tr>
      <w:tr>
        <w:tc>
          <w:tcPr>
            <w:tcW w:type="dxa" w:w="2880"/>
          </w:tcPr>
          <w:p>
            <w:r>
              <w:t>解析质量通过率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high/medium 59/59</w:t>
            </w:r>
          </w:p>
        </w:tc>
      </w:tr>
      <w:tr>
        <w:tc>
          <w:tcPr>
            <w:tcW w:type="dxa" w:w="2880"/>
          </w:tcPr>
          <w:p>
            <w:r>
              <w:t>优化链路冒烟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优化稿、Diff、技能提示、报告导出</w:t>
            </w:r>
          </w:p>
        </w:tc>
      </w:tr>
    </w:tbl>
    <w:p>
      <w:r>
        <w:t>通过率定义：端到端分析成功需返回 total_score 与 scores；解析质量通过指系统判定为 high 或 medium。低质量不等于简历质量差，而是提示证据不足或需人工复核。</w:t>
      </w:r>
    </w:p>
    <w:p>
      <w:pPr>
        <w:pStyle w:val="Heading1"/>
      </w:pPr>
      <w:r>
        <w:t>四、基准、对比、消融与改进实验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实验</w:t>
            </w:r>
          </w:p>
        </w:tc>
        <w:tc>
          <w:tcPr>
            <w:tcW w:type="dxa" w:w="2880"/>
          </w:tcPr>
          <w:p>
            <w:r>
              <w:t>配置</w:t>
            </w:r>
          </w:p>
        </w:tc>
        <w:tc>
          <w:tcPr>
            <w:tcW w:type="dxa" w:w="2880"/>
          </w:tcPr>
          <w:p>
            <w:r>
              <w:t>核心结果</w:t>
            </w:r>
          </w:p>
        </w:tc>
      </w:tr>
      <w:tr>
        <w:tc>
          <w:tcPr>
            <w:tcW w:type="dxa" w:w="2880"/>
          </w:tcPr>
          <w:p>
            <w:r>
              <w:t>解析基准</w:t>
            </w:r>
          </w:p>
        </w:tc>
        <w:tc>
          <w:tcPr>
            <w:tcW w:type="dxa" w:w="2880"/>
          </w:tcPr>
          <w:p>
            <w:r>
              <w:t>无 OCR</w:t>
            </w:r>
          </w:p>
        </w:tc>
        <w:tc>
          <w:tcPr>
            <w:tcW w:type="dxa" w:w="2880"/>
          </w:tcPr>
          <w:p>
            <w:r>
              <w:t>文本可读率 55.9%</w:t>
            </w:r>
          </w:p>
        </w:tc>
      </w:tr>
      <w:tr>
        <w:tc>
          <w:tcPr>
            <w:tcW w:type="dxa" w:w="2880"/>
          </w:tcPr>
          <w:p>
            <w:r>
              <w:t>解析改进</w:t>
            </w:r>
          </w:p>
        </w:tc>
        <w:tc>
          <w:tcPr>
            <w:tcW w:type="dxa" w:w="2880"/>
          </w:tcPr>
          <w:p>
            <w:r>
              <w:t>启用本地 OCR</w:t>
            </w:r>
          </w:p>
        </w:tc>
        <w:tc>
          <w:tcPr>
            <w:tcW w:type="dxa" w:w="2880"/>
          </w:tcPr>
          <w:p>
            <w:r>
              <w:t>文本可读率 100.0%</w:t>
            </w:r>
          </w:p>
        </w:tc>
      </w:tr>
      <w:tr>
        <w:tc>
          <w:tcPr>
            <w:tcW w:type="dxa" w:w="2880"/>
          </w:tcPr>
          <w:p>
            <w:r>
              <w:t>匹配消融 A</w:t>
            </w:r>
          </w:p>
        </w:tc>
        <w:tc>
          <w:tcPr>
            <w:tcW w:type="dxa" w:w="2880"/>
          </w:tcPr>
          <w:p>
            <w:r>
              <w:t>仅规则</w:t>
            </w:r>
          </w:p>
        </w:tc>
        <w:tc>
          <w:tcPr>
            <w:tcW w:type="dxa" w:w="2880"/>
          </w:tcPr>
          <w:p>
            <w:r>
              <w:t>0.5053</w:t>
            </w:r>
          </w:p>
        </w:tc>
      </w:tr>
      <w:tr>
        <w:tc>
          <w:tcPr>
            <w:tcW w:type="dxa" w:w="2880"/>
          </w:tcPr>
          <w:p>
            <w:r>
              <w:t>匹配消融 B</w:t>
            </w:r>
          </w:p>
        </w:tc>
        <w:tc>
          <w:tcPr>
            <w:tcW w:type="dxa" w:w="2880"/>
          </w:tcPr>
          <w:p>
            <w:r>
              <w:t>语义模型通道</w:t>
            </w:r>
          </w:p>
        </w:tc>
        <w:tc>
          <w:tcPr>
            <w:tcW w:type="dxa" w:w="2880"/>
          </w:tcPr>
          <w:p>
            <w:r>
              <w:t>0.9056</w:t>
            </w:r>
          </w:p>
        </w:tc>
      </w:tr>
      <w:tr>
        <w:tc>
          <w:tcPr>
            <w:tcW w:type="dxa" w:w="2880"/>
          </w:tcPr>
          <w:p>
            <w:r>
              <w:t>匹配消融 C</w:t>
            </w:r>
          </w:p>
        </w:tc>
        <w:tc>
          <w:tcPr>
            <w:tcW w:type="dxa" w:w="2880"/>
          </w:tcPr>
          <w:p>
            <w:r>
              <w:t>语义主排序 + 规则证据</w:t>
            </w:r>
          </w:p>
        </w:tc>
        <w:tc>
          <w:tcPr>
            <w:tcW w:type="dxa" w:w="2880"/>
          </w:tcPr>
          <w:p>
            <w:r>
              <w:t>0.902</w:t>
            </w:r>
          </w:p>
        </w:tc>
      </w:tr>
      <w:tr>
        <w:tc>
          <w:tcPr>
            <w:tcW w:type="dxa" w:w="2880"/>
          </w:tcPr>
          <w:p>
            <w:r>
              <w:t>相对提升</w:t>
            </w:r>
          </w:p>
        </w:tc>
        <w:tc>
          <w:tcPr>
            <w:tcW w:type="dxa" w:w="2880"/>
          </w:tcPr>
          <w:p>
            <w:r>
              <w:t>语义主排序 - 规则</w:t>
            </w:r>
          </w:p>
        </w:tc>
        <w:tc>
          <w:tcPr>
            <w:tcW w:type="dxa" w:w="2880"/>
          </w:tcPr>
          <w:p>
            <w:r>
              <w:t>0.3967</w:t>
            </w:r>
          </w:p>
        </w:tc>
      </w:tr>
    </w:tbl>
    <w:p>
      <w:r>
        <w:t>模型培优结论：现有双塔语义模型作为主排序器，规则引擎只负责硬约束、证据解释和规则回退。当前 61 条结果属于探索性分析；正式验收必须按岗位模板分组切分 Validation/Test，且测试集只在最终评估时使用一次。</w:t>
      </w:r>
    </w:p>
    <w:p>
      <w:r>
        <w:t>留出基线（test，6 条）：规则 Spearman 0.5721，语义直算 0.7356，系统语义主排序 0.9380。由于当前权重仍来自全量源集合，该结果仅用于发现切分后的分布变化。</w:t>
      </w:r>
    </w:p>
    <w:p>
      <w:r>
        <w:t>规则护栏专项：学历硬约束误拦截率 0.0%，违规识别率 100.0%，证据缺失安全处理率 100.0%。</w:t>
      </w:r>
    </w:p>
    <w:p>
      <w:pPr>
        <w:pStyle w:val="Heading1"/>
      </w:pPr>
      <w:r>
        <w:t>五、整体性能测试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测试类型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判定</w:t>
            </w:r>
          </w:p>
        </w:tc>
      </w:tr>
      <w:tr>
        <w:tc>
          <w:tcPr>
            <w:tcW w:type="dxa" w:w="2880"/>
          </w:tcPr>
          <w:p>
            <w:r>
              <w:t>基准测试</w:t>
            </w:r>
          </w:p>
        </w:tc>
        <w:tc>
          <w:tcPr>
            <w:tcW w:type="dxa" w:w="2880"/>
          </w:tcPr>
          <w:p>
            <w:r>
              <w:t>均值 416.67 ms；P95 425.41 ms</w:t>
            </w:r>
          </w:p>
        </w:tc>
        <w:tc>
          <w:tcPr>
            <w:tcW w:type="dxa" w:w="2880"/>
          </w:tcPr>
          <w:p>
            <w:r>
              <w:t>实测</w:t>
            </w:r>
          </w:p>
        </w:tc>
      </w:tr>
      <w:tr>
        <w:tc>
          <w:tcPr>
            <w:tcW w:type="dxa" w:w="2880"/>
          </w:tcPr>
          <w:p>
            <w:r>
              <w:t>压力测试</w:t>
            </w:r>
          </w:p>
        </w:tc>
        <w:tc>
          <w:tcPr>
            <w:tcW w:type="dxa" w:w="2880"/>
          </w:tcPr>
          <w:p>
            <w:r>
              <w:t>20 次顺序调用；P95 424.43 ms</w:t>
            </w:r>
          </w:p>
        </w:tc>
        <w:tc>
          <w:tcPr>
            <w:tcW w:type="dxa" w:w="2880"/>
          </w:tcPr>
          <w:p>
            <w:r>
              <w:t>实测</w:t>
            </w:r>
          </w:p>
        </w:tc>
      </w:tr>
      <w:tr>
        <w:tc>
          <w:tcPr>
            <w:tcW w:type="dxa" w:w="2880"/>
          </w:tcPr>
          <w:p>
            <w:r>
              <w:t>容量测试</w:t>
            </w:r>
          </w:p>
        </w:tc>
        <w:tc>
          <w:tcPr>
            <w:tcW w:type="dxa" w:w="2880"/>
          </w:tcPr>
          <w:p>
            <w:r>
              <w:t>1/5/10/20 份顺序任务均记录完成数</w:t>
            </w:r>
          </w:p>
        </w:tc>
        <w:tc>
          <w:tcPr>
            <w:tcW w:type="dxa" w:w="2880"/>
          </w:tcPr>
          <w:p>
            <w:r>
              <w:t>实测</w:t>
            </w:r>
          </w:p>
        </w:tc>
      </w:tr>
      <w:tr>
        <w:tc>
          <w:tcPr>
            <w:tcW w:type="dxa" w:w="2880"/>
          </w:tcPr>
          <w:p>
            <w:r>
              <w:t>稳定性测试</w:t>
            </w:r>
          </w:p>
        </w:tc>
        <w:tc>
          <w:tcPr>
            <w:tcW w:type="dxa" w:w="2880"/>
          </w:tcPr>
          <w:p>
            <w:r>
              <w:t>与压力测试同一固定输入重复 20 次</w:t>
            </w:r>
          </w:p>
        </w:tc>
        <w:tc>
          <w:tcPr>
            <w:tcW w:type="dxa" w:w="2880"/>
          </w:tcPr>
          <w:p>
            <w:r>
              <w:t>实测</w:t>
            </w:r>
          </w:p>
        </w:tc>
      </w:tr>
      <w:tr>
        <w:tc>
          <w:tcPr>
            <w:tcW w:type="dxa" w:w="2880"/>
          </w:tcPr>
          <w:p>
            <w:r>
              <w:t>并发测试</w:t>
            </w:r>
          </w:p>
        </w:tc>
        <w:tc>
          <w:tcPr>
            <w:tcW w:type="dxa" w:w="2880"/>
          </w:tcPr>
          <w:p>
            <w:r>
              <w:t>2/4/8 worker，记录成功、失败和墙钟时间</w:t>
            </w:r>
          </w:p>
        </w:tc>
        <w:tc>
          <w:tcPr>
            <w:tcW w:type="dxa" w:w="2880"/>
          </w:tcPr>
          <w:p>
            <w:r>
              <w:t>实测</w:t>
            </w:r>
          </w:p>
        </w:tc>
      </w:tr>
    </w:tbl>
    <w:p>
      <w:r>
        <w:t>性能结果受本机 CPU、内存、模型首次加载和本地磁盘影响，适合比较当前版本改动，不应直接当作服务器 SLA。首次调用单独记录为 warm-up。</w:t>
      </w:r>
    </w:p>
    <w:p>
      <w:r>
        <w:t>并发 2：成功 2，失败 0，墙钟 330.34 ms。</w:t>
      </w:r>
    </w:p>
    <w:p>
      <w:r>
        <w:t>并发 4：成功 4，失败 0，墙钟 525.88 ms。</w:t>
      </w:r>
    </w:p>
    <w:p>
      <w:r>
        <w:t>并发 8：成功 8，失败 0，墙钟 927.55 ms。</w:t>
      </w:r>
    </w:p>
    <w:p>
      <w:pPr>
        <w:pStyle w:val="Heading1"/>
      </w:pPr>
      <w:r>
        <w:t>六、问题与改进建议</w:t>
      </w:r>
    </w:p>
    <w:p>
      <w:r>
        <w:t>1. 当前合成解析集结果较高，下一步应以 A 池人工复核后的 gold_sections 作为正式真实板块评测，不宜继续扩大合成集指标。</w:t>
      </w:r>
    </w:p>
    <w:p>
      <w:r>
        <w:t>2. OCR 后全部文件可读，但扫描 PDF 的文字质量仍需抽样复核；报告中的质量通过率与文本可读率必须同时展示。</w:t>
      </w:r>
    </w:p>
    <w:p>
      <w:r>
        <w:t>3. 语义模型已有提升证据，但 61 条岗位集合属于同源弱标注探索集；应在岗位库扩充后按岗位模板分组切分训练、验证和测试集，单独报告真实岗位评测。</w:t>
      </w:r>
    </w:p>
    <w:p>
      <w:r>
        <w:t>4. 并发测试若出现失败，应优先检查语义模型单例、OCR 引擎锁、SQLite 写入和 SSE 认领状态；不要只通过增加超时掩盖问题。</w:t>
      </w:r>
    </w:p>
    <w:p>
      <w:pPr>
        <w:pStyle w:val="Heading1"/>
      </w:pPr>
      <w:r>
        <w:t>七、复现命令</w:t>
      </w:r>
    </w:p>
    <w:p>
      <w:r>
        <w:t>在 backend 目录运行：</w:t>
      </w:r>
    </w:p>
    <w:p>
      <w:pPr>
        <w:pStyle w:val="NoSpacing"/>
      </w:pPr>
      <w:r>
        <w:t>.\.venv\Scripts\python.exe scripts/run_quality_benchmark.py --corpus &lt;本地真实简历目录&gt;</w:t>
      </w:r>
    </w:p>
    <w:p>
      <w:pPr>
        <w:pStyle w:val="NoSpacing"/>
      </w:pPr>
      <w:r>
        <w:t>.\.venv\Scripts\python.exe -m pytest tests -q</w:t>
      </w:r>
    </w:p>
    <w:p>
      <w:pPr>
        <w:pStyle w:val="NoSpacing"/>
      </w:pPr>
      <w:r>
        <w:t>npm run build（在 frontend 目录）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