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D38A3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jc w:val="center"/>
        <w:textAlignment w:val="auto"/>
        <w:rPr>
          <w:rFonts w:hint="eastAsia" w:ascii="宋体" w:hAnsi="宋体" w:eastAsia="宋体" w:cs="宋体"/>
        </w:rPr>
      </w:pPr>
      <w:bookmarkStart w:id="0" w:name="_GoBack"/>
      <w:bookmarkEnd w:id="0"/>
      <w:r>
        <w:rPr>
          <w:rFonts w:hint="eastAsia" w:ascii="宋体" w:hAnsi="宋体" w:eastAsia="宋体" w:cs="宋体"/>
          <w:b/>
          <w:color w:val="0B2545"/>
          <w:sz w:val="44"/>
        </w:rPr>
        <w:t>系统整体项目管理计划</w:t>
      </w:r>
    </w:p>
    <w:p w14:paraId="3717AB4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jc w:val="center"/>
        <w:textAlignment w:val="auto"/>
        <w:rPr>
          <w:rFonts w:hint="eastAsia" w:ascii="宋体" w:hAnsi="宋体" w:eastAsia="宋体" w:cs="宋体"/>
        </w:rPr>
      </w:pPr>
    </w:p>
    <w:p w14:paraId="3518E1C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jc w:val="center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color w:val="555555"/>
          <w:sz w:val="21"/>
        </w:rPr>
        <w:t>版本：V1.0    日期：2026年8月28日</w:t>
      </w:r>
    </w:p>
    <w:p w14:paraId="4EC5B52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rFonts w:hint="eastAsia" w:ascii="宋体" w:hAnsi="宋体" w:eastAsia="宋体" w:cs="宋体"/>
        </w:rPr>
      </w:pPr>
    </w:p>
    <w:p w14:paraId="2A80E300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2E74B5"/>
        </w:rPr>
        <w:t>0. 版本记录与基线</w:t>
      </w:r>
    </w:p>
    <w:tbl>
      <w:tblPr>
        <w:tblStyle w:val="33"/>
        <w:tblW w:w="4997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936"/>
        <w:gridCol w:w="1122"/>
        <w:gridCol w:w="749"/>
        <w:gridCol w:w="2542"/>
        <w:gridCol w:w="2350"/>
        <w:gridCol w:w="1895"/>
      </w:tblGrid>
      <w:tr w14:paraId="09CB9ACC">
        <w:trPr>
          <w:trHeight w:val="0" w:hRule="atLeast"/>
          <w:tblHeader/>
          <w:jc w:val="center"/>
        </w:trPr>
        <w:tc>
          <w:tcPr>
            <w:tcW w:w="488" w:type="pct"/>
            <w:shd w:val="clear" w:color="auto" w:fill="F2F4F7"/>
            <w:vAlign w:val="center"/>
          </w:tcPr>
          <w:p w14:paraId="087CC04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</w:rPr>
              <w:t>版本</w:t>
            </w:r>
          </w:p>
        </w:tc>
        <w:tc>
          <w:tcPr>
            <w:tcW w:w="975" w:type="pct"/>
            <w:gridSpan w:val="2"/>
            <w:shd w:val="clear" w:color="auto" w:fill="F2F4F7"/>
            <w:vAlign w:val="center"/>
          </w:tcPr>
          <w:p w14:paraId="4260F21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</w:rPr>
              <w:t>日期</w:t>
            </w:r>
          </w:p>
        </w:tc>
        <w:tc>
          <w:tcPr>
            <w:tcW w:w="2548" w:type="pct"/>
            <w:gridSpan w:val="2"/>
            <w:shd w:val="clear" w:color="auto" w:fill="F2F4F7"/>
            <w:vAlign w:val="center"/>
          </w:tcPr>
          <w:p w14:paraId="35841C6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</w:rPr>
              <w:t>修订内容</w:t>
            </w:r>
          </w:p>
        </w:tc>
        <w:tc>
          <w:tcPr>
            <w:tcW w:w="986" w:type="pct"/>
            <w:shd w:val="clear" w:color="auto" w:fill="F2F4F7"/>
            <w:vAlign w:val="center"/>
          </w:tcPr>
          <w:p w14:paraId="7B53AA1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</w:rPr>
              <w:t>适用阶段</w:t>
            </w:r>
          </w:p>
        </w:tc>
      </w:tr>
      <w:tr w14:paraId="56744449">
        <w:trPr>
          <w:trHeight w:val="0" w:hRule="atLeast"/>
          <w:jc w:val="center"/>
        </w:trPr>
        <w:tc>
          <w:tcPr>
            <w:tcW w:w="488" w:type="pct"/>
            <w:vAlign w:val="center"/>
          </w:tcPr>
          <w:p w14:paraId="40761E6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V1.0</w:t>
            </w:r>
          </w:p>
        </w:tc>
        <w:tc>
          <w:tcPr>
            <w:tcW w:w="975" w:type="pct"/>
            <w:gridSpan w:val="2"/>
            <w:vAlign w:val="center"/>
          </w:tcPr>
          <w:p w14:paraId="0B62A97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2026年8月28日</w:t>
            </w:r>
          </w:p>
        </w:tc>
        <w:tc>
          <w:tcPr>
            <w:tcW w:w="2548" w:type="pct"/>
            <w:gridSpan w:val="2"/>
            <w:vAlign w:val="center"/>
          </w:tcPr>
          <w:p w14:paraId="35FB9E8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形成整体项目管理计划，覆盖范围、进度、质量、风险、沟通、采购、上线、验收和移交管理。</w:t>
            </w:r>
          </w:p>
        </w:tc>
        <w:tc>
          <w:tcPr>
            <w:tcW w:w="986" w:type="pct"/>
            <w:vAlign w:val="center"/>
          </w:tcPr>
          <w:p w14:paraId="48D5EF7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项目计划、实施管控、阶段评审</w:t>
            </w:r>
          </w:p>
        </w:tc>
      </w:tr>
      <w:tr w14:paraId="3D0B0266">
        <w:trPr>
          <w:trHeight w:val="0" w:hRule="atLeast"/>
          <w:tblHeader/>
          <w:jc w:val="center"/>
        </w:trPr>
        <w:tc>
          <w:tcPr>
            <w:tcW w:w="1073" w:type="pct"/>
            <w:gridSpan w:val="2"/>
            <w:shd w:val="clear" w:color="auto" w:fill="F2F4F7"/>
            <w:vAlign w:val="center"/>
          </w:tcPr>
          <w:p w14:paraId="7C8C0EE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</w:rPr>
              <w:t>依据文件</w:t>
            </w:r>
          </w:p>
        </w:tc>
        <w:tc>
          <w:tcPr>
            <w:tcW w:w="1714" w:type="pct"/>
            <w:gridSpan w:val="2"/>
            <w:shd w:val="clear" w:color="auto" w:fill="F2F4F7"/>
            <w:vAlign w:val="center"/>
          </w:tcPr>
          <w:p w14:paraId="343EB9E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</w:rPr>
              <w:t>版本/状态</w:t>
            </w:r>
          </w:p>
        </w:tc>
        <w:tc>
          <w:tcPr>
            <w:tcW w:w="2211" w:type="pct"/>
            <w:gridSpan w:val="2"/>
            <w:shd w:val="clear" w:color="auto" w:fill="F2F4F7"/>
            <w:vAlign w:val="center"/>
          </w:tcPr>
          <w:p w14:paraId="7665B7A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</w:rPr>
              <w:t>本计划引用重点</w:t>
            </w:r>
          </w:p>
        </w:tc>
      </w:tr>
      <w:tr w14:paraId="2B90F7B0">
        <w:trPr>
          <w:trHeight w:val="0" w:hRule="atLeast"/>
          <w:jc w:val="center"/>
        </w:trPr>
        <w:tc>
          <w:tcPr>
            <w:tcW w:w="1073" w:type="pct"/>
            <w:gridSpan w:val="2"/>
            <w:vAlign w:val="center"/>
          </w:tcPr>
          <w:p w14:paraId="1CF5CAA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进出厂物流系统需求规格说明书</w:t>
            </w:r>
          </w:p>
        </w:tc>
        <w:tc>
          <w:tcPr>
            <w:tcW w:w="1714" w:type="pct"/>
            <w:gridSpan w:val="2"/>
            <w:vAlign w:val="center"/>
          </w:tcPr>
          <w:p w14:paraId="51FAD4D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V1.2</w:t>
            </w:r>
          </w:p>
        </w:tc>
        <w:tc>
          <w:tcPr>
            <w:tcW w:w="2211" w:type="pct"/>
            <w:gridSpan w:val="2"/>
            <w:vAlign w:val="center"/>
          </w:tcPr>
          <w:p w14:paraId="0FF6D89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范围基线、P0/P1需求、接口需求、小程序需求、非功能需求、验收需求。</w:t>
            </w:r>
          </w:p>
        </w:tc>
      </w:tr>
      <w:tr w14:paraId="26CE068B">
        <w:trPr>
          <w:trHeight w:val="0" w:hRule="atLeast"/>
          <w:jc w:val="center"/>
        </w:trPr>
        <w:tc>
          <w:tcPr>
            <w:tcW w:w="1073" w:type="pct"/>
            <w:gridSpan w:val="2"/>
            <w:vAlign w:val="center"/>
          </w:tcPr>
          <w:p w14:paraId="4DE0F29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进出厂物流系统详细设计</w:t>
            </w:r>
          </w:p>
        </w:tc>
        <w:tc>
          <w:tcPr>
            <w:tcW w:w="1714" w:type="pct"/>
            <w:gridSpan w:val="2"/>
            <w:vAlign w:val="center"/>
          </w:tcPr>
          <w:p w14:paraId="1A98634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V1.2</w:t>
            </w:r>
          </w:p>
        </w:tc>
        <w:tc>
          <w:tcPr>
            <w:tcW w:w="2211" w:type="pct"/>
            <w:gridSpan w:val="2"/>
            <w:vAlign w:val="center"/>
          </w:tcPr>
          <w:p w14:paraId="2D1D368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应用模块、接口契约、数据表、权限、安全、测试、上线和运维设计。</w:t>
            </w:r>
          </w:p>
        </w:tc>
      </w:tr>
      <w:tr w14:paraId="53DE6BB7">
        <w:trPr>
          <w:trHeight w:val="0" w:hRule="atLeast"/>
          <w:jc w:val="center"/>
        </w:trPr>
        <w:tc>
          <w:tcPr>
            <w:tcW w:w="1073" w:type="pct"/>
            <w:gridSpan w:val="2"/>
            <w:vAlign w:val="center"/>
          </w:tcPr>
          <w:p w14:paraId="169F55B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项目里程碑计划与功能清单</w:t>
            </w:r>
          </w:p>
        </w:tc>
        <w:tc>
          <w:tcPr>
            <w:tcW w:w="1714" w:type="pct"/>
            <w:gridSpan w:val="2"/>
            <w:vAlign w:val="center"/>
          </w:tcPr>
          <w:p w14:paraId="064FE6A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Excel最新版</w:t>
            </w:r>
          </w:p>
        </w:tc>
        <w:tc>
          <w:tcPr>
            <w:tcW w:w="2211" w:type="pct"/>
            <w:gridSpan w:val="2"/>
            <w:vAlign w:val="center"/>
          </w:tcPr>
          <w:p w14:paraId="2B16798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里程碑、WBS、功能清单、接口联调计划、UAT、上线准出、风险问题台账。</w:t>
            </w:r>
          </w:p>
        </w:tc>
      </w:tr>
      <w:tr w14:paraId="2A7B8EAD">
        <w:trPr>
          <w:trHeight w:val="0" w:hRule="atLeast"/>
          <w:jc w:val="center"/>
        </w:trPr>
        <w:tc>
          <w:tcPr>
            <w:tcW w:w="1073" w:type="pct"/>
            <w:gridSpan w:val="2"/>
            <w:vAlign w:val="center"/>
          </w:tcPr>
          <w:p w14:paraId="548F20A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项目建议书</w:t>
            </w:r>
          </w:p>
        </w:tc>
        <w:tc>
          <w:tcPr>
            <w:tcW w:w="1714" w:type="pct"/>
            <w:gridSpan w:val="2"/>
            <w:vAlign w:val="center"/>
          </w:tcPr>
          <w:p w14:paraId="010DF69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20260730</w:t>
            </w:r>
          </w:p>
        </w:tc>
        <w:tc>
          <w:tcPr>
            <w:tcW w:w="2211" w:type="pct"/>
            <w:gridSpan w:val="2"/>
            <w:vAlign w:val="center"/>
          </w:tcPr>
          <w:p w14:paraId="31CB2F3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建设背景、业务痛点、建设目标、软硬件范围和原始进度要求。</w:t>
            </w:r>
          </w:p>
        </w:tc>
      </w:tr>
    </w:tbl>
    <w:p w14:paraId="682EE5D3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2E74B5"/>
        </w:rPr>
        <w:t>1. 项目概述</w:t>
      </w:r>
    </w:p>
    <w:p w14:paraId="0E25181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>本项目建设目标是围绕江汉盐化工进出厂物流业务，建立覆盖订单、计划、预约、资质、门禁、安检、称重、ERP处理、电子单据、报表、集控大屏、小程序和应急补偿的一体化物流系统。项目管理的核心不是单纯完成软件开发，而是保障现场业务闭环、关键接口可用、设备联动稳定、数据可追溯、上线可回退、验收有证据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326"/>
        <w:gridCol w:w="4543"/>
        <w:gridCol w:w="3491"/>
      </w:tblGrid>
      <w:tr w14:paraId="4198FBE6">
        <w:trPr>
          <w:trHeight w:val="0" w:hRule="atLeast"/>
          <w:tblHeader/>
        </w:trPr>
        <w:tc>
          <w:tcPr>
            <w:tcW w:w="1326" w:type="dxa"/>
            <w:shd w:val="clear" w:color="auto" w:fill="F2F4F7"/>
            <w:vAlign w:val="center"/>
          </w:tcPr>
          <w:p w14:paraId="47A6812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管理主题</w:t>
            </w:r>
          </w:p>
        </w:tc>
        <w:tc>
          <w:tcPr>
            <w:tcW w:w="4543" w:type="dxa"/>
            <w:shd w:val="clear" w:color="auto" w:fill="F2F4F7"/>
            <w:vAlign w:val="center"/>
          </w:tcPr>
          <w:p w14:paraId="5A1A9F0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管理目标</w:t>
            </w:r>
          </w:p>
        </w:tc>
        <w:tc>
          <w:tcPr>
            <w:tcW w:w="3491" w:type="dxa"/>
            <w:shd w:val="clear" w:color="auto" w:fill="F2F4F7"/>
            <w:vAlign w:val="center"/>
          </w:tcPr>
          <w:p w14:paraId="35BE82C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关键证据</w:t>
            </w:r>
          </w:p>
        </w:tc>
      </w:tr>
      <w:tr w14:paraId="4FD3F14D">
        <w:trPr>
          <w:trHeight w:val="0" w:hRule="atLeast"/>
        </w:trPr>
        <w:tc>
          <w:tcPr>
            <w:tcW w:w="1326" w:type="dxa"/>
            <w:vAlign w:val="center"/>
          </w:tcPr>
          <w:p w14:paraId="2D29DAC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业务价值</w:t>
            </w:r>
          </w:p>
        </w:tc>
        <w:tc>
          <w:tcPr>
            <w:tcW w:w="4543" w:type="dxa"/>
            <w:vAlign w:val="center"/>
          </w:tcPr>
          <w:p w14:paraId="52E6A8C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减少纸质单据和人工换单，提高预约、称重、放行和ERP过账效率。</w:t>
            </w:r>
          </w:p>
        </w:tc>
        <w:tc>
          <w:tcPr>
            <w:tcW w:w="3491" w:type="dxa"/>
            <w:vAlign w:val="center"/>
          </w:tcPr>
          <w:p w14:paraId="1E00159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上线前后流程时长、人工录入量、异常闭环时长、用户反馈。</w:t>
            </w:r>
          </w:p>
        </w:tc>
      </w:tr>
      <w:tr w14:paraId="05488AF5">
        <w:trPr>
          <w:trHeight w:val="0" w:hRule="atLeast"/>
        </w:trPr>
        <w:tc>
          <w:tcPr>
            <w:tcW w:w="1326" w:type="dxa"/>
            <w:vAlign w:val="center"/>
          </w:tcPr>
          <w:p w14:paraId="0929A00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范围控制</w:t>
            </w:r>
          </w:p>
        </w:tc>
        <w:tc>
          <w:tcPr>
            <w:tcW w:w="4543" w:type="dxa"/>
            <w:vAlign w:val="center"/>
          </w:tcPr>
          <w:p w14:paraId="2204D02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功能全部纳入建设范围，实施可分阶段，但变更必须受控。</w:t>
            </w:r>
          </w:p>
        </w:tc>
        <w:tc>
          <w:tcPr>
            <w:tcW w:w="3491" w:type="dxa"/>
            <w:vAlign w:val="center"/>
          </w:tcPr>
          <w:p w14:paraId="62812E4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需求基线、功能清单、变更台账、签署记录。</w:t>
            </w:r>
          </w:p>
        </w:tc>
      </w:tr>
      <w:tr w14:paraId="38186136">
        <w:trPr>
          <w:trHeight w:val="0" w:hRule="atLeast"/>
        </w:trPr>
        <w:tc>
          <w:tcPr>
            <w:tcW w:w="1326" w:type="dxa"/>
            <w:vAlign w:val="center"/>
          </w:tcPr>
          <w:p w14:paraId="7936C20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质量控制</w:t>
            </w:r>
          </w:p>
        </w:tc>
        <w:tc>
          <w:tcPr>
            <w:tcW w:w="4543" w:type="dxa"/>
            <w:vAlign w:val="center"/>
          </w:tcPr>
          <w:p w14:paraId="3FEB969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P0主链路和关键异常场景必须可测试、可联调、可验收。</w:t>
            </w:r>
          </w:p>
        </w:tc>
        <w:tc>
          <w:tcPr>
            <w:tcW w:w="3491" w:type="dxa"/>
            <w:vAlign w:val="center"/>
          </w:tcPr>
          <w:p w14:paraId="3D480AD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测试报告、UAT签字、接口联调报告、缺陷关闭清单。</w:t>
            </w:r>
          </w:p>
        </w:tc>
      </w:tr>
      <w:tr w14:paraId="1B78C175">
        <w:trPr>
          <w:trHeight w:val="0" w:hRule="atLeast"/>
        </w:trPr>
        <w:tc>
          <w:tcPr>
            <w:tcW w:w="1326" w:type="dxa"/>
            <w:vAlign w:val="center"/>
          </w:tcPr>
          <w:p w14:paraId="1243244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风险控制</w:t>
            </w:r>
          </w:p>
        </w:tc>
        <w:tc>
          <w:tcPr>
            <w:tcW w:w="4543" w:type="dxa"/>
            <w:vAlign w:val="center"/>
          </w:tcPr>
          <w:p w14:paraId="6011891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重点控制ERP、门禁、衡器、LIMS、小程序、现场施工、数据迁移和上线切换风险。</w:t>
            </w:r>
          </w:p>
        </w:tc>
        <w:tc>
          <w:tcPr>
            <w:tcW w:w="3491" w:type="dxa"/>
            <w:vAlign w:val="center"/>
          </w:tcPr>
          <w:p w14:paraId="6A23FEF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风险台账、问题台账、决策台账、应急演练记录。</w:t>
            </w:r>
          </w:p>
        </w:tc>
      </w:tr>
      <w:tr w14:paraId="3E6CCFF1">
        <w:trPr>
          <w:trHeight w:val="0" w:hRule="atLeast"/>
        </w:trPr>
        <w:tc>
          <w:tcPr>
            <w:tcW w:w="1326" w:type="dxa"/>
            <w:vAlign w:val="center"/>
          </w:tcPr>
          <w:p w14:paraId="624284B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交付控制</w:t>
            </w:r>
          </w:p>
        </w:tc>
        <w:tc>
          <w:tcPr>
            <w:tcW w:w="4543" w:type="dxa"/>
            <w:vAlign w:val="center"/>
          </w:tcPr>
          <w:p w14:paraId="2D4F19B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每个阶段以可审查交付物和出口标准作为通过条件。</w:t>
            </w:r>
          </w:p>
        </w:tc>
        <w:tc>
          <w:tcPr>
            <w:tcW w:w="3491" w:type="dxa"/>
            <w:vAlign w:val="center"/>
          </w:tcPr>
          <w:p w14:paraId="4BBF91F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阶段评审纪要、交付物清单、上线准出表、验收报告。</w:t>
            </w:r>
          </w:p>
        </w:tc>
      </w:tr>
    </w:tbl>
    <w:p w14:paraId="37EDDA13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2E74B5"/>
        </w:rPr>
        <w:t>2. 项目目标与成功标准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693"/>
        <w:gridCol w:w="4445"/>
        <w:gridCol w:w="3222"/>
      </w:tblGrid>
      <w:tr w14:paraId="6AB5C598">
        <w:trPr>
          <w:trHeight w:val="0" w:hRule="atLeast"/>
          <w:tblHeader/>
        </w:trPr>
        <w:tc>
          <w:tcPr>
            <w:tcW w:w="1693" w:type="dxa"/>
            <w:shd w:val="clear" w:color="auto" w:fill="F2F4F7"/>
            <w:vAlign w:val="center"/>
          </w:tcPr>
          <w:p w14:paraId="1C8FEC41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目标类别</w:t>
            </w:r>
          </w:p>
        </w:tc>
        <w:tc>
          <w:tcPr>
            <w:tcW w:w="4445" w:type="dxa"/>
            <w:shd w:val="clear" w:color="auto" w:fill="F2F4F7"/>
            <w:vAlign w:val="center"/>
          </w:tcPr>
          <w:p w14:paraId="3CE6AACF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成功标准</w:t>
            </w:r>
          </w:p>
        </w:tc>
        <w:tc>
          <w:tcPr>
            <w:tcW w:w="3221" w:type="dxa"/>
            <w:shd w:val="clear" w:color="auto" w:fill="F2F4F7"/>
            <w:vAlign w:val="center"/>
          </w:tcPr>
          <w:p w14:paraId="27DB79C9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度量/验收方式</w:t>
            </w:r>
          </w:p>
        </w:tc>
      </w:tr>
      <w:tr w14:paraId="73E91503">
        <w:trPr>
          <w:trHeight w:val="0" w:hRule="atLeast"/>
        </w:trPr>
        <w:tc>
          <w:tcPr>
            <w:tcW w:w="1693" w:type="dxa"/>
            <w:vAlign w:val="center"/>
          </w:tcPr>
          <w:p w14:paraId="40E9A568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流程电子化</w:t>
            </w:r>
          </w:p>
        </w:tc>
        <w:tc>
          <w:tcPr>
            <w:tcW w:w="4445" w:type="dxa"/>
            <w:vAlign w:val="center"/>
          </w:tcPr>
          <w:p w14:paraId="05617D37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销售出厂、采购进厂、零星业务、内部运转、复磅抽查、应急补录均可在线闭环。</w:t>
            </w:r>
          </w:p>
        </w:tc>
        <w:tc>
          <w:tcPr>
            <w:tcW w:w="3221" w:type="dxa"/>
            <w:vAlign w:val="center"/>
          </w:tcPr>
          <w:p w14:paraId="3E05AFC0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UAT-01至UAT-09通过，状态机流转和电子单据完整。</w:t>
            </w:r>
          </w:p>
        </w:tc>
      </w:tr>
      <w:tr w14:paraId="1981CE1D">
        <w:trPr>
          <w:trHeight w:val="0" w:hRule="atLeast"/>
        </w:trPr>
        <w:tc>
          <w:tcPr>
            <w:tcW w:w="1693" w:type="dxa"/>
            <w:vAlign w:val="center"/>
          </w:tcPr>
          <w:p w14:paraId="60817BC0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接口一体化</w:t>
            </w:r>
          </w:p>
        </w:tc>
        <w:tc>
          <w:tcPr>
            <w:tcW w:w="4445" w:type="dxa"/>
            <w:vAlign w:val="center"/>
          </w:tcPr>
          <w:p w14:paraId="7C7141D8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ERP、门禁、衡器、LIMS、统一身份、小程序和消息接口具备主流程、失败补偿和对账能力。</w:t>
            </w:r>
          </w:p>
        </w:tc>
        <w:tc>
          <w:tcPr>
            <w:tcW w:w="3221" w:type="dxa"/>
            <w:vAlign w:val="center"/>
          </w:tcPr>
          <w:p w14:paraId="2F07BE00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接口联调报告、失败场景验证、日终对账记录。</w:t>
            </w:r>
          </w:p>
        </w:tc>
      </w:tr>
      <w:tr w14:paraId="0494CBA3">
        <w:trPr>
          <w:trHeight w:val="0" w:hRule="atLeast"/>
        </w:trPr>
        <w:tc>
          <w:tcPr>
            <w:tcW w:w="1693" w:type="dxa"/>
            <w:vAlign w:val="center"/>
          </w:tcPr>
          <w:p w14:paraId="6EA1FA03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现场设备协同</w:t>
            </w:r>
          </w:p>
        </w:tc>
        <w:tc>
          <w:tcPr>
            <w:tcW w:w="4445" w:type="dxa"/>
            <w:vAlign w:val="center"/>
          </w:tcPr>
          <w:p w14:paraId="1850AF53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地磅、自助终端、车牌识别、道闸、光栅、摄像机、打印机、读卡器联动可用。</w:t>
            </w:r>
          </w:p>
        </w:tc>
        <w:tc>
          <w:tcPr>
            <w:tcW w:w="3221" w:type="dxa"/>
            <w:vAlign w:val="center"/>
          </w:tcPr>
          <w:p w14:paraId="7C1AF0D4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设备点检表、联调记录、异常演练记录。</w:t>
            </w:r>
          </w:p>
        </w:tc>
      </w:tr>
      <w:tr w14:paraId="366B36B3">
        <w:trPr>
          <w:trHeight w:val="0" w:hRule="atLeast"/>
        </w:trPr>
        <w:tc>
          <w:tcPr>
            <w:tcW w:w="1693" w:type="dxa"/>
            <w:vAlign w:val="center"/>
          </w:tcPr>
          <w:p w14:paraId="53F6E754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移动端可用</w:t>
            </w:r>
          </w:p>
        </w:tc>
        <w:tc>
          <w:tcPr>
            <w:tcW w:w="4445" w:type="dxa"/>
            <w:vAlign w:val="center"/>
          </w:tcPr>
          <w:p w14:paraId="5B98BED7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小程序完成登录绑定、预约、排队、消息、证照上传、电子单据、隐私合规和审核发布。</w:t>
            </w:r>
          </w:p>
        </w:tc>
        <w:tc>
          <w:tcPr>
            <w:tcW w:w="3221" w:type="dxa"/>
            <w:vAlign w:val="center"/>
          </w:tcPr>
          <w:p w14:paraId="11FCDB92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体验版测试记录、微信审核结果、消息与文件日志。</w:t>
            </w:r>
          </w:p>
        </w:tc>
      </w:tr>
      <w:tr w14:paraId="508129FB">
        <w:trPr>
          <w:trHeight w:val="0" w:hRule="atLeast"/>
        </w:trPr>
        <w:tc>
          <w:tcPr>
            <w:tcW w:w="1693" w:type="dxa"/>
            <w:vAlign w:val="center"/>
          </w:tcPr>
          <w:p w14:paraId="7189FF3C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上线可控</w:t>
            </w:r>
          </w:p>
        </w:tc>
        <w:tc>
          <w:tcPr>
            <w:tcW w:w="4445" w:type="dxa"/>
            <w:vAlign w:val="center"/>
          </w:tcPr>
          <w:p w14:paraId="6D1ED7AE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上线前完成数据、接口、权限、缺陷、回退、培训和值守准出。</w:t>
            </w:r>
          </w:p>
        </w:tc>
        <w:tc>
          <w:tcPr>
            <w:tcW w:w="3221" w:type="dxa"/>
            <w:vAlign w:val="center"/>
          </w:tcPr>
          <w:p w14:paraId="407A879A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上线准出清单、回退演练、培训签到、运维值班表。</w:t>
            </w:r>
          </w:p>
        </w:tc>
      </w:tr>
      <w:tr w14:paraId="7E9C416A">
        <w:trPr>
          <w:trHeight w:val="0" w:hRule="atLeast"/>
        </w:trPr>
        <w:tc>
          <w:tcPr>
            <w:tcW w:w="1693" w:type="dxa"/>
            <w:vAlign w:val="center"/>
          </w:tcPr>
          <w:p w14:paraId="329DCA1C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稳定运行</w:t>
            </w:r>
          </w:p>
        </w:tc>
        <w:tc>
          <w:tcPr>
            <w:tcW w:w="4445" w:type="dxa"/>
            <w:vAlign w:val="center"/>
          </w:tcPr>
          <w:p w14:paraId="088D373E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稳定期内无阻断性故障，问题、缺陷、接口差异和业务投诉闭环。</w:t>
            </w:r>
          </w:p>
        </w:tc>
        <w:tc>
          <w:tcPr>
            <w:tcW w:w="3221" w:type="dxa"/>
            <w:vAlign w:val="center"/>
          </w:tcPr>
          <w:p w14:paraId="22B6532F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稳定运行报告、问题关闭清单、验收移交记录。</w:t>
            </w:r>
          </w:p>
        </w:tc>
      </w:tr>
    </w:tbl>
    <w:p w14:paraId="309A3E4B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2E74B5"/>
        </w:rPr>
        <w:t>3. 项目范围管理计划</w:t>
      </w:r>
    </w:p>
    <w:tbl>
      <w:tblPr>
        <w:tblStyle w:val="33"/>
        <w:tblW w:w="4993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269"/>
        <w:gridCol w:w="384"/>
        <w:gridCol w:w="4330"/>
        <w:gridCol w:w="3604"/>
      </w:tblGrid>
      <w:tr w14:paraId="0104DB52">
        <w:trPr>
          <w:trHeight w:val="610" w:hRule="atLeast"/>
          <w:tblHeader/>
          <w:jc w:val="center"/>
        </w:trPr>
        <w:tc>
          <w:tcPr>
            <w:tcW w:w="662" w:type="pct"/>
            <w:shd w:val="clear" w:color="auto" w:fill="F2F4F7"/>
            <w:vAlign w:val="center"/>
          </w:tcPr>
          <w:p w14:paraId="09070842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范围类别</w:t>
            </w:r>
          </w:p>
        </w:tc>
        <w:tc>
          <w:tcPr>
            <w:tcW w:w="2458" w:type="pct"/>
            <w:gridSpan w:val="2"/>
            <w:shd w:val="clear" w:color="auto" w:fill="F2F4F7"/>
            <w:vAlign w:val="center"/>
          </w:tcPr>
          <w:p w14:paraId="269728C2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纳入范围</w:t>
            </w:r>
          </w:p>
        </w:tc>
        <w:tc>
          <w:tcPr>
            <w:tcW w:w="1878" w:type="pct"/>
            <w:shd w:val="clear" w:color="auto" w:fill="F2F4F7"/>
            <w:vAlign w:val="center"/>
          </w:tcPr>
          <w:p w14:paraId="63292C9E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边界与控制</w:t>
            </w:r>
          </w:p>
        </w:tc>
      </w:tr>
      <w:tr w14:paraId="59EFCF17">
        <w:trPr>
          <w:trHeight w:val="0" w:hRule="atLeast"/>
          <w:jc w:val="center"/>
        </w:trPr>
        <w:tc>
          <w:tcPr>
            <w:tcW w:w="662" w:type="pct"/>
            <w:vAlign w:val="center"/>
          </w:tcPr>
          <w:p w14:paraId="62FB5F40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  <w:szCs w:val="18"/>
              </w:rPr>
              <w:t>业务范围</w:t>
            </w:r>
          </w:p>
        </w:tc>
        <w:tc>
          <w:tcPr>
            <w:tcW w:w="2458" w:type="pct"/>
            <w:gridSpan w:val="2"/>
            <w:vAlign w:val="center"/>
          </w:tcPr>
          <w:p w14:paraId="6C6EE971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  <w:szCs w:val="18"/>
              </w:rPr>
              <w:t>销售出厂、采购进厂、零星业务、内部运转、复磅抽查、危化品槽检、应急称重与补录。</w:t>
            </w:r>
          </w:p>
        </w:tc>
        <w:tc>
          <w:tcPr>
            <w:tcW w:w="1878" w:type="pct"/>
            <w:vAlign w:val="center"/>
          </w:tcPr>
          <w:p w14:paraId="5CCF651F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  <w:szCs w:val="18"/>
              </w:rPr>
              <w:t>厂外运输路径优化、第三方运费结算、CRM销售过程不纳入本项目。</w:t>
            </w:r>
          </w:p>
        </w:tc>
      </w:tr>
      <w:tr w14:paraId="723780D8">
        <w:trPr>
          <w:trHeight w:val="0" w:hRule="atLeast"/>
          <w:jc w:val="center"/>
        </w:trPr>
        <w:tc>
          <w:tcPr>
            <w:tcW w:w="662" w:type="pct"/>
            <w:vAlign w:val="center"/>
          </w:tcPr>
          <w:p w14:paraId="1592B760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  <w:szCs w:val="18"/>
              </w:rPr>
              <w:t>应用范围</w:t>
            </w:r>
          </w:p>
        </w:tc>
        <w:tc>
          <w:tcPr>
            <w:tcW w:w="2458" w:type="pct"/>
            <w:gridSpan w:val="2"/>
            <w:vAlign w:val="center"/>
          </w:tcPr>
          <w:p w14:paraId="0447D3AB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  <w:szCs w:val="18"/>
              </w:rPr>
              <w:t>PC Web、微信小程序/公众号、手持APP、集控大屏、接口服务、报表归档、系统管理。</w:t>
            </w:r>
          </w:p>
        </w:tc>
        <w:tc>
          <w:tcPr>
            <w:tcW w:w="1878" w:type="pct"/>
            <w:vAlign w:val="center"/>
          </w:tcPr>
          <w:p w14:paraId="5D37F6DA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  <w:szCs w:val="18"/>
              </w:rPr>
              <w:t>ERP、门禁、LIMS、衡器等外部系统不重建，仅完成接口和协同。</w:t>
            </w:r>
          </w:p>
        </w:tc>
      </w:tr>
      <w:tr w14:paraId="42347D09">
        <w:trPr>
          <w:trHeight w:val="0" w:hRule="atLeast"/>
          <w:jc w:val="center"/>
        </w:trPr>
        <w:tc>
          <w:tcPr>
            <w:tcW w:w="662" w:type="pct"/>
            <w:vAlign w:val="center"/>
          </w:tcPr>
          <w:p w14:paraId="6B824605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  <w:szCs w:val="18"/>
              </w:rPr>
              <w:t>设备范围</w:t>
            </w:r>
          </w:p>
        </w:tc>
        <w:tc>
          <w:tcPr>
            <w:tcW w:w="2458" w:type="pct"/>
            <w:gridSpan w:val="2"/>
            <w:vAlign w:val="center"/>
          </w:tcPr>
          <w:p w14:paraId="6A7B1E8F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  <w:szCs w:val="18"/>
              </w:rPr>
              <w:t>旧地磅智能化改造、新建地磅智能硬件、道闸、光栅、摄像机、打印、读卡、工作站、大屏。</w:t>
            </w:r>
          </w:p>
        </w:tc>
        <w:tc>
          <w:tcPr>
            <w:tcW w:w="1878" w:type="pct"/>
            <w:vAlign w:val="center"/>
          </w:tcPr>
          <w:p w14:paraId="39F2581B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  <w:szCs w:val="18"/>
              </w:rPr>
              <w:t>秤体、土建、管线、供电、网络链路按采购和施工分工单独确认。</w:t>
            </w:r>
          </w:p>
        </w:tc>
      </w:tr>
      <w:tr w14:paraId="4B4CD465">
        <w:trPr>
          <w:trHeight w:val="0" w:hRule="atLeast"/>
          <w:jc w:val="center"/>
        </w:trPr>
        <w:tc>
          <w:tcPr>
            <w:tcW w:w="662" w:type="pct"/>
            <w:vAlign w:val="center"/>
          </w:tcPr>
          <w:p w14:paraId="307CCBA3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数据范围</w:t>
            </w:r>
          </w:p>
        </w:tc>
        <w:tc>
          <w:tcPr>
            <w:tcW w:w="2458" w:type="pct"/>
            <w:gridSpan w:val="2"/>
            <w:vAlign w:val="center"/>
          </w:tcPr>
          <w:p w14:paraId="4A1EAD7C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订单、计划、预约、资质、安检、称重、门禁、ERP处理、质检、消息、文件和审计日志。</w:t>
            </w:r>
          </w:p>
        </w:tc>
        <w:tc>
          <w:tcPr>
            <w:tcW w:w="1878" w:type="pct"/>
            <w:vAlign w:val="center"/>
          </w:tcPr>
          <w:p w14:paraId="65BA372B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ERP仍为订单、交货单、过账凭证权威来源，物流系统为过程数据主责系统。</w:t>
            </w:r>
          </w:p>
        </w:tc>
      </w:tr>
      <w:tr w14:paraId="26E215A3">
        <w:trPr>
          <w:trHeight w:val="0" w:hRule="atLeast"/>
          <w:jc w:val="center"/>
        </w:trPr>
        <w:tc>
          <w:tcPr>
            <w:tcW w:w="662" w:type="pct"/>
            <w:vAlign w:val="center"/>
          </w:tcPr>
          <w:p w14:paraId="6699CC0C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小程序范围</w:t>
            </w:r>
          </w:p>
        </w:tc>
        <w:tc>
          <w:tcPr>
            <w:tcW w:w="2458" w:type="pct"/>
            <w:gridSpan w:val="2"/>
            <w:vAlign w:val="center"/>
          </w:tcPr>
          <w:p w14:paraId="2B662BD4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账号认证、合法域名、登录绑定、任务首页、预约、叫号、证照上传、消息、单据、隐私合规。</w:t>
            </w:r>
          </w:p>
        </w:tc>
        <w:tc>
          <w:tcPr>
            <w:tcW w:w="1878" w:type="pct"/>
            <w:vAlign w:val="center"/>
          </w:tcPr>
          <w:p w14:paraId="62E9A807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内部高频现场操作优先由手持APP承载，避免小程序承担复杂后台管理。</w:t>
            </w:r>
          </w:p>
        </w:tc>
      </w:tr>
      <w:tr w14:paraId="09D7C3D7">
        <w:trPr>
          <w:trHeight w:val="0" w:hRule="atLeast"/>
          <w:tblHeader/>
          <w:jc w:val="center"/>
        </w:trPr>
        <w:tc>
          <w:tcPr>
            <w:tcW w:w="862" w:type="pct"/>
            <w:gridSpan w:val="2"/>
            <w:shd w:val="clear" w:color="auto" w:fill="F2F4F7"/>
            <w:vAlign w:val="center"/>
          </w:tcPr>
          <w:p w14:paraId="36BA7321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</w:rPr>
              <w:t>范围控制项</w:t>
            </w:r>
          </w:p>
        </w:tc>
        <w:tc>
          <w:tcPr>
            <w:tcW w:w="4137" w:type="pct"/>
            <w:gridSpan w:val="2"/>
            <w:shd w:val="clear" w:color="auto" w:fill="F2F4F7"/>
            <w:vAlign w:val="center"/>
          </w:tcPr>
          <w:p w14:paraId="5B344F29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</w:rPr>
              <w:t>控制要求</w:t>
            </w:r>
          </w:p>
        </w:tc>
      </w:tr>
      <w:tr w14:paraId="154172FA">
        <w:trPr>
          <w:trHeight w:val="0" w:hRule="atLeast"/>
          <w:jc w:val="center"/>
        </w:trPr>
        <w:tc>
          <w:tcPr>
            <w:tcW w:w="862" w:type="pct"/>
            <w:gridSpan w:val="2"/>
            <w:vAlign w:val="center"/>
          </w:tcPr>
          <w:p w14:paraId="15010B2A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范围基线</w:t>
            </w:r>
          </w:p>
        </w:tc>
        <w:tc>
          <w:tcPr>
            <w:tcW w:w="4137" w:type="pct"/>
            <w:gridSpan w:val="2"/>
            <w:vAlign w:val="center"/>
          </w:tcPr>
          <w:p w14:paraId="50330B2F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需求规格说明书V1.2、详细设计V1.2和功能清单共同作为当前项目范围基线。</w:t>
            </w:r>
          </w:p>
        </w:tc>
      </w:tr>
      <w:tr w14:paraId="50BF0A59">
        <w:trPr>
          <w:trHeight w:val="0" w:hRule="atLeast"/>
          <w:jc w:val="center"/>
        </w:trPr>
        <w:tc>
          <w:tcPr>
            <w:tcW w:w="862" w:type="pct"/>
            <w:gridSpan w:val="2"/>
            <w:vAlign w:val="center"/>
          </w:tcPr>
          <w:p w14:paraId="2A164291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新增需求</w:t>
            </w:r>
          </w:p>
        </w:tc>
        <w:tc>
          <w:tcPr>
            <w:tcW w:w="4137" w:type="pct"/>
            <w:gridSpan w:val="2"/>
            <w:vAlign w:val="center"/>
          </w:tcPr>
          <w:p w14:paraId="50454B40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新增业务类型、页面、接口、报表、设备能力或小程序能力必须提交变更单。</w:t>
            </w:r>
          </w:p>
        </w:tc>
      </w:tr>
      <w:tr w14:paraId="1B8B7091">
        <w:trPr>
          <w:trHeight w:val="931" w:hRule="atLeast"/>
          <w:jc w:val="center"/>
        </w:trPr>
        <w:tc>
          <w:tcPr>
            <w:tcW w:w="862" w:type="pct"/>
            <w:gridSpan w:val="2"/>
            <w:vAlign w:val="center"/>
          </w:tcPr>
          <w:p w14:paraId="5A61A91F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功能优先级</w:t>
            </w:r>
          </w:p>
        </w:tc>
        <w:tc>
          <w:tcPr>
            <w:tcW w:w="4137" w:type="pct"/>
            <w:gridSpan w:val="2"/>
            <w:vAlign w:val="center"/>
          </w:tcPr>
          <w:p w14:paraId="5903E3BC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全部功能纳入建设，P0为上线必需能力，P1为管理增强能力；实施批次可分，但取消或延期需审批。</w:t>
            </w:r>
          </w:p>
        </w:tc>
      </w:tr>
      <w:tr w14:paraId="44AC5C4D">
        <w:trPr>
          <w:trHeight w:val="0" w:hRule="atLeast"/>
          <w:jc w:val="center"/>
        </w:trPr>
        <w:tc>
          <w:tcPr>
            <w:tcW w:w="862" w:type="pct"/>
            <w:gridSpan w:val="2"/>
            <w:vAlign w:val="center"/>
          </w:tcPr>
          <w:p w14:paraId="7C6FF10A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验收口径</w:t>
            </w:r>
          </w:p>
        </w:tc>
        <w:tc>
          <w:tcPr>
            <w:tcW w:w="4137" w:type="pct"/>
            <w:gridSpan w:val="2"/>
            <w:vAlign w:val="center"/>
          </w:tcPr>
          <w:p w14:paraId="3B298482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开发完成不代表范围完成，需具备测试、联调、UAT、数据、权限和验收证据。</w:t>
            </w:r>
          </w:p>
        </w:tc>
      </w:tr>
    </w:tbl>
    <w:p w14:paraId="57D06618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2E74B5"/>
        </w:rPr>
        <w:t>4. 组织与治理结构</w:t>
      </w:r>
    </w:p>
    <w:tbl>
      <w:tblPr>
        <w:tblStyle w:val="33"/>
        <w:tblW w:w="4995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243"/>
        <w:gridCol w:w="1512"/>
        <w:gridCol w:w="1276"/>
        <w:gridCol w:w="1516"/>
        <w:gridCol w:w="228"/>
        <w:gridCol w:w="954"/>
        <w:gridCol w:w="2861"/>
      </w:tblGrid>
      <w:tr w14:paraId="786B3034">
        <w:trPr>
          <w:trHeight w:val="0" w:hRule="atLeast"/>
          <w:tblHeader/>
          <w:jc w:val="center"/>
        </w:trPr>
        <w:tc>
          <w:tcPr>
            <w:tcW w:w="648" w:type="pct"/>
            <w:shd w:val="clear" w:color="auto" w:fill="F2F4F7"/>
            <w:vAlign w:val="center"/>
          </w:tcPr>
          <w:p w14:paraId="56613573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</w:rPr>
              <w:t>角色/组织</w:t>
            </w:r>
          </w:p>
        </w:tc>
        <w:tc>
          <w:tcPr>
            <w:tcW w:w="2362" w:type="pct"/>
            <w:gridSpan w:val="4"/>
            <w:shd w:val="clear" w:color="auto" w:fill="F2F4F7"/>
            <w:vAlign w:val="center"/>
          </w:tcPr>
          <w:p w14:paraId="0AA3232E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</w:rPr>
              <w:t>主要职责</w:t>
            </w:r>
          </w:p>
        </w:tc>
        <w:tc>
          <w:tcPr>
            <w:tcW w:w="1988" w:type="pct"/>
            <w:gridSpan w:val="2"/>
            <w:shd w:val="clear" w:color="auto" w:fill="F2F4F7"/>
            <w:vAlign w:val="center"/>
          </w:tcPr>
          <w:p w14:paraId="7AC6C586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</w:rPr>
              <w:t>关键产出</w:t>
            </w:r>
          </w:p>
        </w:tc>
      </w:tr>
      <w:tr w14:paraId="7BE82D33">
        <w:trPr>
          <w:trHeight w:val="0" w:hRule="atLeast"/>
          <w:jc w:val="center"/>
        </w:trPr>
        <w:tc>
          <w:tcPr>
            <w:tcW w:w="648" w:type="pct"/>
            <w:vAlign w:val="center"/>
          </w:tcPr>
          <w:p w14:paraId="5B776E27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项目领导小组</w:t>
            </w:r>
          </w:p>
        </w:tc>
        <w:tc>
          <w:tcPr>
            <w:tcW w:w="2362" w:type="pct"/>
            <w:gridSpan w:val="4"/>
            <w:vAlign w:val="center"/>
          </w:tcPr>
          <w:p w14:paraId="0DC85417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决策项目目标、范围、预算、重大变更、上线窗口和跨部门协调事项。</w:t>
            </w:r>
          </w:p>
        </w:tc>
        <w:tc>
          <w:tcPr>
            <w:tcW w:w="1988" w:type="pct"/>
            <w:gridSpan w:val="2"/>
            <w:vAlign w:val="center"/>
          </w:tcPr>
          <w:p w14:paraId="35F4265E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阶段审批、重大问题决策、上线批准。</w:t>
            </w:r>
          </w:p>
        </w:tc>
      </w:tr>
      <w:tr w14:paraId="67CE6060">
        <w:trPr>
          <w:trHeight w:val="0" w:hRule="atLeast"/>
          <w:jc w:val="center"/>
        </w:trPr>
        <w:tc>
          <w:tcPr>
            <w:tcW w:w="648" w:type="pct"/>
            <w:vAlign w:val="center"/>
          </w:tcPr>
          <w:p w14:paraId="09496451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项目经理</w:t>
            </w:r>
          </w:p>
        </w:tc>
        <w:tc>
          <w:tcPr>
            <w:tcW w:w="2362" w:type="pct"/>
            <w:gridSpan w:val="4"/>
            <w:vAlign w:val="center"/>
          </w:tcPr>
          <w:p w14:paraId="7149415C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统筹计划、进度、风险、沟通、会议、变更、交付物和供应商协同。</w:t>
            </w:r>
          </w:p>
        </w:tc>
        <w:tc>
          <w:tcPr>
            <w:tcW w:w="1988" w:type="pct"/>
            <w:gridSpan w:val="2"/>
            <w:vAlign w:val="center"/>
          </w:tcPr>
          <w:p w14:paraId="157B1240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项目计划、周报、问题风险台账、评审纪要。</w:t>
            </w:r>
          </w:p>
        </w:tc>
      </w:tr>
      <w:tr w14:paraId="4324E0E5">
        <w:trPr>
          <w:trHeight w:val="0" w:hRule="atLeast"/>
          <w:jc w:val="center"/>
        </w:trPr>
        <w:tc>
          <w:tcPr>
            <w:tcW w:w="648" w:type="pct"/>
            <w:vAlign w:val="center"/>
          </w:tcPr>
          <w:p w14:paraId="10C176F9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业务负责人</w:t>
            </w:r>
          </w:p>
        </w:tc>
        <w:tc>
          <w:tcPr>
            <w:tcW w:w="2362" w:type="pct"/>
            <w:gridSpan w:val="4"/>
            <w:vAlign w:val="center"/>
          </w:tcPr>
          <w:p w14:paraId="467044DD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确认业务流程、岗位职责、规则口径、UAT结果和上线业务安排。</w:t>
            </w:r>
          </w:p>
        </w:tc>
        <w:tc>
          <w:tcPr>
            <w:tcW w:w="1988" w:type="pct"/>
            <w:gridSpan w:val="2"/>
            <w:vAlign w:val="center"/>
          </w:tcPr>
          <w:p w14:paraId="25E5CBFF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需求确认、业务规则、UAT签字、培训名单。</w:t>
            </w:r>
          </w:p>
        </w:tc>
      </w:tr>
      <w:tr w14:paraId="75DF81B6">
        <w:trPr>
          <w:trHeight w:val="0" w:hRule="atLeast"/>
          <w:jc w:val="center"/>
        </w:trPr>
        <w:tc>
          <w:tcPr>
            <w:tcW w:w="648" w:type="pct"/>
            <w:vAlign w:val="center"/>
          </w:tcPr>
          <w:p w14:paraId="4C033D7C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信息化负责人</w:t>
            </w:r>
          </w:p>
        </w:tc>
        <w:tc>
          <w:tcPr>
            <w:tcW w:w="2362" w:type="pct"/>
            <w:gridSpan w:val="4"/>
            <w:vAlign w:val="center"/>
          </w:tcPr>
          <w:p w14:paraId="340FDA32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确认技术架构、接口、安全、环境、运维、账号权限和上线技术方案。</w:t>
            </w:r>
          </w:p>
        </w:tc>
        <w:tc>
          <w:tcPr>
            <w:tcW w:w="1988" w:type="pct"/>
            <w:gridSpan w:val="2"/>
            <w:vAlign w:val="center"/>
          </w:tcPr>
          <w:p w14:paraId="19006B9A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技术评审、环境清单、接口联调、运维移交。</w:t>
            </w:r>
          </w:p>
        </w:tc>
      </w:tr>
      <w:tr w14:paraId="0AAF5F18">
        <w:trPr>
          <w:trHeight w:val="0" w:hRule="atLeast"/>
          <w:jc w:val="center"/>
        </w:trPr>
        <w:tc>
          <w:tcPr>
            <w:tcW w:w="648" w:type="pct"/>
            <w:vAlign w:val="center"/>
          </w:tcPr>
          <w:p w14:paraId="12620D6E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接口负责人</w:t>
            </w:r>
          </w:p>
        </w:tc>
        <w:tc>
          <w:tcPr>
            <w:tcW w:w="2362" w:type="pct"/>
            <w:gridSpan w:val="4"/>
            <w:vAlign w:val="center"/>
          </w:tcPr>
          <w:p w14:paraId="2B5F6282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组织ERP、门禁、衡器、LIMS、小程序、消息、统一身份接口联调和对账。</w:t>
            </w:r>
          </w:p>
        </w:tc>
        <w:tc>
          <w:tcPr>
            <w:tcW w:w="1988" w:type="pct"/>
            <w:gridSpan w:val="2"/>
            <w:vAlign w:val="center"/>
          </w:tcPr>
          <w:p w14:paraId="76D91AE8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接口清单、联调报告、报文样例、失败补偿记录。</w:t>
            </w:r>
          </w:p>
        </w:tc>
      </w:tr>
      <w:tr w14:paraId="56D522C1">
        <w:trPr>
          <w:trHeight w:val="0" w:hRule="atLeast"/>
          <w:jc w:val="center"/>
        </w:trPr>
        <w:tc>
          <w:tcPr>
            <w:tcW w:w="648" w:type="pct"/>
            <w:vAlign w:val="center"/>
          </w:tcPr>
          <w:p w14:paraId="67399F84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设备/施工负责人</w:t>
            </w:r>
          </w:p>
        </w:tc>
        <w:tc>
          <w:tcPr>
            <w:tcW w:w="2362" w:type="pct"/>
            <w:gridSpan w:val="4"/>
            <w:vAlign w:val="center"/>
          </w:tcPr>
          <w:p w14:paraId="4F07A3AF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负责设备到货、安装、点检、网络供电条件、现场施工与设备联调。</w:t>
            </w:r>
          </w:p>
        </w:tc>
        <w:tc>
          <w:tcPr>
            <w:tcW w:w="1988" w:type="pct"/>
            <w:gridSpan w:val="2"/>
            <w:vAlign w:val="center"/>
          </w:tcPr>
          <w:p w14:paraId="3F7E6430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设备清单、施工计划、点检记录、联调记录。</w:t>
            </w:r>
          </w:p>
        </w:tc>
      </w:tr>
      <w:tr w14:paraId="7284DB71">
        <w:trPr>
          <w:trHeight w:val="0" w:hRule="atLeast"/>
          <w:jc w:val="center"/>
        </w:trPr>
        <w:tc>
          <w:tcPr>
            <w:tcW w:w="648" w:type="pct"/>
            <w:vAlign w:val="center"/>
          </w:tcPr>
          <w:p w14:paraId="348C6026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测试负责人</w:t>
            </w:r>
          </w:p>
        </w:tc>
        <w:tc>
          <w:tcPr>
            <w:tcW w:w="2362" w:type="pct"/>
            <w:gridSpan w:val="4"/>
            <w:vAlign w:val="center"/>
          </w:tcPr>
          <w:p w14:paraId="7EE94A24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制定测试计划、缺陷管理、回归测试、UAT组织和质量准出建议。</w:t>
            </w:r>
          </w:p>
        </w:tc>
        <w:tc>
          <w:tcPr>
            <w:tcW w:w="1988" w:type="pct"/>
            <w:gridSpan w:val="2"/>
            <w:vAlign w:val="center"/>
          </w:tcPr>
          <w:p w14:paraId="0697DEA4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测试用例、测试报告、缺陷清单、UAT记录。</w:t>
            </w:r>
          </w:p>
        </w:tc>
      </w:tr>
      <w:tr w14:paraId="1629FE76">
        <w:trPr>
          <w:trHeight w:val="0" w:hRule="atLeast"/>
          <w:jc w:val="center"/>
        </w:trPr>
        <w:tc>
          <w:tcPr>
            <w:tcW w:w="648" w:type="pct"/>
            <w:vAlign w:val="center"/>
          </w:tcPr>
          <w:p w14:paraId="2812323E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供应商/开发团队</w:t>
            </w:r>
          </w:p>
        </w:tc>
        <w:tc>
          <w:tcPr>
            <w:tcW w:w="2362" w:type="pct"/>
            <w:gridSpan w:val="4"/>
            <w:vAlign w:val="center"/>
          </w:tcPr>
          <w:p w14:paraId="4A7A06C9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完成软件设计、开发、配置、联调、缺陷修复、部署和文档交付。</w:t>
            </w:r>
          </w:p>
        </w:tc>
        <w:tc>
          <w:tcPr>
            <w:tcW w:w="1988" w:type="pct"/>
            <w:gridSpan w:val="2"/>
            <w:vAlign w:val="center"/>
          </w:tcPr>
          <w:p w14:paraId="7E50ABE8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代码版本、部署包、接口实现、操作手册、运维手册。</w:t>
            </w:r>
          </w:p>
        </w:tc>
      </w:tr>
      <w:tr w14:paraId="522BE96D">
        <w:trPr>
          <w:trHeight w:val="0" w:hRule="atLeast"/>
          <w:tblHeader/>
          <w:jc w:val="center"/>
        </w:trPr>
        <w:tc>
          <w:tcPr>
            <w:tcW w:w="648" w:type="pct"/>
            <w:shd w:val="clear" w:color="auto" w:fill="F2F4F7"/>
            <w:vAlign w:val="center"/>
          </w:tcPr>
          <w:p w14:paraId="71F660A3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</w:rPr>
              <w:t>工作项</w:t>
            </w:r>
          </w:p>
        </w:tc>
        <w:tc>
          <w:tcPr>
            <w:tcW w:w="788" w:type="pct"/>
            <w:shd w:val="clear" w:color="auto" w:fill="F2F4F7"/>
            <w:vAlign w:val="center"/>
          </w:tcPr>
          <w:p w14:paraId="551F1B79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</w:rPr>
              <w:t>业务部门</w:t>
            </w:r>
          </w:p>
        </w:tc>
        <w:tc>
          <w:tcPr>
            <w:tcW w:w="665" w:type="pct"/>
            <w:shd w:val="clear" w:color="auto" w:fill="F2F4F7"/>
            <w:vAlign w:val="center"/>
          </w:tcPr>
          <w:p w14:paraId="011429A5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</w:rPr>
              <w:t>信息化</w:t>
            </w:r>
          </w:p>
        </w:tc>
        <w:tc>
          <w:tcPr>
            <w:tcW w:w="790" w:type="pct"/>
            <w:shd w:val="clear" w:color="auto" w:fill="F2F4F7"/>
            <w:vAlign w:val="center"/>
          </w:tcPr>
          <w:p w14:paraId="794EEBF2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</w:rPr>
              <w:t>实施/开发</w:t>
            </w:r>
          </w:p>
        </w:tc>
        <w:tc>
          <w:tcPr>
            <w:tcW w:w="616" w:type="pct"/>
            <w:gridSpan w:val="2"/>
            <w:shd w:val="clear" w:color="auto" w:fill="F2F4F7"/>
            <w:vAlign w:val="center"/>
          </w:tcPr>
          <w:p w14:paraId="2E242BD2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</w:rPr>
              <w:t>设备/接口供应商</w:t>
            </w:r>
          </w:p>
        </w:tc>
        <w:tc>
          <w:tcPr>
            <w:tcW w:w="1490" w:type="pct"/>
            <w:shd w:val="clear" w:color="auto" w:fill="F2F4F7"/>
            <w:vAlign w:val="center"/>
          </w:tcPr>
          <w:p w14:paraId="61E731EC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</w:rPr>
              <w:t>项目经理</w:t>
            </w:r>
          </w:p>
        </w:tc>
      </w:tr>
      <w:tr w14:paraId="515872C6">
        <w:trPr>
          <w:trHeight w:val="0" w:hRule="atLeast"/>
          <w:jc w:val="center"/>
        </w:trPr>
        <w:tc>
          <w:tcPr>
            <w:tcW w:w="648" w:type="pct"/>
            <w:vAlign w:val="center"/>
          </w:tcPr>
          <w:p w14:paraId="0DD82224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需求基线确认</w:t>
            </w:r>
          </w:p>
        </w:tc>
        <w:tc>
          <w:tcPr>
            <w:tcW w:w="788" w:type="pct"/>
            <w:vAlign w:val="center"/>
          </w:tcPr>
          <w:p w14:paraId="724938B9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A/R</w:t>
            </w:r>
          </w:p>
        </w:tc>
        <w:tc>
          <w:tcPr>
            <w:tcW w:w="665" w:type="pct"/>
            <w:vAlign w:val="center"/>
          </w:tcPr>
          <w:p w14:paraId="55D672A4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C</w:t>
            </w:r>
          </w:p>
        </w:tc>
        <w:tc>
          <w:tcPr>
            <w:tcW w:w="790" w:type="pct"/>
            <w:vAlign w:val="center"/>
          </w:tcPr>
          <w:p w14:paraId="700A0934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C</w:t>
            </w:r>
          </w:p>
        </w:tc>
        <w:tc>
          <w:tcPr>
            <w:tcW w:w="616" w:type="pct"/>
            <w:gridSpan w:val="2"/>
            <w:vAlign w:val="center"/>
          </w:tcPr>
          <w:p w14:paraId="1B1837D4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I</w:t>
            </w:r>
          </w:p>
        </w:tc>
        <w:tc>
          <w:tcPr>
            <w:tcW w:w="1490" w:type="pct"/>
            <w:vAlign w:val="center"/>
          </w:tcPr>
          <w:p w14:paraId="23C26041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R</w:t>
            </w:r>
          </w:p>
        </w:tc>
      </w:tr>
      <w:tr w14:paraId="5D917B51">
        <w:trPr>
          <w:trHeight w:val="0" w:hRule="atLeast"/>
          <w:jc w:val="center"/>
        </w:trPr>
        <w:tc>
          <w:tcPr>
            <w:tcW w:w="648" w:type="pct"/>
            <w:vAlign w:val="center"/>
          </w:tcPr>
          <w:p w14:paraId="48405F88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详细设计评审</w:t>
            </w:r>
          </w:p>
        </w:tc>
        <w:tc>
          <w:tcPr>
            <w:tcW w:w="788" w:type="pct"/>
            <w:vAlign w:val="center"/>
          </w:tcPr>
          <w:p w14:paraId="1230A663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C</w:t>
            </w:r>
          </w:p>
        </w:tc>
        <w:tc>
          <w:tcPr>
            <w:tcW w:w="665" w:type="pct"/>
            <w:vAlign w:val="center"/>
          </w:tcPr>
          <w:p w14:paraId="51B401D9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A/R</w:t>
            </w:r>
          </w:p>
        </w:tc>
        <w:tc>
          <w:tcPr>
            <w:tcW w:w="790" w:type="pct"/>
            <w:vAlign w:val="center"/>
          </w:tcPr>
          <w:p w14:paraId="09E12F42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R</w:t>
            </w:r>
          </w:p>
        </w:tc>
        <w:tc>
          <w:tcPr>
            <w:tcW w:w="616" w:type="pct"/>
            <w:gridSpan w:val="2"/>
            <w:vAlign w:val="center"/>
          </w:tcPr>
          <w:p w14:paraId="4118F4C9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C</w:t>
            </w:r>
          </w:p>
        </w:tc>
        <w:tc>
          <w:tcPr>
            <w:tcW w:w="1490" w:type="pct"/>
            <w:vAlign w:val="center"/>
          </w:tcPr>
          <w:p w14:paraId="1D199D9E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R</w:t>
            </w:r>
          </w:p>
        </w:tc>
      </w:tr>
      <w:tr w14:paraId="6100229E">
        <w:trPr>
          <w:trHeight w:val="0" w:hRule="atLeast"/>
          <w:jc w:val="center"/>
        </w:trPr>
        <w:tc>
          <w:tcPr>
            <w:tcW w:w="648" w:type="pct"/>
            <w:vAlign w:val="center"/>
          </w:tcPr>
          <w:p w14:paraId="119FFDBC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小程序前置准备</w:t>
            </w:r>
          </w:p>
        </w:tc>
        <w:tc>
          <w:tcPr>
            <w:tcW w:w="788" w:type="pct"/>
            <w:vAlign w:val="center"/>
          </w:tcPr>
          <w:p w14:paraId="141B9C7F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C</w:t>
            </w:r>
          </w:p>
        </w:tc>
        <w:tc>
          <w:tcPr>
            <w:tcW w:w="665" w:type="pct"/>
            <w:vAlign w:val="center"/>
          </w:tcPr>
          <w:p w14:paraId="396ADC96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A/R</w:t>
            </w:r>
          </w:p>
        </w:tc>
        <w:tc>
          <w:tcPr>
            <w:tcW w:w="790" w:type="pct"/>
            <w:vAlign w:val="center"/>
          </w:tcPr>
          <w:p w14:paraId="63237077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R</w:t>
            </w:r>
          </w:p>
        </w:tc>
        <w:tc>
          <w:tcPr>
            <w:tcW w:w="616" w:type="pct"/>
            <w:gridSpan w:val="2"/>
            <w:vAlign w:val="center"/>
          </w:tcPr>
          <w:p w14:paraId="09162DC0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I</w:t>
            </w:r>
          </w:p>
        </w:tc>
        <w:tc>
          <w:tcPr>
            <w:tcW w:w="1490" w:type="pct"/>
            <w:vAlign w:val="center"/>
          </w:tcPr>
          <w:p w14:paraId="6AD2E78F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R</w:t>
            </w:r>
          </w:p>
        </w:tc>
      </w:tr>
      <w:tr w14:paraId="079104AF">
        <w:trPr>
          <w:trHeight w:val="0" w:hRule="atLeast"/>
          <w:jc w:val="center"/>
        </w:trPr>
        <w:tc>
          <w:tcPr>
            <w:tcW w:w="648" w:type="pct"/>
            <w:vAlign w:val="center"/>
          </w:tcPr>
          <w:p w14:paraId="67363F12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接口契约冻结</w:t>
            </w:r>
          </w:p>
        </w:tc>
        <w:tc>
          <w:tcPr>
            <w:tcW w:w="788" w:type="pct"/>
            <w:vAlign w:val="center"/>
          </w:tcPr>
          <w:p w14:paraId="74431913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C</w:t>
            </w:r>
          </w:p>
        </w:tc>
        <w:tc>
          <w:tcPr>
            <w:tcW w:w="665" w:type="pct"/>
            <w:vAlign w:val="center"/>
          </w:tcPr>
          <w:p w14:paraId="085D32C6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A/R</w:t>
            </w:r>
          </w:p>
        </w:tc>
        <w:tc>
          <w:tcPr>
            <w:tcW w:w="790" w:type="pct"/>
            <w:vAlign w:val="center"/>
          </w:tcPr>
          <w:p w14:paraId="7BACD2B1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R</w:t>
            </w:r>
          </w:p>
        </w:tc>
        <w:tc>
          <w:tcPr>
            <w:tcW w:w="616" w:type="pct"/>
            <w:gridSpan w:val="2"/>
            <w:vAlign w:val="center"/>
          </w:tcPr>
          <w:p w14:paraId="0B8284FF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R</w:t>
            </w:r>
          </w:p>
        </w:tc>
        <w:tc>
          <w:tcPr>
            <w:tcW w:w="1490" w:type="pct"/>
            <w:vAlign w:val="center"/>
          </w:tcPr>
          <w:p w14:paraId="324F7967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R</w:t>
            </w:r>
          </w:p>
        </w:tc>
      </w:tr>
      <w:tr w14:paraId="0975093C">
        <w:trPr>
          <w:trHeight w:val="0" w:hRule="atLeast"/>
          <w:jc w:val="center"/>
        </w:trPr>
        <w:tc>
          <w:tcPr>
            <w:tcW w:w="648" w:type="pct"/>
            <w:vAlign w:val="center"/>
          </w:tcPr>
          <w:p w14:paraId="707EA326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现场设备安装调试</w:t>
            </w:r>
          </w:p>
        </w:tc>
        <w:tc>
          <w:tcPr>
            <w:tcW w:w="788" w:type="pct"/>
            <w:vAlign w:val="center"/>
          </w:tcPr>
          <w:p w14:paraId="71ADDF62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C</w:t>
            </w:r>
          </w:p>
        </w:tc>
        <w:tc>
          <w:tcPr>
            <w:tcW w:w="665" w:type="pct"/>
            <w:vAlign w:val="center"/>
          </w:tcPr>
          <w:p w14:paraId="34B6E37B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C</w:t>
            </w:r>
          </w:p>
        </w:tc>
        <w:tc>
          <w:tcPr>
            <w:tcW w:w="790" w:type="pct"/>
            <w:vAlign w:val="center"/>
          </w:tcPr>
          <w:p w14:paraId="191546CE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I</w:t>
            </w:r>
          </w:p>
        </w:tc>
        <w:tc>
          <w:tcPr>
            <w:tcW w:w="616" w:type="pct"/>
            <w:gridSpan w:val="2"/>
            <w:vAlign w:val="center"/>
          </w:tcPr>
          <w:p w14:paraId="7B7FC99E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A/R</w:t>
            </w:r>
          </w:p>
        </w:tc>
        <w:tc>
          <w:tcPr>
            <w:tcW w:w="1490" w:type="pct"/>
            <w:vAlign w:val="center"/>
          </w:tcPr>
          <w:p w14:paraId="295049FA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R</w:t>
            </w:r>
          </w:p>
        </w:tc>
      </w:tr>
      <w:tr w14:paraId="662B4A61">
        <w:trPr>
          <w:trHeight w:val="0" w:hRule="atLeast"/>
          <w:jc w:val="center"/>
        </w:trPr>
        <w:tc>
          <w:tcPr>
            <w:tcW w:w="648" w:type="pct"/>
            <w:vAlign w:val="center"/>
          </w:tcPr>
          <w:p w14:paraId="628106B9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系统测试与UAT</w:t>
            </w:r>
          </w:p>
        </w:tc>
        <w:tc>
          <w:tcPr>
            <w:tcW w:w="788" w:type="pct"/>
            <w:vAlign w:val="center"/>
          </w:tcPr>
          <w:p w14:paraId="68EEE954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A/R</w:t>
            </w:r>
          </w:p>
        </w:tc>
        <w:tc>
          <w:tcPr>
            <w:tcW w:w="665" w:type="pct"/>
            <w:vAlign w:val="center"/>
          </w:tcPr>
          <w:p w14:paraId="5EABC093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C</w:t>
            </w:r>
          </w:p>
        </w:tc>
        <w:tc>
          <w:tcPr>
            <w:tcW w:w="790" w:type="pct"/>
            <w:vAlign w:val="center"/>
          </w:tcPr>
          <w:p w14:paraId="72B9983E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R</w:t>
            </w:r>
          </w:p>
        </w:tc>
        <w:tc>
          <w:tcPr>
            <w:tcW w:w="616" w:type="pct"/>
            <w:gridSpan w:val="2"/>
            <w:vAlign w:val="center"/>
          </w:tcPr>
          <w:p w14:paraId="31316E52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C</w:t>
            </w:r>
          </w:p>
        </w:tc>
        <w:tc>
          <w:tcPr>
            <w:tcW w:w="1490" w:type="pct"/>
            <w:vAlign w:val="center"/>
          </w:tcPr>
          <w:p w14:paraId="55303503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R</w:t>
            </w:r>
          </w:p>
        </w:tc>
      </w:tr>
      <w:tr w14:paraId="2593C989">
        <w:trPr>
          <w:trHeight w:val="0" w:hRule="atLeast"/>
          <w:jc w:val="center"/>
        </w:trPr>
        <w:tc>
          <w:tcPr>
            <w:tcW w:w="648" w:type="pct"/>
            <w:vAlign w:val="center"/>
          </w:tcPr>
          <w:p w14:paraId="7F102A5D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上线准出审批</w:t>
            </w:r>
          </w:p>
        </w:tc>
        <w:tc>
          <w:tcPr>
            <w:tcW w:w="788" w:type="pct"/>
            <w:vAlign w:val="center"/>
          </w:tcPr>
          <w:p w14:paraId="6761BD30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A/R</w:t>
            </w:r>
          </w:p>
        </w:tc>
        <w:tc>
          <w:tcPr>
            <w:tcW w:w="665" w:type="pct"/>
            <w:vAlign w:val="center"/>
          </w:tcPr>
          <w:p w14:paraId="425287C3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A/R</w:t>
            </w:r>
          </w:p>
        </w:tc>
        <w:tc>
          <w:tcPr>
            <w:tcW w:w="790" w:type="pct"/>
            <w:vAlign w:val="center"/>
          </w:tcPr>
          <w:p w14:paraId="7DAD17BD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C</w:t>
            </w:r>
          </w:p>
        </w:tc>
        <w:tc>
          <w:tcPr>
            <w:tcW w:w="616" w:type="pct"/>
            <w:gridSpan w:val="2"/>
            <w:vAlign w:val="center"/>
          </w:tcPr>
          <w:p w14:paraId="1C6AFD45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C</w:t>
            </w:r>
          </w:p>
        </w:tc>
        <w:tc>
          <w:tcPr>
            <w:tcW w:w="1490" w:type="pct"/>
            <w:vAlign w:val="center"/>
          </w:tcPr>
          <w:p w14:paraId="61C1D16B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R</w:t>
            </w:r>
          </w:p>
        </w:tc>
      </w:tr>
      <w:tr w14:paraId="130F90DD">
        <w:trPr>
          <w:trHeight w:val="0" w:hRule="atLeast"/>
          <w:jc w:val="center"/>
        </w:trPr>
        <w:tc>
          <w:tcPr>
            <w:tcW w:w="648" w:type="pct"/>
            <w:vAlign w:val="center"/>
          </w:tcPr>
          <w:p w14:paraId="6FC1ECEC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最终验收与移交</w:t>
            </w:r>
          </w:p>
        </w:tc>
        <w:tc>
          <w:tcPr>
            <w:tcW w:w="788" w:type="pct"/>
            <w:vAlign w:val="center"/>
          </w:tcPr>
          <w:p w14:paraId="06E17ED2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A/R</w:t>
            </w:r>
          </w:p>
        </w:tc>
        <w:tc>
          <w:tcPr>
            <w:tcW w:w="665" w:type="pct"/>
            <w:vAlign w:val="center"/>
          </w:tcPr>
          <w:p w14:paraId="7CAF4047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A/R</w:t>
            </w:r>
          </w:p>
        </w:tc>
        <w:tc>
          <w:tcPr>
            <w:tcW w:w="790" w:type="pct"/>
            <w:vAlign w:val="center"/>
          </w:tcPr>
          <w:p w14:paraId="747C5F5B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R</w:t>
            </w:r>
          </w:p>
        </w:tc>
        <w:tc>
          <w:tcPr>
            <w:tcW w:w="616" w:type="pct"/>
            <w:gridSpan w:val="2"/>
            <w:vAlign w:val="center"/>
          </w:tcPr>
          <w:p w14:paraId="015FE13D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R</w:t>
            </w:r>
          </w:p>
        </w:tc>
        <w:tc>
          <w:tcPr>
            <w:tcW w:w="1490" w:type="pct"/>
            <w:vAlign w:val="center"/>
          </w:tcPr>
          <w:p w14:paraId="09082664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R</w:t>
            </w:r>
          </w:p>
        </w:tc>
      </w:tr>
    </w:tbl>
    <w:p w14:paraId="5B5B7798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2E74B5"/>
        </w:rPr>
        <w:t>5. 里程碑与阶段门计划</w:t>
      </w:r>
    </w:p>
    <w:p w14:paraId="4CA551E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firstLine="560" w:firstLineChars="200"/>
        <w:textAlignment w:val="auto"/>
        <w:rPr>
          <w:rFonts w:hint="eastAsia" w:ascii="宋体" w:hAnsi="宋体" w:eastAsia="宋体" w:cs="宋体"/>
          <w:b w:val="0"/>
          <w:sz w:val="28"/>
          <w:szCs w:val="28"/>
        </w:rPr>
      </w:pPr>
      <w:r>
        <w:rPr>
          <w:rFonts w:hint="eastAsia" w:ascii="宋体" w:hAnsi="宋体" w:eastAsia="宋体" w:cs="宋体"/>
          <w:b w:val="0"/>
          <w:sz w:val="28"/>
          <w:szCs w:val="28"/>
        </w:rPr>
        <w:t>本计划中，T表示项目启动/需求基线确认日，R表示现场安装调试完成且具备系统联调条件的基准日。为便于评审，正式排期时建议将T和R替换为具体日期。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328"/>
        <w:gridCol w:w="1401"/>
        <w:gridCol w:w="3312"/>
        <w:gridCol w:w="1008"/>
        <w:gridCol w:w="2311"/>
      </w:tblGrid>
      <w:tr w14:paraId="30C7C6E5">
        <w:trPr>
          <w:trHeight w:val="0" w:hRule="atLeast"/>
          <w:tblHeader/>
        </w:trPr>
        <w:tc>
          <w:tcPr>
            <w:tcW w:w="0" w:type="auto"/>
            <w:shd w:val="clear" w:color="auto" w:fill="F2F4F7"/>
            <w:vAlign w:val="center"/>
          </w:tcPr>
          <w:p w14:paraId="00E235C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里程碑</w:t>
            </w:r>
          </w:p>
        </w:tc>
        <w:tc>
          <w:tcPr>
            <w:tcW w:w="1401" w:type="dxa"/>
            <w:shd w:val="clear" w:color="auto" w:fill="F2F4F7"/>
            <w:vAlign w:val="center"/>
          </w:tcPr>
          <w:p w14:paraId="631A6EA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目标时间</w:t>
            </w:r>
          </w:p>
        </w:tc>
        <w:tc>
          <w:tcPr>
            <w:tcW w:w="3312" w:type="dxa"/>
            <w:shd w:val="clear" w:color="auto" w:fill="F2F4F7"/>
            <w:vAlign w:val="center"/>
          </w:tcPr>
          <w:p w14:paraId="1813820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主要内容</w:t>
            </w:r>
          </w:p>
        </w:tc>
        <w:tc>
          <w:tcPr>
            <w:tcW w:w="0" w:type="auto"/>
            <w:shd w:val="clear" w:color="auto" w:fill="F2F4F7"/>
            <w:vAlign w:val="center"/>
          </w:tcPr>
          <w:p w14:paraId="45BAD9D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责任方</w:t>
            </w:r>
          </w:p>
        </w:tc>
        <w:tc>
          <w:tcPr>
            <w:tcW w:w="2311" w:type="dxa"/>
            <w:shd w:val="clear" w:color="auto" w:fill="F2F4F7"/>
            <w:vAlign w:val="center"/>
          </w:tcPr>
          <w:p w14:paraId="3980C2F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出口标准</w:t>
            </w:r>
          </w:p>
        </w:tc>
      </w:tr>
      <w:tr w14:paraId="4F155446">
        <w:trPr>
          <w:trHeight w:val="0" w:hRule="atLeast"/>
        </w:trPr>
        <w:tc>
          <w:tcPr>
            <w:tcW w:w="0" w:type="auto"/>
            <w:vAlign w:val="center"/>
          </w:tcPr>
          <w:p w14:paraId="5C65E80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M0 评审通过与需求基线冻结</w:t>
            </w:r>
          </w:p>
        </w:tc>
        <w:tc>
          <w:tcPr>
            <w:tcW w:w="1401" w:type="dxa"/>
            <w:vAlign w:val="center"/>
          </w:tcPr>
          <w:p w14:paraId="7981685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T+0</w:t>
            </w:r>
          </w:p>
        </w:tc>
        <w:tc>
          <w:tcPr>
            <w:tcW w:w="3312" w:type="dxa"/>
            <w:vAlign w:val="center"/>
          </w:tcPr>
          <w:p w14:paraId="4CCAA1E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需求规格说明书V1.2、详细设计V1.2和评审结论确认。</w:t>
            </w:r>
          </w:p>
        </w:tc>
        <w:tc>
          <w:tcPr>
            <w:tcW w:w="0" w:type="auto"/>
            <w:vAlign w:val="center"/>
          </w:tcPr>
          <w:p w14:paraId="5136C2A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项目经理/业务负责人</w:t>
            </w:r>
          </w:p>
        </w:tc>
        <w:tc>
          <w:tcPr>
            <w:tcW w:w="2311" w:type="dxa"/>
            <w:vAlign w:val="center"/>
          </w:tcPr>
          <w:p w14:paraId="3728FB4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需求变更台账建立，后续变更受控。</w:t>
            </w:r>
          </w:p>
        </w:tc>
      </w:tr>
      <w:tr w14:paraId="44C3EFCF">
        <w:trPr>
          <w:trHeight w:val="0" w:hRule="atLeast"/>
        </w:trPr>
        <w:tc>
          <w:tcPr>
            <w:tcW w:w="0" w:type="auto"/>
            <w:vAlign w:val="center"/>
          </w:tcPr>
          <w:p w14:paraId="7C01ED0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M1 需求与原型冻结</w:t>
            </w:r>
          </w:p>
        </w:tc>
        <w:tc>
          <w:tcPr>
            <w:tcW w:w="1401" w:type="dxa"/>
            <w:vAlign w:val="center"/>
          </w:tcPr>
          <w:p w14:paraId="4AF2711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T+20</w:t>
            </w:r>
          </w:p>
        </w:tc>
        <w:tc>
          <w:tcPr>
            <w:tcW w:w="3312" w:type="dxa"/>
            <w:vAlign w:val="center"/>
          </w:tcPr>
          <w:p w14:paraId="3077DC4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业务流程、页面原型、小程序功能边界、接口清单、数据责任和待决策事项确认。</w:t>
            </w:r>
          </w:p>
        </w:tc>
        <w:tc>
          <w:tcPr>
            <w:tcW w:w="0" w:type="auto"/>
            <w:vAlign w:val="center"/>
          </w:tcPr>
          <w:p w14:paraId="55366A3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业务负责人/产品经理</w:t>
            </w:r>
          </w:p>
        </w:tc>
        <w:tc>
          <w:tcPr>
            <w:tcW w:w="2311" w:type="dxa"/>
            <w:vAlign w:val="center"/>
          </w:tcPr>
          <w:p w14:paraId="2378A14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P0范围无重大争议，小程序账号/域名/消息模板有责任人。</w:t>
            </w:r>
          </w:p>
        </w:tc>
      </w:tr>
      <w:tr w14:paraId="32809436">
        <w:trPr>
          <w:trHeight w:val="0" w:hRule="atLeast"/>
        </w:trPr>
        <w:tc>
          <w:tcPr>
            <w:tcW w:w="0" w:type="auto"/>
            <w:vAlign w:val="center"/>
          </w:tcPr>
          <w:p w14:paraId="56888E3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M2 详细设计冻结</w:t>
            </w:r>
          </w:p>
        </w:tc>
        <w:tc>
          <w:tcPr>
            <w:tcW w:w="1401" w:type="dxa"/>
            <w:vAlign w:val="center"/>
          </w:tcPr>
          <w:p w14:paraId="5655852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T+40</w:t>
            </w:r>
          </w:p>
        </w:tc>
        <w:tc>
          <w:tcPr>
            <w:tcW w:w="3312" w:type="dxa"/>
            <w:vAlign w:val="center"/>
          </w:tcPr>
          <w:p w14:paraId="2BE4598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状态机、接口契约、字段字典、权限矩阵、小程序登录/文件/消息/弱网设计、UAT脚本确认。</w:t>
            </w:r>
          </w:p>
        </w:tc>
        <w:tc>
          <w:tcPr>
            <w:tcW w:w="0" w:type="auto"/>
            <w:vAlign w:val="center"/>
          </w:tcPr>
          <w:p w14:paraId="51D34E6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技术负责人/架构师</w:t>
            </w:r>
          </w:p>
        </w:tc>
        <w:tc>
          <w:tcPr>
            <w:tcW w:w="2311" w:type="dxa"/>
            <w:vAlign w:val="center"/>
          </w:tcPr>
          <w:p w14:paraId="40F536C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开发可拆任务，小程序接口可联调，测试可编写脚本。</w:t>
            </w:r>
          </w:p>
        </w:tc>
      </w:tr>
      <w:tr w14:paraId="208B3448">
        <w:trPr>
          <w:trHeight w:val="0" w:hRule="atLeast"/>
        </w:trPr>
        <w:tc>
          <w:tcPr>
            <w:tcW w:w="0" w:type="auto"/>
            <w:vAlign w:val="center"/>
          </w:tcPr>
          <w:p w14:paraId="4FA6816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M3 主链路开发完成</w:t>
            </w:r>
          </w:p>
        </w:tc>
        <w:tc>
          <w:tcPr>
            <w:tcW w:w="1401" w:type="dxa"/>
            <w:vAlign w:val="center"/>
          </w:tcPr>
          <w:p w14:paraId="73EA684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T+60/T+80</w:t>
            </w:r>
          </w:p>
        </w:tc>
        <w:tc>
          <w:tcPr>
            <w:tcW w:w="3312" w:type="dxa"/>
            <w:vAlign w:val="center"/>
          </w:tcPr>
          <w:p w14:paraId="0F00AC9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销售出厂主流程、门禁、称重、ERP处理、异常补偿开发完成。</w:t>
            </w:r>
          </w:p>
        </w:tc>
        <w:tc>
          <w:tcPr>
            <w:tcW w:w="0" w:type="auto"/>
            <w:vAlign w:val="center"/>
          </w:tcPr>
          <w:p w14:paraId="426F8FA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开发负责人</w:t>
            </w:r>
          </w:p>
        </w:tc>
        <w:tc>
          <w:tcPr>
            <w:tcW w:w="2311" w:type="dxa"/>
            <w:vAlign w:val="center"/>
          </w:tcPr>
          <w:p w14:paraId="447DEF4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主流程在联调环境可跑通。</w:t>
            </w:r>
          </w:p>
        </w:tc>
      </w:tr>
      <w:tr w14:paraId="0EA06D08">
        <w:trPr>
          <w:trHeight w:val="0" w:hRule="atLeast"/>
        </w:trPr>
        <w:tc>
          <w:tcPr>
            <w:tcW w:w="0" w:type="auto"/>
            <w:vAlign w:val="center"/>
          </w:tcPr>
          <w:p w14:paraId="2A3F3C4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M4 设备确认</w:t>
            </w:r>
          </w:p>
        </w:tc>
        <w:tc>
          <w:tcPr>
            <w:tcW w:w="1401" w:type="dxa"/>
            <w:vAlign w:val="center"/>
          </w:tcPr>
          <w:p w14:paraId="193A7DF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T+95</w:t>
            </w:r>
          </w:p>
        </w:tc>
        <w:tc>
          <w:tcPr>
            <w:tcW w:w="3312" w:type="dxa"/>
            <w:vAlign w:val="center"/>
          </w:tcPr>
          <w:p w14:paraId="7E579BE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现场设备到货、安装条件、接口条件和点检清单确认。</w:t>
            </w:r>
          </w:p>
        </w:tc>
        <w:tc>
          <w:tcPr>
            <w:tcW w:w="0" w:type="auto"/>
            <w:vAlign w:val="center"/>
          </w:tcPr>
          <w:p w14:paraId="156165F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设备负责人/现场运维</w:t>
            </w:r>
          </w:p>
        </w:tc>
        <w:tc>
          <w:tcPr>
            <w:tcW w:w="2311" w:type="dxa"/>
            <w:vAlign w:val="center"/>
          </w:tcPr>
          <w:p w14:paraId="2B56894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设备到货和接入条件满足联调。</w:t>
            </w:r>
          </w:p>
        </w:tc>
      </w:tr>
      <w:tr w14:paraId="682528DF">
        <w:trPr>
          <w:trHeight w:val="0" w:hRule="atLeast"/>
        </w:trPr>
        <w:tc>
          <w:tcPr>
            <w:tcW w:w="0" w:type="auto"/>
            <w:vAlign w:val="center"/>
          </w:tcPr>
          <w:p w14:paraId="0CCD985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M5 现场施工及设备安装调试</w:t>
            </w:r>
          </w:p>
        </w:tc>
        <w:tc>
          <w:tcPr>
            <w:tcW w:w="1401" w:type="dxa"/>
            <w:vAlign w:val="center"/>
          </w:tcPr>
          <w:p w14:paraId="2DD8B72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T+180</w:t>
            </w:r>
          </w:p>
        </w:tc>
        <w:tc>
          <w:tcPr>
            <w:tcW w:w="3312" w:type="dxa"/>
            <w:vAlign w:val="center"/>
          </w:tcPr>
          <w:p w14:paraId="346811A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旧地磅改造、新地磅智能硬件、门禁、光栅、摄像机、打印等安装调试。</w:t>
            </w:r>
          </w:p>
        </w:tc>
        <w:tc>
          <w:tcPr>
            <w:tcW w:w="0" w:type="auto"/>
            <w:vAlign w:val="center"/>
          </w:tcPr>
          <w:p w14:paraId="2A2CA99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设备/施工单位</w:t>
            </w:r>
          </w:p>
        </w:tc>
        <w:tc>
          <w:tcPr>
            <w:tcW w:w="2311" w:type="dxa"/>
            <w:vAlign w:val="center"/>
          </w:tcPr>
          <w:p w14:paraId="6193DDC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现场设备可接入系统并通过基本联调。</w:t>
            </w:r>
          </w:p>
        </w:tc>
      </w:tr>
      <w:tr w14:paraId="7D833509">
        <w:trPr>
          <w:trHeight w:val="0" w:hRule="atLeast"/>
        </w:trPr>
        <w:tc>
          <w:tcPr>
            <w:tcW w:w="0" w:type="auto"/>
            <w:vAlign w:val="center"/>
          </w:tcPr>
          <w:p w14:paraId="4198136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M6 接口与设备联调完成</w:t>
            </w:r>
          </w:p>
        </w:tc>
        <w:tc>
          <w:tcPr>
            <w:tcW w:w="1401" w:type="dxa"/>
            <w:vAlign w:val="center"/>
          </w:tcPr>
          <w:p w14:paraId="651DE42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R+10</w:t>
            </w:r>
          </w:p>
        </w:tc>
        <w:tc>
          <w:tcPr>
            <w:tcW w:w="3312" w:type="dxa"/>
            <w:vAlign w:val="center"/>
          </w:tcPr>
          <w:p w14:paraId="1935DCF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ERP、门禁、衡器、LIMS、统一身份、小程序、消息接口主流程和失败场景联调。</w:t>
            </w:r>
          </w:p>
        </w:tc>
        <w:tc>
          <w:tcPr>
            <w:tcW w:w="0" w:type="auto"/>
            <w:vAlign w:val="center"/>
          </w:tcPr>
          <w:p w14:paraId="7987416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接口负责人/供应商</w:t>
            </w:r>
          </w:p>
        </w:tc>
        <w:tc>
          <w:tcPr>
            <w:tcW w:w="2311" w:type="dxa"/>
            <w:vAlign w:val="center"/>
          </w:tcPr>
          <w:p w14:paraId="5224B3E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主流程和失败补偿场景通过。</w:t>
            </w:r>
          </w:p>
        </w:tc>
      </w:tr>
      <w:tr w14:paraId="665CA94D">
        <w:trPr>
          <w:trHeight w:val="0" w:hRule="atLeast"/>
        </w:trPr>
        <w:tc>
          <w:tcPr>
            <w:tcW w:w="0" w:type="auto"/>
            <w:vAlign w:val="center"/>
          </w:tcPr>
          <w:p w14:paraId="63F84B9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M7 系统测试与用户培训</w:t>
            </w:r>
          </w:p>
        </w:tc>
        <w:tc>
          <w:tcPr>
            <w:tcW w:w="1401" w:type="dxa"/>
            <w:vAlign w:val="center"/>
          </w:tcPr>
          <w:p w14:paraId="54ED35A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R+20</w:t>
            </w:r>
          </w:p>
        </w:tc>
        <w:tc>
          <w:tcPr>
            <w:tcW w:w="3312" w:type="dxa"/>
            <w:vAlign w:val="center"/>
          </w:tcPr>
          <w:p w14:paraId="1FB3639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系统测试、集成测试、非功能测试、最终用户培训。</w:t>
            </w:r>
          </w:p>
        </w:tc>
        <w:tc>
          <w:tcPr>
            <w:tcW w:w="0" w:type="auto"/>
            <w:vAlign w:val="center"/>
          </w:tcPr>
          <w:p w14:paraId="38DE89C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测试负责人/实施顾问</w:t>
            </w:r>
          </w:p>
        </w:tc>
        <w:tc>
          <w:tcPr>
            <w:tcW w:w="2311" w:type="dxa"/>
            <w:vAlign w:val="center"/>
          </w:tcPr>
          <w:p w14:paraId="1A4F36D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阻断/严重缺陷关闭，关键用户可独立操作。</w:t>
            </w:r>
          </w:p>
        </w:tc>
      </w:tr>
      <w:tr w14:paraId="6B64CB65">
        <w:trPr>
          <w:trHeight w:val="0" w:hRule="atLeast"/>
        </w:trPr>
        <w:tc>
          <w:tcPr>
            <w:tcW w:w="0" w:type="auto"/>
            <w:vAlign w:val="center"/>
          </w:tcPr>
          <w:p w14:paraId="6395605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M8 实施上线阶段</w:t>
            </w:r>
          </w:p>
        </w:tc>
        <w:tc>
          <w:tcPr>
            <w:tcW w:w="1401" w:type="dxa"/>
            <w:vAlign w:val="center"/>
          </w:tcPr>
          <w:p w14:paraId="3E95443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R+35</w:t>
            </w:r>
          </w:p>
        </w:tc>
        <w:tc>
          <w:tcPr>
            <w:tcW w:w="3312" w:type="dxa"/>
            <w:vAlign w:val="center"/>
          </w:tcPr>
          <w:p w14:paraId="26199A4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系统部署、配置、数据初始化、UAT、小程序提审/发布、上线方案落实。</w:t>
            </w:r>
          </w:p>
        </w:tc>
        <w:tc>
          <w:tcPr>
            <w:tcW w:w="0" w:type="auto"/>
            <w:vAlign w:val="center"/>
          </w:tcPr>
          <w:p w14:paraId="2C9F9AA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项目经理/运维/业务</w:t>
            </w:r>
          </w:p>
        </w:tc>
        <w:tc>
          <w:tcPr>
            <w:tcW w:w="2311" w:type="dxa"/>
            <w:vAlign w:val="center"/>
          </w:tcPr>
          <w:p w14:paraId="17B8268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UAT通过，小程序审核通过，上线准出清单满足。</w:t>
            </w:r>
          </w:p>
        </w:tc>
      </w:tr>
      <w:tr w14:paraId="74FA55C2">
        <w:trPr>
          <w:trHeight w:val="0" w:hRule="atLeast"/>
        </w:trPr>
        <w:tc>
          <w:tcPr>
            <w:tcW w:w="0" w:type="auto"/>
            <w:vAlign w:val="center"/>
          </w:tcPr>
          <w:p w14:paraId="49E0256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M9 运行支持阶段</w:t>
            </w:r>
          </w:p>
        </w:tc>
        <w:tc>
          <w:tcPr>
            <w:tcW w:w="1401" w:type="dxa"/>
            <w:vAlign w:val="center"/>
          </w:tcPr>
          <w:p w14:paraId="3B3A468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R+125</w:t>
            </w:r>
          </w:p>
        </w:tc>
        <w:tc>
          <w:tcPr>
            <w:tcW w:w="3312" w:type="dxa"/>
            <w:vAlign w:val="center"/>
          </w:tcPr>
          <w:p w14:paraId="067DC17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上线后项目组进行运行维护支持，跟踪接口、设备、用户反馈和缺陷。</w:t>
            </w:r>
          </w:p>
        </w:tc>
        <w:tc>
          <w:tcPr>
            <w:tcW w:w="0" w:type="auto"/>
            <w:vAlign w:val="center"/>
          </w:tcPr>
          <w:p w14:paraId="5D44990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项目组/运维</w:t>
            </w:r>
          </w:p>
        </w:tc>
        <w:tc>
          <w:tcPr>
            <w:tcW w:w="2311" w:type="dxa"/>
            <w:vAlign w:val="center"/>
          </w:tcPr>
          <w:p w14:paraId="50CFFD7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稳定期无阻断性故障，遗留问题可控。</w:t>
            </w:r>
          </w:p>
        </w:tc>
      </w:tr>
      <w:tr w14:paraId="5B334B08">
        <w:trPr>
          <w:trHeight w:val="0" w:hRule="atLeast"/>
        </w:trPr>
        <w:tc>
          <w:tcPr>
            <w:tcW w:w="1328" w:type="dxa"/>
            <w:vAlign w:val="center"/>
          </w:tcPr>
          <w:p w14:paraId="45628A1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M10 最终项目验收</w:t>
            </w:r>
          </w:p>
        </w:tc>
        <w:tc>
          <w:tcPr>
            <w:tcW w:w="1401" w:type="dxa"/>
            <w:vAlign w:val="center"/>
          </w:tcPr>
          <w:p w14:paraId="7B0239A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全面上线后1个月内</w:t>
            </w:r>
          </w:p>
        </w:tc>
        <w:tc>
          <w:tcPr>
            <w:tcW w:w="3312" w:type="dxa"/>
            <w:vAlign w:val="center"/>
          </w:tcPr>
          <w:p w14:paraId="17074DA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稳定运行后组织最终项目验收和资料移交。</w:t>
            </w:r>
          </w:p>
        </w:tc>
        <w:tc>
          <w:tcPr>
            <w:tcW w:w="1008" w:type="dxa"/>
            <w:vAlign w:val="center"/>
          </w:tcPr>
          <w:p w14:paraId="3B0D755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项目经理/验收组</w:t>
            </w:r>
          </w:p>
        </w:tc>
        <w:tc>
          <w:tcPr>
            <w:tcW w:w="2311" w:type="dxa"/>
            <w:vAlign w:val="center"/>
          </w:tcPr>
          <w:p w14:paraId="253436F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P0/P1范围、接口、设备、权限、应急和文档移交通过。</w:t>
            </w:r>
          </w:p>
        </w:tc>
      </w:tr>
    </w:tbl>
    <w:p w14:paraId="5BEA5C0B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2E74B5"/>
        </w:rPr>
        <w:t>6. WBS与交付物管理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017"/>
        <w:gridCol w:w="1116"/>
        <w:gridCol w:w="2955"/>
        <w:gridCol w:w="1981"/>
        <w:gridCol w:w="2291"/>
      </w:tblGrid>
      <w:tr w14:paraId="23C83998">
        <w:trPr>
          <w:trHeight w:val="0" w:hRule="atLeast"/>
          <w:tblHeader/>
        </w:trPr>
        <w:tc>
          <w:tcPr>
            <w:tcW w:w="1017" w:type="dxa"/>
            <w:shd w:val="clear" w:color="auto" w:fill="F2F4F7"/>
            <w:vAlign w:val="center"/>
          </w:tcPr>
          <w:p w14:paraId="37001B8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WBS</w:t>
            </w:r>
          </w:p>
        </w:tc>
        <w:tc>
          <w:tcPr>
            <w:tcW w:w="0" w:type="auto"/>
            <w:shd w:val="clear" w:color="auto" w:fill="F2F4F7"/>
            <w:vAlign w:val="center"/>
          </w:tcPr>
          <w:p w14:paraId="5380C4A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任务包</w:t>
            </w:r>
          </w:p>
        </w:tc>
        <w:tc>
          <w:tcPr>
            <w:tcW w:w="2955" w:type="dxa"/>
            <w:shd w:val="clear" w:color="auto" w:fill="F2F4F7"/>
            <w:vAlign w:val="center"/>
          </w:tcPr>
          <w:p w14:paraId="1AF9564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范围</w:t>
            </w:r>
          </w:p>
        </w:tc>
        <w:tc>
          <w:tcPr>
            <w:tcW w:w="0" w:type="auto"/>
            <w:shd w:val="clear" w:color="auto" w:fill="F2F4F7"/>
            <w:vAlign w:val="center"/>
          </w:tcPr>
          <w:p w14:paraId="07F873D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主要交付物</w:t>
            </w:r>
          </w:p>
        </w:tc>
        <w:tc>
          <w:tcPr>
            <w:tcW w:w="2291" w:type="dxa"/>
            <w:shd w:val="clear" w:color="auto" w:fill="F2F4F7"/>
            <w:vAlign w:val="center"/>
          </w:tcPr>
          <w:p w14:paraId="5A6588F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验收口径</w:t>
            </w:r>
          </w:p>
        </w:tc>
      </w:tr>
      <w:tr w14:paraId="77E9F526">
        <w:trPr>
          <w:trHeight w:val="0" w:hRule="atLeast"/>
        </w:trPr>
        <w:tc>
          <w:tcPr>
            <w:tcW w:w="1017" w:type="dxa"/>
            <w:vAlign w:val="center"/>
          </w:tcPr>
          <w:p w14:paraId="6E2390C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WP-01</w:t>
            </w:r>
          </w:p>
        </w:tc>
        <w:tc>
          <w:tcPr>
            <w:tcW w:w="0" w:type="auto"/>
            <w:vAlign w:val="center"/>
          </w:tcPr>
          <w:p w14:paraId="5921904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基础平台与权限</w:t>
            </w:r>
          </w:p>
        </w:tc>
        <w:tc>
          <w:tcPr>
            <w:tcW w:w="2955" w:type="dxa"/>
            <w:vAlign w:val="center"/>
          </w:tcPr>
          <w:p w14:paraId="794A13E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组织、用户、角色、菜单、按钮、数据权限、审计框架。</w:t>
            </w:r>
          </w:p>
        </w:tc>
        <w:tc>
          <w:tcPr>
            <w:tcW w:w="0" w:type="auto"/>
            <w:vAlign w:val="center"/>
          </w:tcPr>
          <w:p w14:paraId="324051D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权限矩阵、账号清单、审计规则。</w:t>
            </w:r>
          </w:p>
        </w:tc>
        <w:tc>
          <w:tcPr>
            <w:tcW w:w="2291" w:type="dxa"/>
            <w:vAlign w:val="center"/>
          </w:tcPr>
          <w:p w14:paraId="0E21187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允许项可操作，禁止项被拦截，关键操作可审计。</w:t>
            </w:r>
          </w:p>
        </w:tc>
      </w:tr>
      <w:tr w14:paraId="7855462D">
        <w:trPr>
          <w:trHeight w:val="0" w:hRule="atLeast"/>
        </w:trPr>
        <w:tc>
          <w:tcPr>
            <w:tcW w:w="1017" w:type="dxa"/>
            <w:vAlign w:val="center"/>
          </w:tcPr>
          <w:p w14:paraId="37900AC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WP-02</w:t>
            </w:r>
          </w:p>
        </w:tc>
        <w:tc>
          <w:tcPr>
            <w:tcW w:w="0" w:type="auto"/>
            <w:vAlign w:val="center"/>
          </w:tcPr>
          <w:p w14:paraId="2D36BA3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主数据与资质</w:t>
            </w:r>
          </w:p>
        </w:tc>
        <w:tc>
          <w:tcPr>
            <w:tcW w:w="2955" w:type="dxa"/>
            <w:vAlign w:val="center"/>
          </w:tcPr>
          <w:p w14:paraId="653808D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客户、承运商、车辆、司押、证照、培训、黑白名单。</w:t>
            </w:r>
          </w:p>
        </w:tc>
        <w:tc>
          <w:tcPr>
            <w:tcW w:w="0" w:type="auto"/>
            <w:vAlign w:val="center"/>
          </w:tcPr>
          <w:p w14:paraId="7417C83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导入模板、资质审核记录、黑名单规则。</w:t>
            </w:r>
          </w:p>
        </w:tc>
        <w:tc>
          <w:tcPr>
            <w:tcW w:w="2291" w:type="dxa"/>
            <w:vAlign w:val="center"/>
          </w:tcPr>
          <w:p w14:paraId="048732A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资质准入规则可阻断预约和入厂。</w:t>
            </w:r>
          </w:p>
        </w:tc>
      </w:tr>
      <w:tr w14:paraId="3E6E5109">
        <w:trPr>
          <w:trHeight w:val="0" w:hRule="atLeast"/>
        </w:trPr>
        <w:tc>
          <w:tcPr>
            <w:tcW w:w="1017" w:type="dxa"/>
            <w:vAlign w:val="center"/>
          </w:tcPr>
          <w:p w14:paraId="0ACC484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WP-03</w:t>
            </w:r>
          </w:p>
        </w:tc>
        <w:tc>
          <w:tcPr>
            <w:tcW w:w="0" w:type="auto"/>
            <w:vAlign w:val="center"/>
          </w:tcPr>
          <w:p w14:paraId="18F5AD1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订单与预约</w:t>
            </w:r>
          </w:p>
        </w:tc>
        <w:tc>
          <w:tcPr>
            <w:tcW w:w="2955" w:type="dxa"/>
            <w:vAlign w:val="center"/>
          </w:tcPr>
          <w:p w14:paraId="26D370B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ERP订单同步、订单池、预约资源、预约申请、排队。</w:t>
            </w:r>
          </w:p>
        </w:tc>
        <w:tc>
          <w:tcPr>
            <w:tcW w:w="0" w:type="auto"/>
            <w:vAlign w:val="center"/>
          </w:tcPr>
          <w:p w14:paraId="52EB5B8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订单池、预约台账、排队叫号记录。</w:t>
            </w:r>
          </w:p>
        </w:tc>
        <w:tc>
          <w:tcPr>
            <w:tcW w:w="2291" w:type="dxa"/>
            <w:vAlign w:val="center"/>
          </w:tcPr>
          <w:p w14:paraId="1229074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预约提交、审核、取消、到厂排队闭环。</w:t>
            </w:r>
          </w:p>
        </w:tc>
      </w:tr>
      <w:tr w14:paraId="3BFD1FA6">
        <w:trPr>
          <w:trHeight w:val="0" w:hRule="atLeast"/>
        </w:trPr>
        <w:tc>
          <w:tcPr>
            <w:tcW w:w="1017" w:type="dxa"/>
            <w:vAlign w:val="center"/>
          </w:tcPr>
          <w:p w14:paraId="20DB622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WP-04</w:t>
            </w:r>
          </w:p>
        </w:tc>
        <w:tc>
          <w:tcPr>
            <w:tcW w:w="0" w:type="auto"/>
            <w:vAlign w:val="center"/>
          </w:tcPr>
          <w:p w14:paraId="2100211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门禁与安检</w:t>
            </w:r>
          </w:p>
        </w:tc>
        <w:tc>
          <w:tcPr>
            <w:tcW w:w="2955" w:type="dxa"/>
            <w:vAlign w:val="center"/>
          </w:tcPr>
          <w:p w14:paraId="2715A48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入厂核验、门禁事件、手持安检/槽检、出厂核验。</w:t>
            </w:r>
          </w:p>
        </w:tc>
        <w:tc>
          <w:tcPr>
            <w:tcW w:w="0" w:type="auto"/>
            <w:vAlign w:val="center"/>
          </w:tcPr>
          <w:p w14:paraId="7BAF91D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门禁联调记录、安检模板、放行记录。</w:t>
            </w:r>
          </w:p>
        </w:tc>
        <w:tc>
          <w:tcPr>
            <w:tcW w:w="2291" w:type="dxa"/>
            <w:vAlign w:val="center"/>
          </w:tcPr>
          <w:p w14:paraId="7B83740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入厂到安检通过链路闭环。</w:t>
            </w:r>
          </w:p>
        </w:tc>
      </w:tr>
      <w:tr w14:paraId="44C808EA">
        <w:trPr>
          <w:trHeight w:val="0" w:hRule="atLeast"/>
        </w:trPr>
        <w:tc>
          <w:tcPr>
            <w:tcW w:w="1017" w:type="dxa"/>
            <w:vAlign w:val="center"/>
          </w:tcPr>
          <w:p w14:paraId="3FED575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WP-05</w:t>
            </w:r>
          </w:p>
        </w:tc>
        <w:tc>
          <w:tcPr>
            <w:tcW w:w="0" w:type="auto"/>
            <w:vAlign w:val="center"/>
          </w:tcPr>
          <w:p w14:paraId="16363A5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智能称重与集控</w:t>
            </w:r>
          </w:p>
        </w:tc>
        <w:tc>
          <w:tcPr>
            <w:tcW w:w="2955" w:type="dxa"/>
            <w:vAlign w:val="center"/>
          </w:tcPr>
          <w:p w14:paraId="69C9CD7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称重任务、一次/二次称重、异常干预、电子磅单。</w:t>
            </w:r>
          </w:p>
        </w:tc>
        <w:tc>
          <w:tcPr>
            <w:tcW w:w="0" w:type="auto"/>
            <w:vAlign w:val="center"/>
          </w:tcPr>
          <w:p w14:paraId="472869D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称重流水、异常记录、集控操作日志。</w:t>
            </w:r>
          </w:p>
        </w:tc>
        <w:tc>
          <w:tcPr>
            <w:tcW w:w="2291" w:type="dxa"/>
            <w:vAlign w:val="center"/>
          </w:tcPr>
          <w:p w14:paraId="385A727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称重数据可生成净重并处理异常。</w:t>
            </w:r>
          </w:p>
        </w:tc>
      </w:tr>
      <w:tr w14:paraId="28FDCD67">
        <w:trPr>
          <w:trHeight w:val="0" w:hRule="atLeast"/>
        </w:trPr>
        <w:tc>
          <w:tcPr>
            <w:tcW w:w="1017" w:type="dxa"/>
            <w:vAlign w:val="center"/>
          </w:tcPr>
          <w:p w14:paraId="72B0663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WP-06</w:t>
            </w:r>
          </w:p>
        </w:tc>
        <w:tc>
          <w:tcPr>
            <w:tcW w:w="0" w:type="auto"/>
            <w:vAlign w:val="center"/>
          </w:tcPr>
          <w:p w14:paraId="3C8D41F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ERP处理与补偿</w:t>
            </w:r>
          </w:p>
        </w:tc>
        <w:tc>
          <w:tcPr>
            <w:tcW w:w="2955" w:type="dxa"/>
            <w:vAlign w:val="center"/>
          </w:tcPr>
          <w:p w14:paraId="29478E7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创建交货单、发货过账、回执、补偿、日终对账。</w:t>
            </w:r>
          </w:p>
        </w:tc>
        <w:tc>
          <w:tcPr>
            <w:tcW w:w="0" w:type="auto"/>
            <w:vAlign w:val="center"/>
          </w:tcPr>
          <w:p w14:paraId="3195D0E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ERP回执、补偿队列、对账报告。</w:t>
            </w:r>
          </w:p>
        </w:tc>
        <w:tc>
          <w:tcPr>
            <w:tcW w:w="2291" w:type="dxa"/>
            <w:vAlign w:val="center"/>
          </w:tcPr>
          <w:p w14:paraId="011F6C5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过账成功闭环，失败可补偿和对账。</w:t>
            </w:r>
          </w:p>
        </w:tc>
      </w:tr>
      <w:tr w14:paraId="64794A9D">
        <w:trPr>
          <w:trHeight w:val="0" w:hRule="atLeast"/>
        </w:trPr>
        <w:tc>
          <w:tcPr>
            <w:tcW w:w="1017" w:type="dxa"/>
            <w:vAlign w:val="center"/>
          </w:tcPr>
          <w:p w14:paraId="45DADF5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WP-07</w:t>
            </w:r>
          </w:p>
        </w:tc>
        <w:tc>
          <w:tcPr>
            <w:tcW w:w="0" w:type="auto"/>
            <w:vAlign w:val="center"/>
          </w:tcPr>
          <w:p w14:paraId="610FB24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报表与单据</w:t>
            </w:r>
          </w:p>
        </w:tc>
        <w:tc>
          <w:tcPr>
            <w:tcW w:w="2955" w:type="dxa"/>
            <w:vAlign w:val="center"/>
          </w:tcPr>
          <w:p w14:paraId="20237CD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磅单、质检单、运输统计、异常统计、导出下载。</w:t>
            </w:r>
          </w:p>
        </w:tc>
        <w:tc>
          <w:tcPr>
            <w:tcW w:w="0" w:type="auto"/>
            <w:vAlign w:val="center"/>
          </w:tcPr>
          <w:p w14:paraId="659CC00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报表清单、口径说明、电子单据样例。</w:t>
            </w:r>
          </w:p>
        </w:tc>
        <w:tc>
          <w:tcPr>
            <w:tcW w:w="2291" w:type="dxa"/>
            <w:vAlign w:val="center"/>
          </w:tcPr>
          <w:p w14:paraId="36A6906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报表数据与业务单据一致。</w:t>
            </w:r>
          </w:p>
        </w:tc>
      </w:tr>
      <w:tr w14:paraId="488CB35F">
        <w:trPr>
          <w:trHeight w:val="0" w:hRule="atLeast"/>
        </w:trPr>
        <w:tc>
          <w:tcPr>
            <w:tcW w:w="1017" w:type="dxa"/>
            <w:vAlign w:val="center"/>
          </w:tcPr>
          <w:p w14:paraId="3F4157B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WP-08</w:t>
            </w:r>
          </w:p>
        </w:tc>
        <w:tc>
          <w:tcPr>
            <w:tcW w:w="0" w:type="auto"/>
            <w:vAlign w:val="center"/>
          </w:tcPr>
          <w:p w14:paraId="78F03C2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上线迁移与运维</w:t>
            </w:r>
          </w:p>
        </w:tc>
        <w:tc>
          <w:tcPr>
            <w:tcW w:w="2955" w:type="dxa"/>
            <w:vAlign w:val="center"/>
          </w:tcPr>
          <w:p w14:paraId="2A09ED7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初始化配置、历史数据导入、监控告警、应急流程。</w:t>
            </w:r>
          </w:p>
        </w:tc>
        <w:tc>
          <w:tcPr>
            <w:tcW w:w="0" w:type="auto"/>
            <w:vAlign w:val="center"/>
          </w:tcPr>
          <w:p w14:paraId="6D4061A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迁移报告、运维手册、应急预案。</w:t>
            </w:r>
          </w:p>
        </w:tc>
        <w:tc>
          <w:tcPr>
            <w:tcW w:w="2291" w:type="dxa"/>
            <w:vAlign w:val="center"/>
          </w:tcPr>
          <w:p w14:paraId="7D242F3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上线检查和运维移交通过评审。</w:t>
            </w:r>
          </w:p>
        </w:tc>
      </w:tr>
      <w:tr w14:paraId="2E3D0D82">
        <w:trPr>
          <w:trHeight w:val="0" w:hRule="atLeast"/>
        </w:trPr>
        <w:tc>
          <w:tcPr>
            <w:tcW w:w="1017" w:type="dxa"/>
            <w:vAlign w:val="center"/>
          </w:tcPr>
          <w:p w14:paraId="0DB1C78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WP-09</w:t>
            </w:r>
          </w:p>
        </w:tc>
        <w:tc>
          <w:tcPr>
            <w:tcW w:w="0" w:type="auto"/>
            <w:vAlign w:val="center"/>
          </w:tcPr>
          <w:p w14:paraId="55CB17D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测试与UAT</w:t>
            </w:r>
          </w:p>
        </w:tc>
        <w:tc>
          <w:tcPr>
            <w:tcW w:w="2955" w:type="dxa"/>
            <w:vAlign w:val="center"/>
          </w:tcPr>
          <w:p w14:paraId="47DFBD5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系统测试、接口测试、设备联调测试、UAT脚本执行。</w:t>
            </w:r>
          </w:p>
        </w:tc>
        <w:tc>
          <w:tcPr>
            <w:tcW w:w="0" w:type="auto"/>
            <w:vAlign w:val="center"/>
          </w:tcPr>
          <w:p w14:paraId="437E9AC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测试用例、测试报告、UAT签字。</w:t>
            </w:r>
          </w:p>
        </w:tc>
        <w:tc>
          <w:tcPr>
            <w:tcW w:w="2291" w:type="dxa"/>
            <w:vAlign w:val="center"/>
          </w:tcPr>
          <w:p w14:paraId="761CE96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P0 UAT场景通过，遗留缺陷有审批。</w:t>
            </w:r>
          </w:p>
        </w:tc>
      </w:tr>
      <w:tr w14:paraId="27E690F2">
        <w:trPr>
          <w:trHeight w:val="0" w:hRule="atLeast"/>
        </w:trPr>
        <w:tc>
          <w:tcPr>
            <w:tcW w:w="1017" w:type="dxa"/>
            <w:vAlign w:val="center"/>
          </w:tcPr>
          <w:p w14:paraId="41FF9A0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WP-10</w:t>
            </w:r>
          </w:p>
        </w:tc>
        <w:tc>
          <w:tcPr>
            <w:tcW w:w="0" w:type="auto"/>
            <w:vAlign w:val="center"/>
          </w:tcPr>
          <w:p w14:paraId="41ECF3B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试点推广与稳定期</w:t>
            </w:r>
          </w:p>
        </w:tc>
        <w:tc>
          <w:tcPr>
            <w:tcW w:w="2955" w:type="dxa"/>
            <w:vAlign w:val="center"/>
          </w:tcPr>
          <w:p w14:paraId="5CC9A95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单磅点试点、销售出厂试点、采购进厂扩展、多业务推广、全量上线。</w:t>
            </w:r>
          </w:p>
        </w:tc>
        <w:tc>
          <w:tcPr>
            <w:tcW w:w="0" w:type="auto"/>
            <w:vAlign w:val="center"/>
          </w:tcPr>
          <w:p w14:paraId="45692D1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试点报告、推广计划、稳定期报告。</w:t>
            </w:r>
          </w:p>
        </w:tc>
        <w:tc>
          <w:tcPr>
            <w:tcW w:w="2291" w:type="dxa"/>
            <w:vAlign w:val="center"/>
          </w:tcPr>
          <w:p w14:paraId="64B6493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稳定期退出标准满足。</w:t>
            </w:r>
          </w:p>
        </w:tc>
      </w:tr>
      <w:tr w14:paraId="2F937F39">
        <w:trPr>
          <w:trHeight w:val="0" w:hRule="atLeast"/>
        </w:trPr>
        <w:tc>
          <w:tcPr>
            <w:tcW w:w="1017" w:type="dxa"/>
            <w:vAlign w:val="center"/>
          </w:tcPr>
          <w:p w14:paraId="1E864A5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WP-11</w:t>
            </w:r>
          </w:p>
        </w:tc>
        <w:tc>
          <w:tcPr>
            <w:tcW w:w="1116" w:type="dxa"/>
            <w:vAlign w:val="center"/>
          </w:tcPr>
          <w:p w14:paraId="0326EA6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微信小程序端</w:t>
            </w:r>
          </w:p>
        </w:tc>
        <w:tc>
          <w:tcPr>
            <w:tcW w:w="2955" w:type="dxa"/>
            <w:vAlign w:val="center"/>
          </w:tcPr>
          <w:p w14:paraId="3387BFC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账号认证、合法域名、登录绑定、首页、预约、叫号、证照、消息、单据、隐私合规。</w:t>
            </w:r>
          </w:p>
        </w:tc>
        <w:tc>
          <w:tcPr>
            <w:tcW w:w="1981" w:type="dxa"/>
            <w:vAlign w:val="center"/>
          </w:tcPr>
          <w:p w14:paraId="38346ED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体验版、审核材料、消息模板、隐私协议。</w:t>
            </w:r>
          </w:p>
        </w:tc>
        <w:tc>
          <w:tcPr>
            <w:tcW w:w="2291" w:type="dxa"/>
            <w:vAlign w:val="center"/>
          </w:tcPr>
          <w:p w14:paraId="3354B71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小程序体验版通过，审核材料齐全，主流程可闭环。</w:t>
            </w:r>
          </w:p>
        </w:tc>
      </w:tr>
    </w:tbl>
    <w:p w14:paraId="02ABB803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2E74B5"/>
        </w:rPr>
        <w:t>7. 进度与计划控制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286"/>
        <w:gridCol w:w="4587"/>
        <w:gridCol w:w="3487"/>
      </w:tblGrid>
      <w:tr w14:paraId="78AC0C31">
        <w:trPr>
          <w:trHeight w:val="0" w:hRule="atLeast"/>
          <w:tblHeader/>
        </w:trPr>
        <w:tc>
          <w:tcPr>
            <w:tcW w:w="1286" w:type="dxa"/>
            <w:shd w:val="clear" w:color="auto" w:fill="F2F4F7"/>
            <w:vAlign w:val="center"/>
          </w:tcPr>
          <w:p w14:paraId="5A853B1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控制项</w:t>
            </w:r>
          </w:p>
        </w:tc>
        <w:tc>
          <w:tcPr>
            <w:tcW w:w="4587" w:type="dxa"/>
            <w:shd w:val="clear" w:color="auto" w:fill="F2F4F7"/>
            <w:vAlign w:val="center"/>
          </w:tcPr>
          <w:p w14:paraId="5186624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管理要求</w:t>
            </w:r>
          </w:p>
        </w:tc>
        <w:tc>
          <w:tcPr>
            <w:tcW w:w="3487" w:type="dxa"/>
            <w:shd w:val="clear" w:color="auto" w:fill="F2F4F7"/>
            <w:vAlign w:val="center"/>
          </w:tcPr>
          <w:p w14:paraId="4DA8D92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预警条件</w:t>
            </w:r>
          </w:p>
        </w:tc>
      </w:tr>
      <w:tr w14:paraId="35C7FFB8">
        <w:trPr>
          <w:trHeight w:val="0" w:hRule="atLeast"/>
        </w:trPr>
        <w:tc>
          <w:tcPr>
            <w:tcW w:w="1286" w:type="dxa"/>
            <w:vAlign w:val="center"/>
          </w:tcPr>
          <w:p w14:paraId="649E7B4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计划基线</w:t>
            </w:r>
          </w:p>
        </w:tc>
        <w:tc>
          <w:tcPr>
            <w:tcW w:w="4587" w:type="dxa"/>
            <w:vAlign w:val="center"/>
          </w:tcPr>
          <w:p w14:paraId="137D885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以里程碑计划和WBS为基线，形成周计划、双周滚动计划和阶段门检查清单。</w:t>
            </w:r>
          </w:p>
        </w:tc>
        <w:tc>
          <w:tcPr>
            <w:tcW w:w="3487" w:type="dxa"/>
            <w:vAlign w:val="center"/>
          </w:tcPr>
          <w:p w14:paraId="0A693D4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关键任务延期超过5个工作日，或影响后续联调/上线窗口。</w:t>
            </w:r>
          </w:p>
        </w:tc>
      </w:tr>
      <w:tr w14:paraId="24473AE2">
        <w:trPr>
          <w:trHeight w:val="0" w:hRule="atLeast"/>
        </w:trPr>
        <w:tc>
          <w:tcPr>
            <w:tcW w:w="1286" w:type="dxa"/>
            <w:vAlign w:val="center"/>
          </w:tcPr>
          <w:p w14:paraId="2A5FD82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关键路径</w:t>
            </w:r>
          </w:p>
        </w:tc>
        <w:tc>
          <w:tcPr>
            <w:tcW w:w="4587" w:type="dxa"/>
            <w:vAlign w:val="center"/>
          </w:tcPr>
          <w:p w14:paraId="1C76550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重点跟踪ERP接口、门禁接口、衡器改造、现场施工、小程序审核、UAT和上线准出。</w:t>
            </w:r>
          </w:p>
        </w:tc>
        <w:tc>
          <w:tcPr>
            <w:tcW w:w="3487" w:type="dxa"/>
            <w:vAlign w:val="center"/>
          </w:tcPr>
          <w:p w14:paraId="7CBE82D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任一关键路径任务无责任人、无计划日期或连续两周无进展。</w:t>
            </w:r>
          </w:p>
        </w:tc>
      </w:tr>
      <w:tr w14:paraId="495DB6EC">
        <w:trPr>
          <w:trHeight w:val="0" w:hRule="atLeast"/>
        </w:trPr>
        <w:tc>
          <w:tcPr>
            <w:tcW w:w="1286" w:type="dxa"/>
            <w:vAlign w:val="center"/>
          </w:tcPr>
          <w:p w14:paraId="3C3D0AF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依赖管理</w:t>
            </w:r>
          </w:p>
        </w:tc>
        <w:tc>
          <w:tcPr>
            <w:tcW w:w="4587" w:type="dxa"/>
            <w:vAlign w:val="center"/>
          </w:tcPr>
          <w:p w14:paraId="0640F6C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接口样例数据、设备到货、网络供电、合法域名、测试账号、主数据初始化需提前锁定。</w:t>
            </w:r>
          </w:p>
        </w:tc>
        <w:tc>
          <w:tcPr>
            <w:tcW w:w="3487" w:type="dxa"/>
            <w:vAlign w:val="center"/>
          </w:tcPr>
          <w:p w14:paraId="50530BD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依赖事项到期未完成或跨部门无法闭环。</w:t>
            </w:r>
          </w:p>
        </w:tc>
      </w:tr>
      <w:tr w14:paraId="192C3DE3">
        <w:trPr>
          <w:trHeight w:val="0" w:hRule="atLeast"/>
        </w:trPr>
        <w:tc>
          <w:tcPr>
            <w:tcW w:w="1286" w:type="dxa"/>
            <w:vAlign w:val="center"/>
          </w:tcPr>
          <w:p w14:paraId="5E994C8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进度报告</w:t>
            </w:r>
          </w:p>
        </w:tc>
        <w:tc>
          <w:tcPr>
            <w:tcW w:w="4587" w:type="dxa"/>
            <w:vAlign w:val="center"/>
          </w:tcPr>
          <w:p w14:paraId="3FC84CA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每周输出进度状态、里程碑偏差、风险问题、需决策事项和下周重点。</w:t>
            </w:r>
          </w:p>
        </w:tc>
        <w:tc>
          <w:tcPr>
            <w:tcW w:w="3487" w:type="dxa"/>
            <w:vAlign w:val="center"/>
          </w:tcPr>
          <w:p w14:paraId="48A5837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周报连续两周出现红灯或重大风险未决。</w:t>
            </w:r>
          </w:p>
        </w:tc>
      </w:tr>
    </w:tbl>
    <w:p w14:paraId="5DB2A3F0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2E74B5"/>
        </w:rPr>
        <w:t>8. 质量管理计划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335"/>
        <w:gridCol w:w="4991"/>
        <w:gridCol w:w="3034"/>
      </w:tblGrid>
      <w:tr w14:paraId="3904E35A">
        <w:trPr>
          <w:trHeight w:val="0" w:hRule="atLeast"/>
          <w:tblHeader/>
        </w:trPr>
        <w:tc>
          <w:tcPr>
            <w:tcW w:w="1335" w:type="dxa"/>
            <w:shd w:val="clear" w:color="auto" w:fill="F2F4F7"/>
            <w:vAlign w:val="center"/>
          </w:tcPr>
          <w:p w14:paraId="4BC2A513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质量维度</w:t>
            </w:r>
          </w:p>
        </w:tc>
        <w:tc>
          <w:tcPr>
            <w:tcW w:w="4991" w:type="dxa"/>
            <w:shd w:val="clear" w:color="auto" w:fill="F2F4F7"/>
            <w:vAlign w:val="center"/>
          </w:tcPr>
          <w:p w14:paraId="3F790F3A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质量要求</w:t>
            </w:r>
          </w:p>
        </w:tc>
        <w:tc>
          <w:tcPr>
            <w:tcW w:w="3034" w:type="dxa"/>
            <w:shd w:val="clear" w:color="auto" w:fill="F2F4F7"/>
            <w:vAlign w:val="center"/>
          </w:tcPr>
          <w:p w14:paraId="304F9DE3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检查证据</w:t>
            </w:r>
          </w:p>
        </w:tc>
      </w:tr>
      <w:tr w14:paraId="336F3695">
        <w:trPr>
          <w:trHeight w:val="0" w:hRule="atLeast"/>
        </w:trPr>
        <w:tc>
          <w:tcPr>
            <w:tcW w:w="1335" w:type="dxa"/>
            <w:vAlign w:val="center"/>
          </w:tcPr>
          <w:p w14:paraId="5476BACA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需求质量</w:t>
            </w:r>
          </w:p>
        </w:tc>
        <w:tc>
          <w:tcPr>
            <w:tcW w:w="4991" w:type="dxa"/>
            <w:vAlign w:val="center"/>
          </w:tcPr>
          <w:p w14:paraId="51559D2E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需求编号、优先级、验收条件、接口/数据/权限关联完整。</w:t>
            </w:r>
          </w:p>
        </w:tc>
        <w:tc>
          <w:tcPr>
            <w:tcW w:w="3034" w:type="dxa"/>
            <w:vAlign w:val="center"/>
          </w:tcPr>
          <w:p w14:paraId="015B3085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需求追踪矩阵、评审记录、变更台账。</w:t>
            </w:r>
          </w:p>
        </w:tc>
      </w:tr>
      <w:tr w14:paraId="5E91544D">
        <w:trPr>
          <w:trHeight w:val="0" w:hRule="atLeast"/>
        </w:trPr>
        <w:tc>
          <w:tcPr>
            <w:tcW w:w="1335" w:type="dxa"/>
            <w:vAlign w:val="center"/>
          </w:tcPr>
          <w:p w14:paraId="0B7FA990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设计质量</w:t>
            </w:r>
          </w:p>
        </w:tc>
        <w:tc>
          <w:tcPr>
            <w:tcW w:w="4991" w:type="dxa"/>
            <w:vAlign w:val="center"/>
          </w:tcPr>
          <w:p w14:paraId="6F24D0C8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状态机、接口、数据库、页面、权限、安全、异常补偿和上线设计覆盖P0需求。</w:t>
            </w:r>
          </w:p>
        </w:tc>
        <w:tc>
          <w:tcPr>
            <w:tcW w:w="3034" w:type="dxa"/>
            <w:vAlign w:val="center"/>
          </w:tcPr>
          <w:p w14:paraId="2E51BB57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详细设计评审纪要、设计问题关闭记录。</w:t>
            </w:r>
          </w:p>
        </w:tc>
      </w:tr>
      <w:tr w14:paraId="360B942B">
        <w:trPr>
          <w:trHeight w:val="0" w:hRule="atLeast"/>
        </w:trPr>
        <w:tc>
          <w:tcPr>
            <w:tcW w:w="1335" w:type="dxa"/>
            <w:vAlign w:val="center"/>
          </w:tcPr>
          <w:p w14:paraId="738BB85B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开发质量</w:t>
            </w:r>
          </w:p>
        </w:tc>
        <w:tc>
          <w:tcPr>
            <w:tcW w:w="4991" w:type="dxa"/>
            <w:vAlign w:val="center"/>
          </w:tcPr>
          <w:p w14:paraId="05A31AF7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核心业务逻辑、幂等控制、权限控制、日志审计、异常处理可单元测试和联调验证。</w:t>
            </w:r>
          </w:p>
        </w:tc>
        <w:tc>
          <w:tcPr>
            <w:tcW w:w="3034" w:type="dxa"/>
            <w:vAlign w:val="center"/>
          </w:tcPr>
          <w:p w14:paraId="0F5CEED1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单元测试记录、代码走查记录、接口自测报告。</w:t>
            </w:r>
          </w:p>
        </w:tc>
      </w:tr>
      <w:tr w14:paraId="2BED0621">
        <w:trPr>
          <w:trHeight w:val="0" w:hRule="atLeast"/>
        </w:trPr>
        <w:tc>
          <w:tcPr>
            <w:tcW w:w="1335" w:type="dxa"/>
            <w:vAlign w:val="center"/>
          </w:tcPr>
          <w:p w14:paraId="401451D0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测试质量</w:t>
            </w:r>
          </w:p>
        </w:tc>
        <w:tc>
          <w:tcPr>
            <w:tcW w:w="4991" w:type="dxa"/>
            <w:vAlign w:val="center"/>
          </w:tcPr>
          <w:p w14:paraId="631AE10E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销售出厂、采购进厂、异常补偿、小程序、权限、应急和非功能场景全覆盖。</w:t>
            </w:r>
          </w:p>
        </w:tc>
        <w:tc>
          <w:tcPr>
            <w:tcW w:w="3034" w:type="dxa"/>
            <w:vAlign w:val="center"/>
          </w:tcPr>
          <w:p w14:paraId="56551DD1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测试用例库、缺陷清单、回归记录。</w:t>
            </w:r>
          </w:p>
        </w:tc>
      </w:tr>
      <w:tr w14:paraId="3960BCCA">
        <w:trPr>
          <w:trHeight w:val="0" w:hRule="atLeast"/>
        </w:trPr>
        <w:tc>
          <w:tcPr>
            <w:tcW w:w="1335" w:type="dxa"/>
            <w:vAlign w:val="center"/>
          </w:tcPr>
          <w:p w14:paraId="7C0D7D95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数据质量</w:t>
            </w:r>
          </w:p>
        </w:tc>
        <w:tc>
          <w:tcPr>
            <w:tcW w:w="4991" w:type="dxa"/>
            <w:vAlign w:val="center"/>
          </w:tcPr>
          <w:p w14:paraId="4E06DBF7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主数据、设备数据、字典参数、历史数据初始化完整，并有抽样核验。</w:t>
            </w:r>
          </w:p>
        </w:tc>
        <w:tc>
          <w:tcPr>
            <w:tcW w:w="3034" w:type="dxa"/>
            <w:vAlign w:val="center"/>
          </w:tcPr>
          <w:p w14:paraId="2433E4BF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数据导入报告、核验记录、差异清单。</w:t>
            </w:r>
          </w:p>
        </w:tc>
      </w:tr>
      <w:tr w14:paraId="639F400F">
        <w:trPr>
          <w:trHeight w:val="0" w:hRule="atLeast"/>
        </w:trPr>
        <w:tc>
          <w:tcPr>
            <w:tcW w:w="1335" w:type="dxa"/>
            <w:vAlign w:val="center"/>
          </w:tcPr>
          <w:p w14:paraId="60FB6EC0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上线质量</w:t>
            </w:r>
          </w:p>
        </w:tc>
        <w:tc>
          <w:tcPr>
            <w:tcW w:w="4991" w:type="dxa"/>
            <w:vAlign w:val="center"/>
          </w:tcPr>
          <w:p w14:paraId="769D74E5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上线前P0完成、关键缺陷关闭、接口通过、回退可执行、培训完成、运维接手。</w:t>
            </w:r>
          </w:p>
        </w:tc>
        <w:tc>
          <w:tcPr>
            <w:tcW w:w="3034" w:type="dxa"/>
            <w:vAlign w:val="center"/>
          </w:tcPr>
          <w:p w14:paraId="3806F3CE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上线准出清单、回退演练记录、运维移交清单。</w:t>
            </w:r>
          </w:p>
        </w:tc>
      </w:tr>
    </w:tbl>
    <w:p w14:paraId="60CC268C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2E74B5"/>
        </w:rPr>
        <w:t>9. 需求与变更管理</w:t>
      </w:r>
    </w:p>
    <w:p w14:paraId="1A0056B8">
      <w:pPr>
        <w:pStyle w:val="1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</w:rPr>
        <w:t>需求基线由需求规格说明书V1.2、详细设计V1.2和Excel功能清单共同构成。</w:t>
      </w:r>
    </w:p>
    <w:p w14:paraId="4F62439B">
      <w:pPr>
        <w:pStyle w:val="1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</w:rPr>
        <w:t>任何范围新增、接口方向调整、字段语义变化、页面流程变化、设备能力变化、小程序审核要求变化，均需提交变更单。</w:t>
      </w:r>
    </w:p>
    <w:p w14:paraId="23C5F6BD">
      <w:pPr>
        <w:pStyle w:val="1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</w:rPr>
        <w:t>变更评估必须包含业务影响、技术影响、进度影响、费用影响、测试影响、上线影响和回退影响。</w:t>
      </w:r>
    </w:p>
    <w:p w14:paraId="4B370FD1">
      <w:pPr>
        <w:pStyle w:val="1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</w:rPr>
        <w:t>已批准变更需同步更新需求规格、详细设计、功能清单、接口清单、测试用例和上线准出清单。</w:t>
      </w:r>
    </w:p>
    <w:p w14:paraId="31C1849A">
      <w:pPr>
        <w:pStyle w:val="1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</w:rPr>
        <w:t>未批准变更不得进入开发排期，不得以口头会议结论替代变更记录。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700"/>
        <w:gridCol w:w="3722"/>
        <w:gridCol w:w="3938"/>
      </w:tblGrid>
      <w:tr w14:paraId="0FBE1DB7">
        <w:trPr>
          <w:trHeight w:val="0" w:hRule="atLeast"/>
          <w:tblHeader/>
        </w:trPr>
        <w:tc>
          <w:tcPr>
            <w:tcW w:w="1701" w:type="dxa"/>
            <w:shd w:val="clear" w:color="auto" w:fill="F2F4F7"/>
            <w:vAlign w:val="center"/>
          </w:tcPr>
          <w:p w14:paraId="0C88AE86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变更类型</w:t>
            </w:r>
          </w:p>
        </w:tc>
        <w:tc>
          <w:tcPr>
            <w:tcW w:w="3722" w:type="dxa"/>
            <w:shd w:val="clear" w:color="auto" w:fill="F2F4F7"/>
            <w:vAlign w:val="center"/>
          </w:tcPr>
          <w:p w14:paraId="78D8550E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示例</w:t>
            </w:r>
          </w:p>
        </w:tc>
        <w:tc>
          <w:tcPr>
            <w:tcW w:w="3938" w:type="dxa"/>
            <w:shd w:val="clear" w:color="auto" w:fill="F2F4F7"/>
            <w:vAlign w:val="center"/>
          </w:tcPr>
          <w:p w14:paraId="48FE167E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审批建议</w:t>
            </w:r>
          </w:p>
        </w:tc>
      </w:tr>
      <w:tr w14:paraId="40A2AD24">
        <w:trPr>
          <w:trHeight w:val="0" w:hRule="atLeast"/>
        </w:trPr>
        <w:tc>
          <w:tcPr>
            <w:tcW w:w="1701" w:type="dxa"/>
            <w:vAlign w:val="center"/>
          </w:tcPr>
          <w:p w14:paraId="7B0D034E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范围新增</w:t>
            </w:r>
          </w:p>
        </w:tc>
        <w:tc>
          <w:tcPr>
            <w:tcW w:w="3722" w:type="dxa"/>
            <w:vAlign w:val="center"/>
          </w:tcPr>
          <w:p w14:paraId="015685C5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新增业务类型、报表、大屏指标、小程序页面、审批流程。</w:t>
            </w:r>
          </w:p>
        </w:tc>
        <w:tc>
          <w:tcPr>
            <w:tcW w:w="3938" w:type="dxa"/>
            <w:vAlign w:val="center"/>
          </w:tcPr>
          <w:p w14:paraId="0539DB1C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项目经理组织业务、信息化和供应商评估后提交项目领导小组审批。</w:t>
            </w:r>
          </w:p>
        </w:tc>
      </w:tr>
      <w:tr w14:paraId="0B8A3841">
        <w:trPr>
          <w:trHeight w:val="0" w:hRule="atLeast"/>
        </w:trPr>
        <w:tc>
          <w:tcPr>
            <w:tcW w:w="1701" w:type="dxa"/>
            <w:vAlign w:val="center"/>
          </w:tcPr>
          <w:p w14:paraId="0AC10718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接口变更</w:t>
            </w:r>
          </w:p>
        </w:tc>
        <w:tc>
          <w:tcPr>
            <w:tcW w:w="3722" w:type="dxa"/>
            <w:vAlign w:val="center"/>
          </w:tcPr>
          <w:p w14:paraId="6B226E27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ERP字段新增/删除、门禁调用方向变化、衡器回传结构变化。</w:t>
            </w:r>
          </w:p>
        </w:tc>
        <w:tc>
          <w:tcPr>
            <w:tcW w:w="3938" w:type="dxa"/>
            <w:vAlign w:val="center"/>
          </w:tcPr>
          <w:p w14:paraId="532AA6B2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接口负责人牵头完成兼容性评估和回归测试计划。</w:t>
            </w:r>
          </w:p>
        </w:tc>
      </w:tr>
      <w:tr w14:paraId="275A3792">
        <w:trPr>
          <w:trHeight w:val="0" w:hRule="atLeast"/>
        </w:trPr>
        <w:tc>
          <w:tcPr>
            <w:tcW w:w="1701" w:type="dxa"/>
            <w:vAlign w:val="center"/>
          </w:tcPr>
          <w:p w14:paraId="2EF94BEE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设备变更</w:t>
            </w:r>
          </w:p>
        </w:tc>
        <w:tc>
          <w:tcPr>
            <w:tcW w:w="3722" w:type="dxa"/>
            <w:vAlign w:val="center"/>
          </w:tcPr>
          <w:p w14:paraId="45D1EB29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新增设备点位、替换设备型号、施工范围调整。</w:t>
            </w:r>
          </w:p>
        </w:tc>
        <w:tc>
          <w:tcPr>
            <w:tcW w:w="3938" w:type="dxa"/>
            <w:vAlign w:val="center"/>
          </w:tcPr>
          <w:p w14:paraId="57966E0E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设备负责人评估采购、施工、联调、费用和工期影响。</w:t>
            </w:r>
          </w:p>
        </w:tc>
      </w:tr>
      <w:tr w14:paraId="359972CE">
        <w:trPr>
          <w:trHeight w:val="0" w:hRule="atLeast"/>
        </w:trPr>
        <w:tc>
          <w:tcPr>
            <w:tcW w:w="1701" w:type="dxa"/>
            <w:vAlign w:val="center"/>
          </w:tcPr>
          <w:p w14:paraId="1D5AA8F1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上线策略变更</w:t>
            </w:r>
          </w:p>
        </w:tc>
        <w:tc>
          <w:tcPr>
            <w:tcW w:w="3722" w:type="dxa"/>
            <w:vAlign w:val="center"/>
          </w:tcPr>
          <w:p w14:paraId="59DF28C8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试点范围、并行期、回退条件、上线窗口调整。</w:t>
            </w:r>
          </w:p>
        </w:tc>
        <w:tc>
          <w:tcPr>
            <w:tcW w:w="3938" w:type="dxa"/>
            <w:vAlign w:val="center"/>
          </w:tcPr>
          <w:p w14:paraId="352C508D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项目经理提交上线影响评估，业务和信息化共同批准。</w:t>
            </w:r>
          </w:p>
        </w:tc>
      </w:tr>
    </w:tbl>
    <w:p w14:paraId="1373C7DB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2E74B5"/>
        </w:rPr>
        <w:t>10. 接口、设备与小程序专项管理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489"/>
        <w:gridCol w:w="4543"/>
        <w:gridCol w:w="3328"/>
      </w:tblGrid>
      <w:tr w14:paraId="20CD02DB">
        <w:trPr>
          <w:trHeight w:val="0" w:hRule="atLeast"/>
          <w:tblHeader/>
        </w:trPr>
        <w:tc>
          <w:tcPr>
            <w:tcW w:w="1489" w:type="dxa"/>
            <w:shd w:val="clear" w:color="auto" w:fill="F2F4F7"/>
            <w:vAlign w:val="center"/>
          </w:tcPr>
          <w:p w14:paraId="2E72736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专项</w:t>
            </w:r>
          </w:p>
        </w:tc>
        <w:tc>
          <w:tcPr>
            <w:tcW w:w="4543" w:type="dxa"/>
            <w:shd w:val="clear" w:color="auto" w:fill="F2F4F7"/>
            <w:vAlign w:val="center"/>
          </w:tcPr>
          <w:p w14:paraId="3FB50DF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管理重点</w:t>
            </w:r>
          </w:p>
        </w:tc>
        <w:tc>
          <w:tcPr>
            <w:tcW w:w="3328" w:type="dxa"/>
            <w:shd w:val="clear" w:color="auto" w:fill="F2F4F7"/>
            <w:vAlign w:val="center"/>
          </w:tcPr>
          <w:p w14:paraId="4410F1D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阶段检查</w:t>
            </w:r>
          </w:p>
        </w:tc>
      </w:tr>
      <w:tr w14:paraId="5A9561D4">
        <w:trPr>
          <w:trHeight w:val="0" w:hRule="atLeast"/>
        </w:trPr>
        <w:tc>
          <w:tcPr>
            <w:tcW w:w="1489" w:type="dxa"/>
            <w:vAlign w:val="center"/>
          </w:tcPr>
          <w:p w14:paraId="69AF9E3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ERP接口</w:t>
            </w:r>
          </w:p>
        </w:tc>
        <w:tc>
          <w:tcPr>
            <w:tcW w:w="4543" w:type="dxa"/>
            <w:vAlign w:val="center"/>
          </w:tcPr>
          <w:p w14:paraId="0F5E7C1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订单同步、交货单创建、发货过账、状态查询、回执、日终对账和失败补偿。</w:t>
            </w:r>
          </w:p>
        </w:tc>
        <w:tc>
          <w:tcPr>
            <w:tcW w:w="3328" w:type="dxa"/>
            <w:vAlign w:val="center"/>
          </w:tcPr>
          <w:p w14:paraId="370B14F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接口冻结、样例报文、联调环境、错误码、对账样例。</w:t>
            </w:r>
          </w:p>
        </w:tc>
      </w:tr>
      <w:tr w14:paraId="3BC6D633">
        <w:trPr>
          <w:trHeight w:val="0" w:hRule="atLeast"/>
        </w:trPr>
        <w:tc>
          <w:tcPr>
            <w:tcW w:w="1489" w:type="dxa"/>
            <w:vAlign w:val="center"/>
          </w:tcPr>
          <w:p w14:paraId="0DBA86C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门禁接口</w:t>
            </w:r>
          </w:p>
        </w:tc>
        <w:tc>
          <w:tcPr>
            <w:tcW w:w="4543" w:type="dxa"/>
            <w:vAlign w:val="center"/>
          </w:tcPr>
          <w:p w14:paraId="2B9842F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入厂/出厂核验、预约计划推送或事件回传、人工放行、超时策略和应急处理。</w:t>
            </w:r>
          </w:p>
        </w:tc>
        <w:tc>
          <w:tcPr>
            <w:tcW w:w="3328" w:type="dxa"/>
            <w:vAlign w:val="center"/>
          </w:tcPr>
          <w:p w14:paraId="445BC74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门点清单、设备号、车牌识别样例、放行规则、拒绝原因。</w:t>
            </w:r>
          </w:p>
        </w:tc>
      </w:tr>
      <w:tr w14:paraId="3E66F5F8">
        <w:trPr>
          <w:trHeight w:val="0" w:hRule="atLeast"/>
        </w:trPr>
        <w:tc>
          <w:tcPr>
            <w:tcW w:w="1489" w:type="dxa"/>
            <w:vAlign w:val="center"/>
          </w:tcPr>
          <w:p w14:paraId="64B0B28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衡器与集控</w:t>
            </w:r>
          </w:p>
        </w:tc>
        <w:tc>
          <w:tcPr>
            <w:tcW w:w="4543" w:type="dxa"/>
            <w:vAlign w:val="center"/>
          </w:tcPr>
          <w:p w14:paraId="3A2678D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称重任务下发、称重回传、AI异常、光栅、道闸、打印、视频联动和远程控制。</w:t>
            </w:r>
          </w:p>
        </w:tc>
        <w:tc>
          <w:tcPr>
            <w:tcW w:w="3328" w:type="dxa"/>
            <w:vAlign w:val="center"/>
          </w:tcPr>
          <w:p w14:paraId="4BE1C3B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设备点检、联调记录、异常演练、审计日志。</w:t>
            </w:r>
          </w:p>
        </w:tc>
      </w:tr>
      <w:tr w14:paraId="007B9C37">
        <w:trPr>
          <w:trHeight w:val="0" w:hRule="atLeast"/>
        </w:trPr>
        <w:tc>
          <w:tcPr>
            <w:tcW w:w="1489" w:type="dxa"/>
            <w:vAlign w:val="center"/>
          </w:tcPr>
          <w:p w14:paraId="6B9D3A3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LIMS接口</w:t>
            </w:r>
          </w:p>
        </w:tc>
        <w:tc>
          <w:tcPr>
            <w:tcW w:w="4543" w:type="dxa"/>
            <w:vAlign w:val="center"/>
          </w:tcPr>
          <w:p w14:paraId="29A7135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质检状态查询、报告索引、关联规则和下载权限。</w:t>
            </w:r>
          </w:p>
        </w:tc>
        <w:tc>
          <w:tcPr>
            <w:tcW w:w="3328" w:type="dxa"/>
            <w:vAlign w:val="center"/>
          </w:tcPr>
          <w:p w14:paraId="40ACC6B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按订单、批次、车次或发货记录的关联口径确认。</w:t>
            </w:r>
          </w:p>
        </w:tc>
      </w:tr>
      <w:tr w14:paraId="3C22D1A9">
        <w:trPr>
          <w:trHeight w:val="0" w:hRule="atLeast"/>
        </w:trPr>
        <w:tc>
          <w:tcPr>
            <w:tcW w:w="1489" w:type="dxa"/>
            <w:vAlign w:val="center"/>
          </w:tcPr>
          <w:p w14:paraId="0A237A0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小程序</w:t>
            </w:r>
          </w:p>
        </w:tc>
        <w:tc>
          <w:tcPr>
            <w:tcW w:w="4543" w:type="dxa"/>
            <w:vAlign w:val="center"/>
          </w:tcPr>
          <w:p w14:paraId="5CD060A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主体认证、服务类目、合法域名、登录绑定、订阅消息、文件上传、隐私政策、体验版测试和提审。</w:t>
            </w:r>
          </w:p>
        </w:tc>
        <w:tc>
          <w:tcPr>
            <w:tcW w:w="3328" w:type="dxa"/>
            <w:vAlign w:val="center"/>
          </w:tcPr>
          <w:p w14:paraId="65A2377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账号资料、域名证书、消息模板、隐私合规、微信审核结果。</w:t>
            </w:r>
          </w:p>
        </w:tc>
      </w:tr>
      <w:tr w14:paraId="303488BB">
        <w:trPr>
          <w:trHeight w:val="0" w:hRule="atLeast"/>
        </w:trPr>
        <w:tc>
          <w:tcPr>
            <w:tcW w:w="1489" w:type="dxa"/>
            <w:vAlign w:val="center"/>
          </w:tcPr>
          <w:p w14:paraId="0A2AEC1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消息平台</w:t>
            </w:r>
          </w:p>
        </w:tc>
        <w:tc>
          <w:tcPr>
            <w:tcW w:w="4543" w:type="dxa"/>
            <w:vAlign w:val="center"/>
          </w:tcPr>
          <w:p w14:paraId="4BDFE0F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预约审核、排队叫号、入厂放行、异常处理、证照到期、单据生成等消息。</w:t>
            </w:r>
          </w:p>
        </w:tc>
        <w:tc>
          <w:tcPr>
            <w:tcW w:w="3328" w:type="dxa"/>
            <w:vAlign w:val="center"/>
          </w:tcPr>
          <w:p w14:paraId="1879406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模板字段、发送日志、失败重试、人工通知清单。</w:t>
            </w:r>
          </w:p>
        </w:tc>
      </w:tr>
    </w:tbl>
    <w:p w14:paraId="53997B4D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2E74B5"/>
        </w:rPr>
        <w:t>11. 沟通与干系人管理</w:t>
      </w:r>
    </w:p>
    <w:tbl>
      <w:tblPr>
        <w:tblStyle w:val="33"/>
        <w:tblW w:w="4997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439"/>
        <w:gridCol w:w="1562"/>
        <w:gridCol w:w="2080"/>
        <w:gridCol w:w="1796"/>
        <w:gridCol w:w="2717"/>
      </w:tblGrid>
      <w:tr w14:paraId="2B27AC35">
        <w:trPr>
          <w:trHeight w:val="0" w:hRule="atLeast"/>
          <w:tblHeader/>
          <w:jc w:val="center"/>
        </w:trPr>
        <w:tc>
          <w:tcPr>
            <w:tcW w:w="750" w:type="pct"/>
            <w:shd w:val="clear" w:color="auto" w:fill="F2F4F7"/>
            <w:vAlign w:val="center"/>
          </w:tcPr>
          <w:p w14:paraId="02F85EF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</w:rPr>
              <w:t>沟通机制</w:t>
            </w:r>
          </w:p>
        </w:tc>
        <w:tc>
          <w:tcPr>
            <w:tcW w:w="814" w:type="pct"/>
            <w:shd w:val="clear" w:color="auto" w:fill="F2F4F7"/>
            <w:vAlign w:val="center"/>
          </w:tcPr>
          <w:p w14:paraId="29337B0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</w:rPr>
              <w:t>频率</w:t>
            </w:r>
          </w:p>
        </w:tc>
        <w:tc>
          <w:tcPr>
            <w:tcW w:w="2020" w:type="pct"/>
            <w:gridSpan w:val="2"/>
            <w:shd w:val="clear" w:color="auto" w:fill="F2F4F7"/>
            <w:vAlign w:val="center"/>
          </w:tcPr>
          <w:p w14:paraId="10CA263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</w:rPr>
              <w:t>参与人</w:t>
            </w:r>
          </w:p>
        </w:tc>
        <w:tc>
          <w:tcPr>
            <w:tcW w:w="1414" w:type="pct"/>
            <w:shd w:val="clear" w:color="auto" w:fill="F2F4F7"/>
            <w:vAlign w:val="center"/>
          </w:tcPr>
          <w:p w14:paraId="60C5B61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</w:rPr>
              <w:t>输出</w:t>
            </w:r>
          </w:p>
        </w:tc>
      </w:tr>
      <w:tr w14:paraId="3DC24AA0">
        <w:trPr>
          <w:trHeight w:val="0" w:hRule="atLeast"/>
          <w:jc w:val="center"/>
        </w:trPr>
        <w:tc>
          <w:tcPr>
            <w:tcW w:w="750" w:type="pct"/>
            <w:vAlign w:val="center"/>
          </w:tcPr>
          <w:p w14:paraId="711F6BA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项目周例会</w:t>
            </w:r>
          </w:p>
        </w:tc>
        <w:tc>
          <w:tcPr>
            <w:tcW w:w="814" w:type="pct"/>
            <w:vAlign w:val="center"/>
          </w:tcPr>
          <w:p w14:paraId="7535C43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每周</w:t>
            </w:r>
          </w:p>
        </w:tc>
        <w:tc>
          <w:tcPr>
            <w:tcW w:w="2020" w:type="pct"/>
            <w:gridSpan w:val="2"/>
            <w:vAlign w:val="center"/>
          </w:tcPr>
          <w:p w14:paraId="5B54384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项目经理、业务、信息化、开发、接口、设备、测试负责人</w:t>
            </w:r>
          </w:p>
        </w:tc>
        <w:tc>
          <w:tcPr>
            <w:tcW w:w="1414" w:type="pct"/>
            <w:vAlign w:val="center"/>
          </w:tcPr>
          <w:p w14:paraId="6E13FF4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周计划、进度偏差、问题风险、需决策事项。</w:t>
            </w:r>
          </w:p>
        </w:tc>
      </w:tr>
      <w:tr w14:paraId="4320BA0E">
        <w:trPr>
          <w:trHeight w:val="0" w:hRule="atLeast"/>
          <w:jc w:val="center"/>
        </w:trPr>
        <w:tc>
          <w:tcPr>
            <w:tcW w:w="750" w:type="pct"/>
            <w:vAlign w:val="center"/>
          </w:tcPr>
          <w:p w14:paraId="7AA8131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接口联调会</w:t>
            </w:r>
          </w:p>
        </w:tc>
        <w:tc>
          <w:tcPr>
            <w:tcW w:w="814" w:type="pct"/>
            <w:vAlign w:val="center"/>
          </w:tcPr>
          <w:p w14:paraId="527013A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每周/按需</w:t>
            </w:r>
          </w:p>
        </w:tc>
        <w:tc>
          <w:tcPr>
            <w:tcW w:w="2020" w:type="pct"/>
            <w:gridSpan w:val="2"/>
            <w:vAlign w:val="center"/>
          </w:tcPr>
          <w:p w14:paraId="486DE8A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接口负责人、ERP、门禁、衡器、LIMS、小程序/消息相关人员</w:t>
            </w:r>
          </w:p>
        </w:tc>
        <w:tc>
          <w:tcPr>
            <w:tcW w:w="1414" w:type="pct"/>
            <w:vAlign w:val="center"/>
          </w:tcPr>
          <w:p w14:paraId="7A5662A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接口问题清单、报文样例、联调结论。</w:t>
            </w:r>
          </w:p>
        </w:tc>
      </w:tr>
      <w:tr w14:paraId="204C25DB">
        <w:trPr>
          <w:trHeight w:val="0" w:hRule="atLeast"/>
          <w:jc w:val="center"/>
        </w:trPr>
        <w:tc>
          <w:tcPr>
            <w:tcW w:w="750" w:type="pct"/>
            <w:vAlign w:val="center"/>
          </w:tcPr>
          <w:p w14:paraId="69CF4CA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现场施工协调会</w:t>
            </w:r>
          </w:p>
        </w:tc>
        <w:tc>
          <w:tcPr>
            <w:tcW w:w="814" w:type="pct"/>
            <w:vAlign w:val="center"/>
          </w:tcPr>
          <w:p w14:paraId="5AEFBA2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每周/施工高峰期按需</w:t>
            </w:r>
          </w:p>
        </w:tc>
        <w:tc>
          <w:tcPr>
            <w:tcW w:w="2020" w:type="pct"/>
            <w:gridSpan w:val="2"/>
            <w:vAlign w:val="center"/>
          </w:tcPr>
          <w:p w14:paraId="1591AA7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设备负责人、施工单位、现场运维、业务代表</w:t>
            </w:r>
          </w:p>
        </w:tc>
        <w:tc>
          <w:tcPr>
            <w:tcW w:w="1414" w:type="pct"/>
            <w:vAlign w:val="center"/>
          </w:tcPr>
          <w:p w14:paraId="3252292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施工计划、停机窗口、现场条件确认。</w:t>
            </w:r>
          </w:p>
        </w:tc>
      </w:tr>
      <w:tr w14:paraId="158F5CC6">
        <w:trPr>
          <w:trHeight w:val="0" w:hRule="atLeast"/>
          <w:jc w:val="center"/>
        </w:trPr>
        <w:tc>
          <w:tcPr>
            <w:tcW w:w="750" w:type="pct"/>
            <w:vAlign w:val="center"/>
          </w:tcPr>
          <w:p w14:paraId="1B21A80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业务原型/UAT评审</w:t>
            </w:r>
          </w:p>
        </w:tc>
        <w:tc>
          <w:tcPr>
            <w:tcW w:w="814" w:type="pct"/>
            <w:vAlign w:val="center"/>
          </w:tcPr>
          <w:p w14:paraId="20A3CD1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阶段性</w:t>
            </w:r>
          </w:p>
        </w:tc>
        <w:tc>
          <w:tcPr>
            <w:tcW w:w="2020" w:type="pct"/>
            <w:gridSpan w:val="2"/>
            <w:vAlign w:val="center"/>
          </w:tcPr>
          <w:p w14:paraId="11186B5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业务关键用户、产品、测试、开发</w:t>
            </w:r>
          </w:p>
        </w:tc>
        <w:tc>
          <w:tcPr>
            <w:tcW w:w="1414" w:type="pct"/>
            <w:vAlign w:val="center"/>
          </w:tcPr>
          <w:p w14:paraId="0E0B5A0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原型确认、UAT脚本、验收意见。</w:t>
            </w:r>
          </w:p>
        </w:tc>
      </w:tr>
      <w:tr w14:paraId="684B4474">
        <w:trPr>
          <w:trHeight w:val="0" w:hRule="atLeast"/>
          <w:jc w:val="center"/>
        </w:trPr>
        <w:tc>
          <w:tcPr>
            <w:tcW w:w="750" w:type="pct"/>
            <w:vAlign w:val="center"/>
          </w:tcPr>
          <w:p w14:paraId="179889A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上线准出会</w:t>
            </w:r>
          </w:p>
        </w:tc>
        <w:tc>
          <w:tcPr>
            <w:tcW w:w="814" w:type="pct"/>
            <w:vAlign w:val="center"/>
          </w:tcPr>
          <w:p w14:paraId="07172AF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上线前</w:t>
            </w:r>
          </w:p>
        </w:tc>
        <w:tc>
          <w:tcPr>
            <w:tcW w:w="2020" w:type="pct"/>
            <w:gridSpan w:val="2"/>
            <w:vAlign w:val="center"/>
          </w:tcPr>
          <w:p w14:paraId="5A3BD3D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项目领导小组、业务、信息化、运维、供应商</w:t>
            </w:r>
          </w:p>
        </w:tc>
        <w:tc>
          <w:tcPr>
            <w:tcW w:w="1414" w:type="pct"/>
            <w:vAlign w:val="center"/>
          </w:tcPr>
          <w:p w14:paraId="5EA54B6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上线批准、回退方案、值守安排。</w:t>
            </w:r>
          </w:p>
        </w:tc>
      </w:tr>
      <w:tr w14:paraId="611D6051">
        <w:trPr>
          <w:trHeight w:val="0" w:hRule="atLeast"/>
          <w:jc w:val="center"/>
        </w:trPr>
        <w:tc>
          <w:tcPr>
            <w:tcW w:w="750" w:type="pct"/>
            <w:vAlign w:val="center"/>
          </w:tcPr>
          <w:p w14:paraId="0BF4C5A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稳定期复盘会</w:t>
            </w:r>
          </w:p>
        </w:tc>
        <w:tc>
          <w:tcPr>
            <w:tcW w:w="814" w:type="pct"/>
            <w:vAlign w:val="center"/>
          </w:tcPr>
          <w:p w14:paraId="776BD19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上线后每周</w:t>
            </w:r>
          </w:p>
        </w:tc>
        <w:tc>
          <w:tcPr>
            <w:tcW w:w="2020" w:type="pct"/>
            <w:gridSpan w:val="2"/>
            <w:vAlign w:val="center"/>
          </w:tcPr>
          <w:p w14:paraId="31C9E5E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项目组、业务、运维、供应商</w:t>
            </w:r>
          </w:p>
        </w:tc>
        <w:tc>
          <w:tcPr>
            <w:tcW w:w="1414" w:type="pct"/>
            <w:vAlign w:val="center"/>
          </w:tcPr>
          <w:p w14:paraId="43781A0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问题关闭、优化建议、验收准备。</w:t>
            </w:r>
          </w:p>
        </w:tc>
      </w:tr>
      <w:tr w14:paraId="3A458827">
        <w:trPr>
          <w:trHeight w:val="0" w:hRule="atLeast"/>
          <w:tblHeader/>
          <w:jc w:val="center"/>
        </w:trPr>
        <w:tc>
          <w:tcPr>
            <w:tcW w:w="750" w:type="pct"/>
            <w:shd w:val="clear" w:color="auto" w:fill="F2F4F7"/>
            <w:vAlign w:val="center"/>
          </w:tcPr>
          <w:p w14:paraId="25D9176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</w:rPr>
              <w:t>报告对象</w:t>
            </w:r>
          </w:p>
        </w:tc>
        <w:tc>
          <w:tcPr>
            <w:tcW w:w="1898" w:type="pct"/>
            <w:gridSpan w:val="2"/>
            <w:shd w:val="clear" w:color="auto" w:fill="F2F4F7"/>
            <w:vAlign w:val="center"/>
          </w:tcPr>
          <w:p w14:paraId="3D3A58C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</w:rPr>
              <w:t>关注重点</w:t>
            </w:r>
          </w:p>
        </w:tc>
        <w:tc>
          <w:tcPr>
            <w:tcW w:w="2351" w:type="pct"/>
            <w:gridSpan w:val="2"/>
            <w:shd w:val="clear" w:color="auto" w:fill="F2F4F7"/>
            <w:vAlign w:val="center"/>
          </w:tcPr>
          <w:p w14:paraId="3AF20C6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</w:rPr>
              <w:t>建议表达方式</w:t>
            </w:r>
          </w:p>
        </w:tc>
      </w:tr>
      <w:tr w14:paraId="6517A569">
        <w:trPr>
          <w:trHeight w:val="0" w:hRule="atLeast"/>
          <w:jc w:val="center"/>
        </w:trPr>
        <w:tc>
          <w:tcPr>
            <w:tcW w:w="750" w:type="pct"/>
            <w:vAlign w:val="center"/>
          </w:tcPr>
          <w:p w14:paraId="6E6FFFF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领导层</w:t>
            </w:r>
          </w:p>
        </w:tc>
        <w:tc>
          <w:tcPr>
            <w:tcW w:w="1898" w:type="pct"/>
            <w:gridSpan w:val="2"/>
            <w:vAlign w:val="center"/>
          </w:tcPr>
          <w:p w14:paraId="143D73C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总体状态、关键风险、需决策事项、上线影响和价值实现。</w:t>
            </w:r>
          </w:p>
        </w:tc>
        <w:tc>
          <w:tcPr>
            <w:tcW w:w="2351" w:type="pct"/>
            <w:gridSpan w:val="2"/>
            <w:vAlign w:val="center"/>
          </w:tcPr>
          <w:p w14:paraId="0ABEEFE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红黄绿状态、重大风险、决策清单、下一步行动。</w:t>
            </w:r>
          </w:p>
        </w:tc>
      </w:tr>
      <w:tr w14:paraId="042182F8">
        <w:trPr>
          <w:trHeight w:val="0" w:hRule="atLeast"/>
          <w:jc w:val="center"/>
        </w:trPr>
        <w:tc>
          <w:tcPr>
            <w:tcW w:w="750" w:type="pct"/>
            <w:vAlign w:val="center"/>
          </w:tcPr>
          <w:p w14:paraId="59CA96C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业务部门</w:t>
            </w:r>
          </w:p>
        </w:tc>
        <w:tc>
          <w:tcPr>
            <w:tcW w:w="1898" w:type="pct"/>
            <w:gridSpan w:val="2"/>
            <w:vAlign w:val="center"/>
          </w:tcPr>
          <w:p w14:paraId="19BF1C8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流程变化、岗位责任、培训安排、UAT、并行期和异常处理。</w:t>
            </w:r>
          </w:p>
        </w:tc>
        <w:tc>
          <w:tcPr>
            <w:tcW w:w="2351" w:type="pct"/>
            <w:gridSpan w:val="2"/>
            <w:vAlign w:val="center"/>
          </w:tcPr>
          <w:p w14:paraId="6186B6B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场景化说明、操作样例、责任清单。</w:t>
            </w:r>
          </w:p>
        </w:tc>
      </w:tr>
      <w:tr w14:paraId="052EF131">
        <w:trPr>
          <w:trHeight w:val="0" w:hRule="atLeast"/>
          <w:jc w:val="center"/>
        </w:trPr>
        <w:tc>
          <w:tcPr>
            <w:tcW w:w="750" w:type="pct"/>
            <w:vAlign w:val="center"/>
          </w:tcPr>
          <w:p w14:paraId="0066096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信息化/运维</w:t>
            </w:r>
          </w:p>
        </w:tc>
        <w:tc>
          <w:tcPr>
            <w:tcW w:w="1898" w:type="pct"/>
            <w:gridSpan w:val="2"/>
            <w:vAlign w:val="center"/>
          </w:tcPr>
          <w:p w14:paraId="41D9F3B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架构、接口、安全、环境、账号、监控、备份和回退。</w:t>
            </w:r>
          </w:p>
        </w:tc>
        <w:tc>
          <w:tcPr>
            <w:tcW w:w="2351" w:type="pct"/>
            <w:gridSpan w:val="2"/>
            <w:vAlign w:val="center"/>
          </w:tcPr>
          <w:p w14:paraId="6CC7422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技术清单、联调报告、运维移交表。</w:t>
            </w:r>
          </w:p>
        </w:tc>
      </w:tr>
      <w:tr w14:paraId="38B8C87E">
        <w:trPr>
          <w:trHeight w:val="0" w:hRule="atLeast"/>
          <w:jc w:val="center"/>
        </w:trPr>
        <w:tc>
          <w:tcPr>
            <w:tcW w:w="750" w:type="pct"/>
            <w:vAlign w:val="center"/>
          </w:tcPr>
          <w:p w14:paraId="58516A8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供应商</w:t>
            </w:r>
          </w:p>
        </w:tc>
        <w:tc>
          <w:tcPr>
            <w:tcW w:w="1898" w:type="pct"/>
            <w:gridSpan w:val="2"/>
            <w:vAlign w:val="center"/>
          </w:tcPr>
          <w:p w14:paraId="6C3D715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范围、交付物、缺陷、接口、计划、验收证据和变更。</w:t>
            </w:r>
          </w:p>
        </w:tc>
        <w:tc>
          <w:tcPr>
            <w:tcW w:w="2351" w:type="pct"/>
            <w:gridSpan w:val="2"/>
            <w:vAlign w:val="center"/>
          </w:tcPr>
          <w:p w14:paraId="1E1B918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任务清单、验收标准、问题闭环。</w:t>
            </w:r>
          </w:p>
        </w:tc>
      </w:tr>
    </w:tbl>
    <w:p w14:paraId="15144C2A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2E74B5"/>
        </w:rPr>
        <w:t>12. 风险、问题、决策与依赖管理</w:t>
      </w:r>
    </w:p>
    <w:tbl>
      <w:tblPr>
        <w:tblStyle w:val="33"/>
        <w:tblW w:w="4994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575"/>
        <w:gridCol w:w="1185"/>
        <w:gridCol w:w="1139"/>
        <w:gridCol w:w="2087"/>
        <w:gridCol w:w="1626"/>
        <w:gridCol w:w="1634"/>
        <w:gridCol w:w="1342"/>
      </w:tblGrid>
      <w:tr w14:paraId="4857B231">
        <w:trPr>
          <w:trHeight w:val="0" w:hRule="atLeast"/>
          <w:tblHeader/>
          <w:jc w:val="center"/>
        </w:trPr>
        <w:tc>
          <w:tcPr>
            <w:tcW w:w="300" w:type="pct"/>
            <w:shd w:val="clear" w:color="auto" w:fill="F2F4F7"/>
            <w:vAlign w:val="center"/>
          </w:tcPr>
          <w:p w14:paraId="617CD33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</w:rPr>
              <w:t>编号</w:t>
            </w:r>
          </w:p>
        </w:tc>
        <w:tc>
          <w:tcPr>
            <w:tcW w:w="1212" w:type="pct"/>
            <w:gridSpan w:val="2"/>
            <w:shd w:val="clear" w:color="auto" w:fill="F2F4F7"/>
            <w:vAlign w:val="center"/>
          </w:tcPr>
          <w:p w14:paraId="3E85DF7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</w:rPr>
              <w:t>风险/问题</w:t>
            </w:r>
          </w:p>
        </w:tc>
        <w:tc>
          <w:tcPr>
            <w:tcW w:w="1088" w:type="pct"/>
            <w:shd w:val="clear" w:color="auto" w:fill="F2F4F7"/>
            <w:vAlign w:val="center"/>
          </w:tcPr>
          <w:p w14:paraId="2B54FE6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</w:rPr>
              <w:t>影响</w:t>
            </w:r>
          </w:p>
        </w:tc>
        <w:tc>
          <w:tcPr>
            <w:tcW w:w="1700" w:type="pct"/>
            <w:gridSpan w:val="2"/>
            <w:shd w:val="clear" w:color="auto" w:fill="F2F4F7"/>
            <w:vAlign w:val="center"/>
          </w:tcPr>
          <w:p w14:paraId="153A460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</w:rPr>
              <w:t>应对策略</w:t>
            </w:r>
          </w:p>
        </w:tc>
        <w:tc>
          <w:tcPr>
            <w:tcW w:w="698" w:type="pct"/>
            <w:shd w:val="clear" w:color="auto" w:fill="F2F4F7"/>
            <w:vAlign w:val="center"/>
          </w:tcPr>
          <w:p w14:paraId="1CC73CA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</w:rPr>
              <w:t>责任方</w:t>
            </w:r>
          </w:p>
        </w:tc>
      </w:tr>
      <w:tr w14:paraId="2B91B2A5">
        <w:trPr>
          <w:trHeight w:val="0" w:hRule="atLeast"/>
          <w:jc w:val="center"/>
        </w:trPr>
        <w:tc>
          <w:tcPr>
            <w:tcW w:w="300" w:type="pct"/>
            <w:vAlign w:val="center"/>
          </w:tcPr>
          <w:p w14:paraId="004553B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R-01</w:t>
            </w:r>
          </w:p>
        </w:tc>
        <w:tc>
          <w:tcPr>
            <w:tcW w:w="1212" w:type="pct"/>
            <w:gridSpan w:val="2"/>
            <w:vAlign w:val="center"/>
          </w:tcPr>
          <w:p w14:paraId="4276CC6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ERP接口覆盖不足或账期/过账规则未确认。</w:t>
            </w:r>
          </w:p>
        </w:tc>
        <w:tc>
          <w:tcPr>
            <w:tcW w:w="1088" w:type="pct"/>
            <w:vAlign w:val="center"/>
          </w:tcPr>
          <w:p w14:paraId="42F47C3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影响交货单、过账、补偿和财务对账。</w:t>
            </w:r>
          </w:p>
        </w:tc>
        <w:tc>
          <w:tcPr>
            <w:tcW w:w="1700" w:type="pct"/>
            <w:gridSpan w:val="2"/>
            <w:vAlign w:val="center"/>
          </w:tcPr>
          <w:p w14:paraId="2C71647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接口设计冻结前完成字段、状态、错误码、补偿和对账样例确认。</w:t>
            </w:r>
          </w:p>
        </w:tc>
        <w:tc>
          <w:tcPr>
            <w:tcW w:w="698" w:type="pct"/>
            <w:vAlign w:val="center"/>
          </w:tcPr>
          <w:p w14:paraId="4287154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业务/财务/ERP接口方</w:t>
            </w:r>
          </w:p>
        </w:tc>
      </w:tr>
      <w:tr w14:paraId="52B71216">
        <w:trPr>
          <w:trHeight w:val="0" w:hRule="atLeast"/>
          <w:jc w:val="center"/>
        </w:trPr>
        <w:tc>
          <w:tcPr>
            <w:tcW w:w="300" w:type="pct"/>
            <w:vAlign w:val="center"/>
          </w:tcPr>
          <w:p w14:paraId="4EBBA34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R-02</w:t>
            </w:r>
          </w:p>
        </w:tc>
        <w:tc>
          <w:tcPr>
            <w:tcW w:w="1212" w:type="pct"/>
            <w:gridSpan w:val="2"/>
            <w:vAlign w:val="center"/>
          </w:tcPr>
          <w:p w14:paraId="66197E3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门禁集成方向和超时策略迟迟未定。</w:t>
            </w:r>
          </w:p>
        </w:tc>
        <w:tc>
          <w:tcPr>
            <w:tcW w:w="1088" w:type="pct"/>
            <w:vAlign w:val="center"/>
          </w:tcPr>
          <w:p w14:paraId="26B7F28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影响入出厂核验、现场排队效率和安全边界。</w:t>
            </w:r>
          </w:p>
        </w:tc>
        <w:tc>
          <w:tcPr>
            <w:tcW w:w="1700" w:type="pct"/>
            <w:gridSpan w:val="2"/>
            <w:vAlign w:val="center"/>
          </w:tcPr>
          <w:p w14:paraId="670D140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组织门禁专题评审，明确调用方向、默认策略和人工放行规则。</w:t>
            </w:r>
          </w:p>
        </w:tc>
        <w:tc>
          <w:tcPr>
            <w:tcW w:w="698" w:type="pct"/>
            <w:vAlign w:val="center"/>
          </w:tcPr>
          <w:p w14:paraId="014D4BF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信息化/门禁厂商/安保</w:t>
            </w:r>
          </w:p>
        </w:tc>
      </w:tr>
      <w:tr w14:paraId="5B5B0865">
        <w:trPr>
          <w:trHeight w:val="0" w:hRule="atLeast"/>
          <w:jc w:val="center"/>
        </w:trPr>
        <w:tc>
          <w:tcPr>
            <w:tcW w:w="300" w:type="pct"/>
            <w:vAlign w:val="center"/>
          </w:tcPr>
          <w:p w14:paraId="2D760D0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R-03</w:t>
            </w:r>
          </w:p>
        </w:tc>
        <w:tc>
          <w:tcPr>
            <w:tcW w:w="1212" w:type="pct"/>
            <w:gridSpan w:val="2"/>
            <w:vAlign w:val="center"/>
          </w:tcPr>
          <w:p w14:paraId="119236D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设备到货、施工、网络供电条件滞后。</w:t>
            </w:r>
          </w:p>
        </w:tc>
        <w:tc>
          <w:tcPr>
            <w:tcW w:w="1088" w:type="pct"/>
            <w:vAlign w:val="center"/>
          </w:tcPr>
          <w:p w14:paraId="1157B9C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影响现场联调和上线窗口。</w:t>
            </w:r>
          </w:p>
        </w:tc>
        <w:tc>
          <w:tcPr>
            <w:tcW w:w="1700" w:type="pct"/>
            <w:gridSpan w:val="2"/>
            <w:vAlign w:val="center"/>
          </w:tcPr>
          <w:p w14:paraId="4A14701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建立设备施工专项计划，按周跟踪到货、安装、点检和联调。</w:t>
            </w:r>
          </w:p>
        </w:tc>
        <w:tc>
          <w:tcPr>
            <w:tcW w:w="698" w:type="pct"/>
            <w:vAlign w:val="center"/>
          </w:tcPr>
          <w:p w14:paraId="6609E26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设备/施工单位</w:t>
            </w:r>
          </w:p>
        </w:tc>
      </w:tr>
      <w:tr w14:paraId="27864A77">
        <w:trPr>
          <w:trHeight w:val="0" w:hRule="atLeast"/>
          <w:jc w:val="center"/>
        </w:trPr>
        <w:tc>
          <w:tcPr>
            <w:tcW w:w="300" w:type="pct"/>
            <w:vAlign w:val="center"/>
          </w:tcPr>
          <w:p w14:paraId="5BC7C43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R-04</w:t>
            </w:r>
          </w:p>
        </w:tc>
        <w:tc>
          <w:tcPr>
            <w:tcW w:w="1212" w:type="pct"/>
            <w:gridSpan w:val="2"/>
            <w:vAlign w:val="center"/>
          </w:tcPr>
          <w:p w14:paraId="7D2B43B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小程序账号、域名、隐私政策或审核材料准备不足。</w:t>
            </w:r>
          </w:p>
        </w:tc>
        <w:tc>
          <w:tcPr>
            <w:tcW w:w="1088" w:type="pct"/>
            <w:vAlign w:val="center"/>
          </w:tcPr>
          <w:p w14:paraId="720DC07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影响体验版测试、提审和正式发布。</w:t>
            </w:r>
          </w:p>
        </w:tc>
        <w:tc>
          <w:tcPr>
            <w:tcW w:w="1700" w:type="pct"/>
            <w:gridSpan w:val="2"/>
            <w:vAlign w:val="center"/>
          </w:tcPr>
          <w:p w14:paraId="09F1573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开发启动前完成主体认证、合法域名、模板消息、隐私协议和测试账号。</w:t>
            </w:r>
          </w:p>
        </w:tc>
        <w:tc>
          <w:tcPr>
            <w:tcW w:w="698" w:type="pct"/>
            <w:vAlign w:val="center"/>
          </w:tcPr>
          <w:p w14:paraId="4B543DC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产品/信息化</w:t>
            </w:r>
          </w:p>
        </w:tc>
      </w:tr>
      <w:tr w14:paraId="59014E12">
        <w:trPr>
          <w:trHeight w:val="0" w:hRule="atLeast"/>
          <w:jc w:val="center"/>
        </w:trPr>
        <w:tc>
          <w:tcPr>
            <w:tcW w:w="300" w:type="pct"/>
            <w:vAlign w:val="center"/>
          </w:tcPr>
          <w:p w14:paraId="15A7CF4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R-05</w:t>
            </w:r>
          </w:p>
        </w:tc>
        <w:tc>
          <w:tcPr>
            <w:tcW w:w="1212" w:type="pct"/>
            <w:gridSpan w:val="2"/>
            <w:vAlign w:val="center"/>
          </w:tcPr>
          <w:p w14:paraId="6A70F22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主数据质量不足。</w:t>
            </w:r>
          </w:p>
        </w:tc>
        <w:tc>
          <w:tcPr>
            <w:tcW w:w="1088" w:type="pct"/>
            <w:vAlign w:val="center"/>
          </w:tcPr>
          <w:p w14:paraId="40255B1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导致预约、门禁、称重、过账频繁失败。</w:t>
            </w:r>
          </w:p>
        </w:tc>
        <w:tc>
          <w:tcPr>
            <w:tcW w:w="1700" w:type="pct"/>
            <w:gridSpan w:val="2"/>
            <w:vAlign w:val="center"/>
          </w:tcPr>
          <w:p w14:paraId="270905D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上线前完成客户、承运商、车辆、司押、物料、装运点和设备字典抽样核验。</w:t>
            </w:r>
          </w:p>
        </w:tc>
        <w:tc>
          <w:tcPr>
            <w:tcW w:w="698" w:type="pct"/>
            <w:vAlign w:val="center"/>
          </w:tcPr>
          <w:p w14:paraId="1538450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业务/实施/DBA</w:t>
            </w:r>
          </w:p>
        </w:tc>
      </w:tr>
      <w:tr w14:paraId="418A1118">
        <w:trPr>
          <w:trHeight w:val="0" w:hRule="atLeast"/>
          <w:jc w:val="center"/>
        </w:trPr>
        <w:tc>
          <w:tcPr>
            <w:tcW w:w="300" w:type="pct"/>
            <w:vAlign w:val="center"/>
          </w:tcPr>
          <w:p w14:paraId="3D8746A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R-06</w:t>
            </w:r>
          </w:p>
        </w:tc>
        <w:tc>
          <w:tcPr>
            <w:tcW w:w="1212" w:type="pct"/>
            <w:gridSpan w:val="2"/>
            <w:vAlign w:val="center"/>
          </w:tcPr>
          <w:p w14:paraId="1755212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现场用户培训不足。</w:t>
            </w:r>
          </w:p>
        </w:tc>
        <w:tc>
          <w:tcPr>
            <w:tcW w:w="1088" w:type="pct"/>
            <w:vAlign w:val="center"/>
          </w:tcPr>
          <w:p w14:paraId="541D299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上线后出现大量误操作和人工绕行。</w:t>
            </w:r>
          </w:p>
        </w:tc>
        <w:tc>
          <w:tcPr>
            <w:tcW w:w="1700" w:type="pct"/>
            <w:gridSpan w:val="2"/>
            <w:vAlign w:val="center"/>
          </w:tcPr>
          <w:p w14:paraId="474E847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按岗位培训并组织试操作，关键岗位签字确认。</w:t>
            </w:r>
          </w:p>
        </w:tc>
        <w:tc>
          <w:tcPr>
            <w:tcW w:w="698" w:type="pct"/>
            <w:vAlign w:val="center"/>
          </w:tcPr>
          <w:p w14:paraId="5AF5AF1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业务/实施顾问</w:t>
            </w:r>
          </w:p>
        </w:tc>
      </w:tr>
      <w:tr w14:paraId="6C6BE947">
        <w:trPr>
          <w:trHeight w:val="0" w:hRule="atLeast"/>
          <w:jc w:val="center"/>
        </w:trPr>
        <w:tc>
          <w:tcPr>
            <w:tcW w:w="300" w:type="pct"/>
            <w:vAlign w:val="center"/>
          </w:tcPr>
          <w:p w14:paraId="023D831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R-07</w:t>
            </w:r>
          </w:p>
        </w:tc>
        <w:tc>
          <w:tcPr>
            <w:tcW w:w="1212" w:type="pct"/>
            <w:gridSpan w:val="2"/>
            <w:vAlign w:val="center"/>
          </w:tcPr>
          <w:p w14:paraId="382A881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应急和回退未演练。</w:t>
            </w:r>
          </w:p>
        </w:tc>
        <w:tc>
          <w:tcPr>
            <w:tcW w:w="1088" w:type="pct"/>
            <w:vAlign w:val="center"/>
          </w:tcPr>
          <w:p w14:paraId="2B102E7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上线故障时无法有序恢复。</w:t>
            </w:r>
          </w:p>
        </w:tc>
        <w:tc>
          <w:tcPr>
            <w:tcW w:w="1700" w:type="pct"/>
            <w:gridSpan w:val="2"/>
            <w:vAlign w:val="center"/>
          </w:tcPr>
          <w:p w14:paraId="7A92E97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上线前完成断网、ERP失败、门禁失败、衡器异常和小程序消息失败演练。</w:t>
            </w:r>
          </w:p>
        </w:tc>
        <w:tc>
          <w:tcPr>
            <w:tcW w:w="698" w:type="pct"/>
            <w:vAlign w:val="center"/>
          </w:tcPr>
          <w:p w14:paraId="373F14A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项目经理/运维</w:t>
            </w:r>
          </w:p>
        </w:tc>
      </w:tr>
      <w:tr w14:paraId="43461EC4">
        <w:trPr>
          <w:trHeight w:val="0" w:hRule="atLeast"/>
          <w:tblHeader/>
          <w:jc w:val="center"/>
        </w:trPr>
        <w:tc>
          <w:tcPr>
            <w:tcW w:w="918" w:type="pct"/>
            <w:gridSpan w:val="2"/>
            <w:shd w:val="clear" w:color="auto" w:fill="F2F4F7"/>
            <w:vAlign w:val="center"/>
          </w:tcPr>
          <w:p w14:paraId="7204466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</w:rPr>
              <w:t>台账</w:t>
            </w:r>
          </w:p>
        </w:tc>
        <w:tc>
          <w:tcPr>
            <w:tcW w:w="2530" w:type="pct"/>
            <w:gridSpan w:val="3"/>
            <w:shd w:val="clear" w:color="auto" w:fill="F2F4F7"/>
            <w:vAlign w:val="center"/>
          </w:tcPr>
          <w:p w14:paraId="03DF647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</w:rPr>
              <w:t>记录字段</w:t>
            </w:r>
          </w:p>
        </w:tc>
        <w:tc>
          <w:tcPr>
            <w:tcW w:w="1551" w:type="pct"/>
            <w:gridSpan w:val="2"/>
            <w:shd w:val="clear" w:color="auto" w:fill="F2F4F7"/>
            <w:vAlign w:val="center"/>
          </w:tcPr>
          <w:p w14:paraId="0B9A094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</w:rPr>
              <w:t>关闭要求</w:t>
            </w:r>
          </w:p>
        </w:tc>
      </w:tr>
      <w:tr w14:paraId="541A454A">
        <w:trPr>
          <w:trHeight w:val="0" w:hRule="atLeast"/>
          <w:jc w:val="center"/>
        </w:trPr>
        <w:tc>
          <w:tcPr>
            <w:tcW w:w="918" w:type="pct"/>
            <w:gridSpan w:val="2"/>
            <w:vAlign w:val="center"/>
          </w:tcPr>
          <w:p w14:paraId="4CC7C6E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风险台账</w:t>
            </w:r>
          </w:p>
        </w:tc>
        <w:tc>
          <w:tcPr>
            <w:tcW w:w="2530" w:type="pct"/>
            <w:gridSpan w:val="3"/>
            <w:vAlign w:val="center"/>
          </w:tcPr>
          <w:p w14:paraId="513BAA8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风险编号、等级、触发条件、影响、应对策略、责任人、计划日期、状态。</w:t>
            </w:r>
          </w:p>
        </w:tc>
        <w:tc>
          <w:tcPr>
            <w:tcW w:w="1551" w:type="pct"/>
            <w:gridSpan w:val="2"/>
            <w:vAlign w:val="center"/>
          </w:tcPr>
          <w:p w14:paraId="1D8EAD0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风险已消除、转为问题、被接受或有明确监控措施。</w:t>
            </w:r>
          </w:p>
        </w:tc>
      </w:tr>
      <w:tr w14:paraId="44C22056">
        <w:trPr>
          <w:trHeight w:val="0" w:hRule="atLeast"/>
          <w:jc w:val="center"/>
        </w:trPr>
        <w:tc>
          <w:tcPr>
            <w:tcW w:w="918" w:type="pct"/>
            <w:gridSpan w:val="2"/>
            <w:vAlign w:val="center"/>
          </w:tcPr>
          <w:p w14:paraId="61C165C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问题台账</w:t>
            </w:r>
          </w:p>
        </w:tc>
        <w:tc>
          <w:tcPr>
            <w:tcW w:w="2530" w:type="pct"/>
            <w:gridSpan w:val="3"/>
            <w:vAlign w:val="center"/>
          </w:tcPr>
          <w:p w14:paraId="12433D0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问题编号、来源、描述、影响、责任人、解决方案、计划日期、关闭证据。</w:t>
            </w:r>
          </w:p>
        </w:tc>
        <w:tc>
          <w:tcPr>
            <w:tcW w:w="1551" w:type="pct"/>
            <w:gridSpan w:val="2"/>
            <w:vAlign w:val="center"/>
          </w:tcPr>
          <w:p w14:paraId="477D089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责任方确认解决，必要时业务/信息化复核。</w:t>
            </w:r>
          </w:p>
        </w:tc>
      </w:tr>
      <w:tr w14:paraId="503C0DBE">
        <w:trPr>
          <w:trHeight w:val="0" w:hRule="atLeast"/>
          <w:jc w:val="center"/>
        </w:trPr>
        <w:tc>
          <w:tcPr>
            <w:tcW w:w="918" w:type="pct"/>
            <w:gridSpan w:val="2"/>
            <w:vAlign w:val="center"/>
          </w:tcPr>
          <w:p w14:paraId="3D901A7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决策台账</w:t>
            </w:r>
          </w:p>
        </w:tc>
        <w:tc>
          <w:tcPr>
            <w:tcW w:w="2530" w:type="pct"/>
            <w:gridSpan w:val="3"/>
            <w:vAlign w:val="center"/>
          </w:tcPr>
          <w:p w14:paraId="2473279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决策事项、选项、建议、决策人、决策日期、影响范围。</w:t>
            </w:r>
          </w:p>
        </w:tc>
        <w:tc>
          <w:tcPr>
            <w:tcW w:w="1551" w:type="pct"/>
            <w:gridSpan w:val="2"/>
            <w:vAlign w:val="center"/>
          </w:tcPr>
          <w:p w14:paraId="6806F77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形成明确结论并同步需求、设计、计划或合同。</w:t>
            </w:r>
          </w:p>
        </w:tc>
      </w:tr>
      <w:tr w14:paraId="00FBF73A">
        <w:trPr>
          <w:trHeight w:val="0" w:hRule="atLeast"/>
          <w:jc w:val="center"/>
        </w:trPr>
        <w:tc>
          <w:tcPr>
            <w:tcW w:w="918" w:type="pct"/>
            <w:gridSpan w:val="2"/>
            <w:vAlign w:val="center"/>
          </w:tcPr>
          <w:p w14:paraId="5E15151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依赖台账</w:t>
            </w:r>
          </w:p>
        </w:tc>
        <w:tc>
          <w:tcPr>
            <w:tcW w:w="2530" w:type="pct"/>
            <w:gridSpan w:val="3"/>
            <w:vAlign w:val="center"/>
          </w:tcPr>
          <w:p w14:paraId="7556709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依赖事项、提供方、接收方、输入输出、需要日期、状态。</w:t>
            </w:r>
          </w:p>
        </w:tc>
        <w:tc>
          <w:tcPr>
            <w:tcW w:w="1551" w:type="pct"/>
            <w:gridSpan w:val="2"/>
            <w:vAlign w:val="center"/>
          </w:tcPr>
          <w:p w14:paraId="13B5075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交付物可用并被接收方确认。</w:t>
            </w:r>
          </w:p>
        </w:tc>
      </w:tr>
    </w:tbl>
    <w:p w14:paraId="3D444979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2E74B5"/>
        </w:rPr>
        <w:t>13. 采购与供应商管理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587"/>
        <w:gridCol w:w="4859"/>
        <w:gridCol w:w="2914"/>
      </w:tblGrid>
      <w:tr w14:paraId="399BD797">
        <w:trPr>
          <w:trHeight w:val="0" w:hRule="atLeast"/>
          <w:tblHeader/>
        </w:trPr>
        <w:tc>
          <w:tcPr>
            <w:tcW w:w="1587" w:type="dxa"/>
            <w:shd w:val="clear" w:color="auto" w:fill="F2F4F7"/>
            <w:vAlign w:val="center"/>
          </w:tcPr>
          <w:p w14:paraId="2F01460E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管理对象</w:t>
            </w:r>
          </w:p>
        </w:tc>
        <w:tc>
          <w:tcPr>
            <w:tcW w:w="4859" w:type="dxa"/>
            <w:shd w:val="clear" w:color="auto" w:fill="F2F4F7"/>
            <w:vAlign w:val="center"/>
          </w:tcPr>
          <w:p w14:paraId="65ABE48E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管理要求</w:t>
            </w:r>
          </w:p>
        </w:tc>
        <w:tc>
          <w:tcPr>
            <w:tcW w:w="2914" w:type="dxa"/>
            <w:shd w:val="clear" w:color="auto" w:fill="F2F4F7"/>
            <w:vAlign w:val="center"/>
          </w:tcPr>
          <w:p w14:paraId="758290FC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验收证据</w:t>
            </w:r>
          </w:p>
        </w:tc>
      </w:tr>
      <w:tr w14:paraId="6849DE88">
        <w:trPr>
          <w:trHeight w:val="0" w:hRule="atLeast"/>
        </w:trPr>
        <w:tc>
          <w:tcPr>
            <w:tcW w:w="1587" w:type="dxa"/>
            <w:vAlign w:val="center"/>
          </w:tcPr>
          <w:p w14:paraId="4948D83F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  <w:szCs w:val="18"/>
              </w:rPr>
              <w:t>软件开发供应商</w:t>
            </w:r>
          </w:p>
        </w:tc>
        <w:tc>
          <w:tcPr>
            <w:tcW w:w="4859" w:type="dxa"/>
            <w:vAlign w:val="center"/>
          </w:tcPr>
          <w:p w14:paraId="42482678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  <w:szCs w:val="18"/>
              </w:rPr>
              <w:t>按WBS提交开发计划、版本清单、部署说明、接口说明、测试记录和缺陷修复计划。</w:t>
            </w:r>
          </w:p>
        </w:tc>
        <w:tc>
          <w:tcPr>
            <w:tcW w:w="2914" w:type="dxa"/>
            <w:vAlign w:val="center"/>
          </w:tcPr>
          <w:p w14:paraId="29B6D070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  <w:szCs w:val="18"/>
              </w:rPr>
              <w:t>版本交付单、测试报告、缺陷关闭记录。</w:t>
            </w:r>
          </w:p>
        </w:tc>
      </w:tr>
      <w:tr w14:paraId="3E267914">
        <w:trPr>
          <w:trHeight w:val="0" w:hRule="atLeast"/>
        </w:trPr>
        <w:tc>
          <w:tcPr>
            <w:tcW w:w="1587" w:type="dxa"/>
            <w:vAlign w:val="center"/>
          </w:tcPr>
          <w:p w14:paraId="5345ED71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  <w:szCs w:val="18"/>
              </w:rPr>
              <w:t>ERP/接口供应商</w:t>
            </w:r>
          </w:p>
        </w:tc>
        <w:tc>
          <w:tcPr>
            <w:tcW w:w="4859" w:type="dxa"/>
            <w:vAlign w:val="center"/>
          </w:tcPr>
          <w:p w14:paraId="58400E20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  <w:szCs w:val="18"/>
              </w:rPr>
              <w:t>配合接口字段、报文、错误码、账期策略、回执和对账规则确认。</w:t>
            </w:r>
          </w:p>
        </w:tc>
        <w:tc>
          <w:tcPr>
            <w:tcW w:w="2914" w:type="dxa"/>
            <w:vAlign w:val="center"/>
          </w:tcPr>
          <w:p w14:paraId="70E1360A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  <w:szCs w:val="18"/>
              </w:rPr>
              <w:t>接口确认单、联调报告、样例报文。</w:t>
            </w:r>
          </w:p>
        </w:tc>
      </w:tr>
      <w:tr w14:paraId="56640A2D">
        <w:trPr>
          <w:trHeight w:val="0" w:hRule="atLeast"/>
        </w:trPr>
        <w:tc>
          <w:tcPr>
            <w:tcW w:w="1587" w:type="dxa"/>
            <w:vAlign w:val="center"/>
          </w:tcPr>
          <w:p w14:paraId="270F9CAB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  <w:szCs w:val="18"/>
              </w:rPr>
              <w:t>门禁/衡器/设备供应商</w:t>
            </w:r>
          </w:p>
        </w:tc>
        <w:tc>
          <w:tcPr>
            <w:tcW w:w="4859" w:type="dxa"/>
            <w:vAlign w:val="center"/>
          </w:tcPr>
          <w:p w14:paraId="2086A8A4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  <w:szCs w:val="18"/>
              </w:rPr>
              <w:t>按现场点位完成设备到货、安装、调试、联动、培训和故障响应。</w:t>
            </w:r>
          </w:p>
        </w:tc>
        <w:tc>
          <w:tcPr>
            <w:tcW w:w="2914" w:type="dxa"/>
            <w:vAlign w:val="center"/>
          </w:tcPr>
          <w:p w14:paraId="6D3B9D60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  <w:szCs w:val="18"/>
              </w:rPr>
              <w:t>设备清单、点检表、联调记录、培训记录。</w:t>
            </w:r>
          </w:p>
        </w:tc>
      </w:tr>
      <w:tr w14:paraId="6A3C857B">
        <w:trPr>
          <w:trHeight w:val="0" w:hRule="atLeast"/>
        </w:trPr>
        <w:tc>
          <w:tcPr>
            <w:tcW w:w="1587" w:type="dxa"/>
            <w:vAlign w:val="center"/>
          </w:tcPr>
          <w:p w14:paraId="2136EFE5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  <w:szCs w:val="18"/>
              </w:rPr>
              <w:t>小程序相关服务</w:t>
            </w:r>
          </w:p>
        </w:tc>
        <w:tc>
          <w:tcPr>
            <w:tcW w:w="4859" w:type="dxa"/>
            <w:vAlign w:val="center"/>
          </w:tcPr>
          <w:p w14:paraId="269E0E63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  <w:szCs w:val="18"/>
              </w:rPr>
              <w:t>完成小程序主体、域名、证书、订阅消息、文件服务和隐私合规配置。</w:t>
            </w:r>
          </w:p>
        </w:tc>
        <w:tc>
          <w:tcPr>
            <w:tcW w:w="2914" w:type="dxa"/>
            <w:vAlign w:val="center"/>
          </w:tcPr>
          <w:p w14:paraId="17A74A4E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  <w:szCs w:val="18"/>
              </w:rPr>
              <w:t>微信后台配置截图、审核通过记录、隐私协议。</w:t>
            </w:r>
          </w:p>
        </w:tc>
      </w:tr>
      <w:tr w14:paraId="53380B1B">
        <w:trPr>
          <w:trHeight w:val="0" w:hRule="atLeast"/>
        </w:trPr>
        <w:tc>
          <w:tcPr>
            <w:tcW w:w="1587" w:type="dxa"/>
            <w:vAlign w:val="center"/>
          </w:tcPr>
          <w:p w14:paraId="59591851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  <w:szCs w:val="18"/>
              </w:rPr>
              <w:t>施工单位</w:t>
            </w:r>
          </w:p>
        </w:tc>
        <w:tc>
          <w:tcPr>
            <w:tcW w:w="4859" w:type="dxa"/>
            <w:vAlign w:val="center"/>
          </w:tcPr>
          <w:p w14:paraId="600286D6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  <w:szCs w:val="18"/>
              </w:rPr>
              <w:t>按现场施工计划完成土建、供电、网络、管线、设备安装配合，遵守安全管理要求。</w:t>
            </w:r>
          </w:p>
        </w:tc>
        <w:tc>
          <w:tcPr>
            <w:tcW w:w="2914" w:type="dxa"/>
            <w:vAlign w:val="center"/>
          </w:tcPr>
          <w:p w14:paraId="33611B85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  <w:szCs w:val="18"/>
              </w:rPr>
              <w:t>施工记录、验收单、整改关闭记录。</w:t>
            </w:r>
          </w:p>
        </w:tc>
      </w:tr>
    </w:tbl>
    <w:p w14:paraId="21A1F4E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firstLine="480" w:firstLineChars="200"/>
        <w:textAlignment w:val="auto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>供应商付款、阶段验收和合同变更建议与交付物绑定，避免仅按时间节点付款。关键付款条件宜包含需求/设计确认、主链路开发完成、接口联调通过、UAT通过、上线稳定期通过和最终验收。</w:t>
      </w:r>
    </w:p>
    <w:p w14:paraId="4D514033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2E74B5"/>
        </w:rPr>
        <w:t>14. 数据、安全与合规管理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493"/>
        <w:gridCol w:w="5040"/>
        <w:gridCol w:w="2827"/>
      </w:tblGrid>
      <w:tr w14:paraId="09ED3A86">
        <w:trPr>
          <w:trHeight w:val="0" w:hRule="atLeast"/>
          <w:tblHeader/>
        </w:trPr>
        <w:tc>
          <w:tcPr>
            <w:tcW w:w="1493" w:type="dxa"/>
            <w:shd w:val="clear" w:color="auto" w:fill="F2F4F7"/>
            <w:vAlign w:val="center"/>
          </w:tcPr>
          <w:p w14:paraId="509ED8CE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管理域</w:t>
            </w:r>
          </w:p>
        </w:tc>
        <w:tc>
          <w:tcPr>
            <w:tcW w:w="5040" w:type="dxa"/>
            <w:shd w:val="clear" w:color="auto" w:fill="F2F4F7"/>
            <w:vAlign w:val="center"/>
          </w:tcPr>
          <w:p w14:paraId="20E4ACF5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管理要求</w:t>
            </w:r>
          </w:p>
        </w:tc>
        <w:tc>
          <w:tcPr>
            <w:tcW w:w="2827" w:type="dxa"/>
            <w:shd w:val="clear" w:color="auto" w:fill="F2F4F7"/>
            <w:vAlign w:val="center"/>
          </w:tcPr>
          <w:p w14:paraId="43EBEFD7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检查方式</w:t>
            </w:r>
          </w:p>
        </w:tc>
      </w:tr>
      <w:tr w14:paraId="5615BC45">
        <w:trPr>
          <w:trHeight w:val="0" w:hRule="atLeast"/>
        </w:trPr>
        <w:tc>
          <w:tcPr>
            <w:tcW w:w="1493" w:type="dxa"/>
            <w:vAlign w:val="center"/>
          </w:tcPr>
          <w:p w14:paraId="7F04B5D2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数据初始化</w:t>
            </w:r>
          </w:p>
        </w:tc>
        <w:tc>
          <w:tcPr>
            <w:tcW w:w="5040" w:type="dxa"/>
            <w:vAlign w:val="center"/>
          </w:tcPr>
          <w:p w14:paraId="30677545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客户、承运商、车辆、司机、押运员、物料、装运点、门点、衡器、角色、参数和字典按模板初始化。</w:t>
            </w:r>
          </w:p>
        </w:tc>
        <w:tc>
          <w:tcPr>
            <w:tcW w:w="2827" w:type="dxa"/>
            <w:vAlign w:val="center"/>
          </w:tcPr>
          <w:p w14:paraId="384445DF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导入报告、抽样核验、差异清单。</w:t>
            </w:r>
          </w:p>
        </w:tc>
      </w:tr>
      <w:tr w14:paraId="2292165E">
        <w:trPr>
          <w:trHeight w:val="0" w:hRule="atLeast"/>
        </w:trPr>
        <w:tc>
          <w:tcPr>
            <w:tcW w:w="1493" w:type="dxa"/>
            <w:vAlign w:val="center"/>
          </w:tcPr>
          <w:p w14:paraId="5730224F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数据权限</w:t>
            </w:r>
          </w:p>
        </w:tc>
        <w:tc>
          <w:tcPr>
            <w:tcW w:w="5040" w:type="dxa"/>
            <w:vAlign w:val="center"/>
          </w:tcPr>
          <w:p w14:paraId="48E76763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按客户、承运商、岗位、门点、装运点、衡器、业务类型配置数据范围。</w:t>
            </w:r>
          </w:p>
        </w:tc>
        <w:tc>
          <w:tcPr>
            <w:tcW w:w="2827" w:type="dxa"/>
            <w:vAlign w:val="center"/>
          </w:tcPr>
          <w:p w14:paraId="73A67404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权限核查表、越权访问测试。</w:t>
            </w:r>
          </w:p>
        </w:tc>
      </w:tr>
      <w:tr w14:paraId="4A3B70F0">
        <w:trPr>
          <w:trHeight w:val="0" w:hRule="atLeast"/>
        </w:trPr>
        <w:tc>
          <w:tcPr>
            <w:tcW w:w="1493" w:type="dxa"/>
            <w:vAlign w:val="center"/>
          </w:tcPr>
          <w:p w14:paraId="26C60734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敏感信息</w:t>
            </w:r>
          </w:p>
        </w:tc>
        <w:tc>
          <w:tcPr>
            <w:tcW w:w="5040" w:type="dxa"/>
            <w:vAlign w:val="center"/>
          </w:tcPr>
          <w:p w14:paraId="379233C7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手机号、身份证、证照、照片、签名、视频索引、接口报文按权限脱敏和留存。</w:t>
            </w:r>
          </w:p>
        </w:tc>
        <w:tc>
          <w:tcPr>
            <w:tcW w:w="2827" w:type="dxa"/>
            <w:vAlign w:val="center"/>
          </w:tcPr>
          <w:p w14:paraId="5087DB01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脱敏抽查、日志检查、导出权限检查。</w:t>
            </w:r>
          </w:p>
        </w:tc>
      </w:tr>
      <w:tr w14:paraId="291E5BC3">
        <w:trPr>
          <w:trHeight w:val="0" w:hRule="atLeast"/>
        </w:trPr>
        <w:tc>
          <w:tcPr>
            <w:tcW w:w="1493" w:type="dxa"/>
            <w:vAlign w:val="center"/>
          </w:tcPr>
          <w:p w14:paraId="412B390B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接口安全</w:t>
            </w:r>
          </w:p>
        </w:tc>
        <w:tc>
          <w:tcPr>
            <w:tcW w:w="5040" w:type="dxa"/>
            <w:vAlign w:val="center"/>
          </w:tcPr>
          <w:p w14:paraId="62D811C1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接口鉴权、时间戳、签名、防重放、幂等键、IP白名单和密钥轮换。</w:t>
            </w:r>
          </w:p>
        </w:tc>
        <w:tc>
          <w:tcPr>
            <w:tcW w:w="2827" w:type="dxa"/>
            <w:vAlign w:val="center"/>
          </w:tcPr>
          <w:p w14:paraId="4D46FE83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接口安全测试、配置检查。</w:t>
            </w:r>
          </w:p>
        </w:tc>
      </w:tr>
      <w:tr w14:paraId="4F70161A">
        <w:trPr>
          <w:trHeight w:val="0" w:hRule="atLeast"/>
        </w:trPr>
        <w:tc>
          <w:tcPr>
            <w:tcW w:w="1493" w:type="dxa"/>
            <w:vAlign w:val="center"/>
          </w:tcPr>
          <w:p w14:paraId="2FF5FBA1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小程序合规</w:t>
            </w:r>
          </w:p>
        </w:tc>
        <w:tc>
          <w:tcPr>
            <w:tcW w:w="5040" w:type="dxa"/>
            <w:vAlign w:val="center"/>
          </w:tcPr>
          <w:p w14:paraId="563B535C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隐私政策、用户协议、授权弹窗、数据处理说明、测试账号和审核路径完整。</w:t>
            </w:r>
          </w:p>
        </w:tc>
        <w:tc>
          <w:tcPr>
            <w:tcW w:w="2827" w:type="dxa"/>
            <w:vAlign w:val="center"/>
          </w:tcPr>
          <w:p w14:paraId="48AD1050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微信审核材料、体验版测试、隐私授权截图。</w:t>
            </w:r>
          </w:p>
        </w:tc>
      </w:tr>
      <w:tr w14:paraId="2FB2B783">
        <w:trPr>
          <w:trHeight w:val="0" w:hRule="atLeast"/>
        </w:trPr>
        <w:tc>
          <w:tcPr>
            <w:tcW w:w="1493" w:type="dxa"/>
            <w:vAlign w:val="center"/>
          </w:tcPr>
          <w:p w14:paraId="3261E250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审计</w:t>
            </w:r>
          </w:p>
        </w:tc>
        <w:tc>
          <w:tcPr>
            <w:tcW w:w="5040" w:type="dxa"/>
            <w:vAlign w:val="center"/>
          </w:tcPr>
          <w:p w14:paraId="4F76208A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人工放行、转手工称重、关闭ERP异常、修改资质、调整预约资源等高风险操作必须留痕。</w:t>
            </w:r>
          </w:p>
        </w:tc>
        <w:tc>
          <w:tcPr>
            <w:tcW w:w="2827" w:type="dxa"/>
            <w:vAlign w:val="center"/>
          </w:tcPr>
          <w:p w14:paraId="16F268A5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审计日志抽查、异常处理记录。</w:t>
            </w:r>
          </w:p>
        </w:tc>
      </w:tr>
    </w:tbl>
    <w:p w14:paraId="253E8310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2E74B5"/>
        </w:rPr>
        <w:t>15. 测试、UAT与上线准出</w:t>
      </w:r>
    </w:p>
    <w:tbl>
      <w:tblPr>
        <w:tblStyle w:val="33"/>
        <w:tblW w:w="4997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008"/>
        <w:gridCol w:w="5479"/>
        <w:gridCol w:w="3107"/>
      </w:tblGrid>
      <w:tr w14:paraId="74AC3A48">
        <w:trPr>
          <w:trHeight w:val="0" w:hRule="atLeast"/>
          <w:tblHeader/>
          <w:jc w:val="center"/>
        </w:trPr>
        <w:tc>
          <w:tcPr>
            <w:tcW w:w="525" w:type="pct"/>
            <w:shd w:val="clear" w:color="auto" w:fill="F2F4F7"/>
            <w:vAlign w:val="center"/>
          </w:tcPr>
          <w:p w14:paraId="347FAFD7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</w:rPr>
              <w:t>测试阶段</w:t>
            </w:r>
          </w:p>
        </w:tc>
        <w:tc>
          <w:tcPr>
            <w:tcW w:w="2855" w:type="pct"/>
            <w:shd w:val="clear" w:color="auto" w:fill="F2F4F7"/>
            <w:vAlign w:val="center"/>
          </w:tcPr>
          <w:p w14:paraId="00F66850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</w:rPr>
              <w:t>覆盖范围</w:t>
            </w:r>
          </w:p>
        </w:tc>
        <w:tc>
          <w:tcPr>
            <w:tcW w:w="1619" w:type="pct"/>
            <w:shd w:val="clear" w:color="auto" w:fill="F2F4F7"/>
            <w:vAlign w:val="center"/>
          </w:tcPr>
          <w:p w14:paraId="2C96E63E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</w:rPr>
              <w:t>退出标准</w:t>
            </w:r>
          </w:p>
        </w:tc>
      </w:tr>
      <w:tr w14:paraId="167CF79A">
        <w:trPr>
          <w:trHeight w:val="0" w:hRule="atLeast"/>
          <w:jc w:val="center"/>
        </w:trPr>
        <w:tc>
          <w:tcPr>
            <w:tcW w:w="525" w:type="pct"/>
            <w:vAlign w:val="center"/>
          </w:tcPr>
          <w:p w14:paraId="2BE7EEA5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单元测试</w:t>
            </w:r>
          </w:p>
        </w:tc>
        <w:tc>
          <w:tcPr>
            <w:tcW w:w="2855" w:type="pct"/>
            <w:vAlign w:val="center"/>
          </w:tcPr>
          <w:p w14:paraId="5CA76B6E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核心服务、状态机、幂等、权限、异常补偿、参数规则。</w:t>
            </w:r>
          </w:p>
        </w:tc>
        <w:tc>
          <w:tcPr>
            <w:tcW w:w="1619" w:type="pct"/>
            <w:vAlign w:val="center"/>
          </w:tcPr>
          <w:p w14:paraId="25718B87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关键逻辑通过，自测问题关闭。</w:t>
            </w:r>
          </w:p>
        </w:tc>
      </w:tr>
      <w:tr w14:paraId="35CF82F9">
        <w:trPr>
          <w:trHeight w:val="0" w:hRule="atLeast"/>
          <w:jc w:val="center"/>
        </w:trPr>
        <w:tc>
          <w:tcPr>
            <w:tcW w:w="525" w:type="pct"/>
            <w:vAlign w:val="center"/>
          </w:tcPr>
          <w:p w14:paraId="5CF6A7D1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系统测试</w:t>
            </w:r>
          </w:p>
        </w:tc>
        <w:tc>
          <w:tcPr>
            <w:tcW w:w="2855" w:type="pct"/>
            <w:vAlign w:val="center"/>
          </w:tcPr>
          <w:p w14:paraId="6D171D15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订单、预约、资质、门禁、安检、称重、ERP、报表、小程序、权限。</w:t>
            </w:r>
          </w:p>
        </w:tc>
        <w:tc>
          <w:tcPr>
            <w:tcW w:w="1619" w:type="pct"/>
            <w:vAlign w:val="center"/>
          </w:tcPr>
          <w:p w14:paraId="0416C955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Blocker/Critical缺陷为0，Major缺陷不影响主流程。</w:t>
            </w:r>
          </w:p>
        </w:tc>
      </w:tr>
      <w:tr w14:paraId="2531B1C9">
        <w:trPr>
          <w:trHeight w:val="0" w:hRule="atLeast"/>
          <w:jc w:val="center"/>
        </w:trPr>
        <w:tc>
          <w:tcPr>
            <w:tcW w:w="525" w:type="pct"/>
            <w:vAlign w:val="center"/>
          </w:tcPr>
          <w:p w14:paraId="54CBFAF0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接口联调测试</w:t>
            </w:r>
          </w:p>
        </w:tc>
        <w:tc>
          <w:tcPr>
            <w:tcW w:w="2855" w:type="pct"/>
            <w:vAlign w:val="center"/>
          </w:tcPr>
          <w:p w14:paraId="2B1B11BD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ERP、门禁、衡器、LIMS、统一身份、小程序、消息和文件服务。</w:t>
            </w:r>
          </w:p>
        </w:tc>
        <w:tc>
          <w:tcPr>
            <w:tcW w:w="1619" w:type="pct"/>
            <w:vAlign w:val="center"/>
          </w:tcPr>
          <w:p w14:paraId="1E0157F5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主流程、超时、失败、补偿、对账场景通过。</w:t>
            </w:r>
          </w:p>
        </w:tc>
      </w:tr>
      <w:tr w14:paraId="5E98BA5D">
        <w:trPr>
          <w:trHeight w:val="0" w:hRule="atLeast"/>
          <w:jc w:val="center"/>
        </w:trPr>
        <w:tc>
          <w:tcPr>
            <w:tcW w:w="525" w:type="pct"/>
            <w:vAlign w:val="center"/>
          </w:tcPr>
          <w:p w14:paraId="2C0D62F3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设备联调测试</w:t>
            </w:r>
          </w:p>
        </w:tc>
        <w:tc>
          <w:tcPr>
            <w:tcW w:w="2855" w:type="pct"/>
            <w:vAlign w:val="center"/>
          </w:tcPr>
          <w:p w14:paraId="764E3F6C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地磅、道闸、光栅、摄像机、打印机、读卡器、集控大屏。</w:t>
            </w:r>
          </w:p>
        </w:tc>
        <w:tc>
          <w:tcPr>
            <w:tcW w:w="1619" w:type="pct"/>
            <w:vAlign w:val="center"/>
          </w:tcPr>
          <w:p w14:paraId="356CAD0A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设备状态可见，远程控制和异常场景有审计。</w:t>
            </w:r>
          </w:p>
        </w:tc>
      </w:tr>
      <w:tr w14:paraId="01CB18BD">
        <w:trPr>
          <w:trHeight w:val="0" w:hRule="atLeast"/>
          <w:jc w:val="center"/>
        </w:trPr>
        <w:tc>
          <w:tcPr>
            <w:tcW w:w="525" w:type="pct"/>
            <w:vAlign w:val="center"/>
          </w:tcPr>
          <w:p w14:paraId="06A739E5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UAT</w:t>
            </w:r>
          </w:p>
        </w:tc>
        <w:tc>
          <w:tcPr>
            <w:tcW w:w="2855" w:type="pct"/>
            <w:vAlign w:val="center"/>
          </w:tcPr>
          <w:p w14:paraId="7C2E673B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UAT-01至UAT-09，包括销售出厂、采购进厂、资质、称重异常、ERP补偿、门禁异常、应急、权限、小程序。</w:t>
            </w:r>
          </w:p>
        </w:tc>
        <w:tc>
          <w:tcPr>
            <w:tcW w:w="1619" w:type="pct"/>
            <w:vAlign w:val="center"/>
          </w:tcPr>
          <w:p w14:paraId="3CF134A9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关键用户签字，遗留缺陷有审批和处理计划。</w:t>
            </w:r>
          </w:p>
        </w:tc>
      </w:tr>
      <w:tr w14:paraId="33834546">
        <w:trPr>
          <w:trHeight w:val="0" w:hRule="atLeast"/>
          <w:jc w:val="center"/>
        </w:trPr>
        <w:tc>
          <w:tcPr>
            <w:tcW w:w="525" w:type="pct"/>
            <w:vAlign w:val="center"/>
          </w:tcPr>
          <w:p w14:paraId="47FB921D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上线演练</w:t>
            </w:r>
          </w:p>
        </w:tc>
        <w:tc>
          <w:tcPr>
            <w:tcW w:w="2855" w:type="pct"/>
            <w:vAlign w:val="center"/>
          </w:tcPr>
          <w:p w14:paraId="0838FFFE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数据初始化、部署、接口切换、应急台账、回退、值守和用户通知。</w:t>
            </w:r>
          </w:p>
        </w:tc>
        <w:tc>
          <w:tcPr>
            <w:tcW w:w="1619" w:type="pct"/>
            <w:vAlign w:val="center"/>
          </w:tcPr>
          <w:p w14:paraId="29BB8510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演练通过，问题关闭或形成批准的上线风险接受。</w:t>
            </w:r>
          </w:p>
        </w:tc>
      </w:tr>
      <w:tr w14:paraId="069AAE7C">
        <w:trPr>
          <w:trHeight w:val="0" w:hRule="atLeast"/>
          <w:tblHeader/>
          <w:jc w:val="center"/>
        </w:trPr>
        <w:tc>
          <w:tcPr>
            <w:tcW w:w="525" w:type="pct"/>
            <w:shd w:val="clear" w:color="auto" w:fill="F2F4F7"/>
            <w:vAlign w:val="center"/>
          </w:tcPr>
          <w:p w14:paraId="33BCCC30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</w:rPr>
              <w:t>准出项</w:t>
            </w:r>
          </w:p>
        </w:tc>
        <w:tc>
          <w:tcPr>
            <w:tcW w:w="2855" w:type="pct"/>
            <w:shd w:val="clear" w:color="auto" w:fill="F2F4F7"/>
            <w:vAlign w:val="center"/>
          </w:tcPr>
          <w:p w14:paraId="4E3B5DF0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</w:rPr>
              <w:t>准出标准</w:t>
            </w:r>
          </w:p>
        </w:tc>
        <w:tc>
          <w:tcPr>
            <w:tcW w:w="1619" w:type="pct"/>
            <w:shd w:val="clear" w:color="auto" w:fill="F2F4F7"/>
            <w:vAlign w:val="center"/>
          </w:tcPr>
          <w:p w14:paraId="4A57F093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</w:rPr>
              <w:t>责任方</w:t>
            </w:r>
          </w:p>
        </w:tc>
      </w:tr>
      <w:tr w14:paraId="2FD910ED">
        <w:trPr>
          <w:trHeight w:val="0" w:hRule="atLeast"/>
          <w:jc w:val="center"/>
        </w:trPr>
        <w:tc>
          <w:tcPr>
            <w:tcW w:w="525" w:type="pct"/>
            <w:vAlign w:val="center"/>
          </w:tcPr>
          <w:p w14:paraId="739F3E62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P0范围</w:t>
            </w:r>
          </w:p>
        </w:tc>
        <w:tc>
          <w:tcPr>
            <w:tcW w:w="2855" w:type="pct"/>
            <w:vAlign w:val="center"/>
          </w:tcPr>
          <w:p w14:paraId="69F2B4B8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P0需求全部完成；未完成项必须有审批、替代方案和后续计划。</w:t>
            </w:r>
          </w:p>
        </w:tc>
        <w:tc>
          <w:tcPr>
            <w:tcW w:w="1619" w:type="pct"/>
            <w:vAlign w:val="center"/>
          </w:tcPr>
          <w:p w14:paraId="5454A1E0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项目经理/业务负责人</w:t>
            </w:r>
          </w:p>
        </w:tc>
      </w:tr>
      <w:tr w14:paraId="61E6DDB1">
        <w:trPr>
          <w:trHeight w:val="0" w:hRule="atLeast"/>
          <w:jc w:val="center"/>
        </w:trPr>
        <w:tc>
          <w:tcPr>
            <w:tcW w:w="525" w:type="pct"/>
            <w:vAlign w:val="center"/>
          </w:tcPr>
          <w:p w14:paraId="4D374E44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缺陷</w:t>
            </w:r>
          </w:p>
        </w:tc>
        <w:tc>
          <w:tcPr>
            <w:tcW w:w="2855" w:type="pct"/>
            <w:vAlign w:val="center"/>
          </w:tcPr>
          <w:p w14:paraId="794FB5E7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Blocker/Critical缺陷为0；Major缺陷不影响主流程且有规避方案。</w:t>
            </w:r>
          </w:p>
        </w:tc>
        <w:tc>
          <w:tcPr>
            <w:tcW w:w="1619" w:type="pct"/>
            <w:vAlign w:val="center"/>
          </w:tcPr>
          <w:p w14:paraId="1DDEBC2F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测试负责人/开发负责人</w:t>
            </w:r>
          </w:p>
        </w:tc>
      </w:tr>
      <w:tr w14:paraId="1BD95FE3">
        <w:trPr>
          <w:trHeight w:val="0" w:hRule="atLeast"/>
          <w:jc w:val="center"/>
        </w:trPr>
        <w:tc>
          <w:tcPr>
            <w:tcW w:w="525" w:type="pct"/>
            <w:vAlign w:val="center"/>
          </w:tcPr>
          <w:p w14:paraId="5C12C0EC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数据</w:t>
            </w:r>
          </w:p>
        </w:tc>
        <w:tc>
          <w:tcPr>
            <w:tcW w:w="2855" w:type="pct"/>
            <w:vAlign w:val="center"/>
          </w:tcPr>
          <w:p w14:paraId="68604277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主数据、设备数据、字典参数初始化完成并通过抽样核验。</w:t>
            </w:r>
          </w:p>
        </w:tc>
        <w:tc>
          <w:tcPr>
            <w:tcW w:w="1619" w:type="pct"/>
            <w:vAlign w:val="center"/>
          </w:tcPr>
          <w:p w14:paraId="6CDF3794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业务/实施/DBA</w:t>
            </w:r>
          </w:p>
        </w:tc>
      </w:tr>
      <w:tr w14:paraId="1A8E99F5">
        <w:trPr>
          <w:trHeight w:val="0" w:hRule="atLeast"/>
          <w:jc w:val="center"/>
        </w:trPr>
        <w:tc>
          <w:tcPr>
            <w:tcW w:w="525" w:type="pct"/>
            <w:vAlign w:val="center"/>
          </w:tcPr>
          <w:p w14:paraId="5C5574EE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接口</w:t>
            </w:r>
          </w:p>
        </w:tc>
        <w:tc>
          <w:tcPr>
            <w:tcW w:w="2855" w:type="pct"/>
            <w:vAlign w:val="center"/>
          </w:tcPr>
          <w:p w14:paraId="0887C803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ERP、门禁、衡器、LIMS、统一身份、消息接口主流程和失败场景通过。</w:t>
            </w:r>
          </w:p>
        </w:tc>
        <w:tc>
          <w:tcPr>
            <w:tcW w:w="1619" w:type="pct"/>
            <w:vAlign w:val="center"/>
          </w:tcPr>
          <w:p w14:paraId="47961690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接口负责人</w:t>
            </w:r>
          </w:p>
        </w:tc>
      </w:tr>
      <w:tr w14:paraId="7E18AFED">
        <w:trPr>
          <w:trHeight w:val="0" w:hRule="atLeast"/>
          <w:jc w:val="center"/>
        </w:trPr>
        <w:tc>
          <w:tcPr>
            <w:tcW w:w="525" w:type="pct"/>
            <w:vAlign w:val="center"/>
          </w:tcPr>
          <w:p w14:paraId="5811CE08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小程序</w:t>
            </w:r>
          </w:p>
        </w:tc>
        <w:tc>
          <w:tcPr>
            <w:tcW w:w="2855" w:type="pct"/>
            <w:vAlign w:val="center"/>
          </w:tcPr>
          <w:p w14:paraId="5C04F15B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主体认证、合法域名、隐私政策、用户协议、订阅消息模板、体验版测试和审核材料完成。</w:t>
            </w:r>
          </w:p>
        </w:tc>
        <w:tc>
          <w:tcPr>
            <w:tcW w:w="1619" w:type="pct"/>
            <w:vAlign w:val="center"/>
          </w:tcPr>
          <w:p w14:paraId="20BA382F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产品/信息化/前端</w:t>
            </w:r>
          </w:p>
        </w:tc>
      </w:tr>
      <w:tr w14:paraId="5DC10CAD">
        <w:trPr>
          <w:trHeight w:val="0" w:hRule="atLeast"/>
          <w:jc w:val="center"/>
        </w:trPr>
        <w:tc>
          <w:tcPr>
            <w:tcW w:w="525" w:type="pct"/>
            <w:vAlign w:val="center"/>
          </w:tcPr>
          <w:p w14:paraId="0BB5BF44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设备</w:t>
            </w:r>
          </w:p>
        </w:tc>
        <w:tc>
          <w:tcPr>
            <w:tcW w:w="2855" w:type="pct"/>
            <w:vAlign w:val="center"/>
          </w:tcPr>
          <w:p w14:paraId="79926941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衡器、道闸、光栅、摄像机、打印机、读卡器等现场设备点检通过。</w:t>
            </w:r>
          </w:p>
        </w:tc>
        <w:tc>
          <w:tcPr>
            <w:tcW w:w="1619" w:type="pct"/>
            <w:vAlign w:val="center"/>
          </w:tcPr>
          <w:p w14:paraId="26CAB81E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设备负责人/现场运维</w:t>
            </w:r>
          </w:p>
        </w:tc>
      </w:tr>
      <w:tr w14:paraId="628C0D32">
        <w:trPr>
          <w:trHeight w:val="0" w:hRule="atLeast"/>
          <w:jc w:val="center"/>
        </w:trPr>
        <w:tc>
          <w:tcPr>
            <w:tcW w:w="525" w:type="pct"/>
            <w:vAlign w:val="center"/>
          </w:tcPr>
          <w:p w14:paraId="605BB2A4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回退</w:t>
            </w:r>
          </w:p>
        </w:tc>
        <w:tc>
          <w:tcPr>
            <w:tcW w:w="2855" w:type="pct"/>
            <w:vAlign w:val="center"/>
          </w:tcPr>
          <w:p w14:paraId="4415E37A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回退包、数据库回退脚本、应急台账、手工称重和补录流程演练通过。</w:t>
            </w:r>
          </w:p>
        </w:tc>
        <w:tc>
          <w:tcPr>
            <w:tcW w:w="1619" w:type="pct"/>
            <w:vAlign w:val="center"/>
          </w:tcPr>
          <w:p w14:paraId="45719DCD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项目经理/运维</w:t>
            </w:r>
          </w:p>
        </w:tc>
      </w:tr>
      <w:tr w14:paraId="33FAF06E">
        <w:trPr>
          <w:trHeight w:val="0" w:hRule="atLeast"/>
          <w:jc w:val="center"/>
        </w:trPr>
        <w:tc>
          <w:tcPr>
            <w:tcW w:w="525" w:type="pct"/>
            <w:vAlign w:val="center"/>
          </w:tcPr>
          <w:p w14:paraId="70885BBE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稳定期退出</w:t>
            </w:r>
          </w:p>
        </w:tc>
        <w:tc>
          <w:tcPr>
            <w:tcW w:w="2855" w:type="pct"/>
            <w:vAlign w:val="center"/>
          </w:tcPr>
          <w:p w14:paraId="677B9802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稳定期内无阻断性故障，接口成功率、异常积压、业务投诉、缺陷关闭满足验收要求。</w:t>
            </w:r>
          </w:p>
        </w:tc>
        <w:tc>
          <w:tcPr>
            <w:tcW w:w="1619" w:type="pct"/>
            <w:vAlign w:val="center"/>
          </w:tcPr>
          <w:p w14:paraId="7F64637C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项目组/业务负责人</w:t>
            </w:r>
          </w:p>
        </w:tc>
      </w:tr>
    </w:tbl>
    <w:p w14:paraId="68553E59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2E74B5"/>
        </w:rPr>
        <w:t>16. 上线、回退与稳定期管理</w:t>
      </w:r>
    </w:p>
    <w:p w14:paraId="02FBDACC">
      <w:pPr>
        <w:pStyle w:val="1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</w:rPr>
        <w:t>上线可按门点、磅点、业务类型、承运商范围或用户范围分批实施。</w:t>
      </w:r>
    </w:p>
    <w:p w14:paraId="5B7DC720">
      <w:pPr>
        <w:pStyle w:val="1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</w:rPr>
        <w:t>上线前完成数据冻结点、版本冻结、接口地址切换、账号权限、消息模板、小程序发布、设备点检和值守安排。</w:t>
      </w:r>
    </w:p>
    <w:p w14:paraId="1ABCB407">
      <w:pPr>
        <w:pStyle w:val="1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</w:rPr>
        <w:t>上线初期允许短期人工台账或旧流程对照，但必须明确并行期、责任人、差异处理方式和退出时间。</w:t>
      </w:r>
    </w:p>
    <w:p w14:paraId="1A4D9962">
      <w:pPr>
        <w:pStyle w:val="1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</w:rPr>
        <w:t>出现主流程大面积阻断、关键接口连续失败无法补偿、称重或门禁无法保障安全作业、数据严重不一致时，可按审批启动回退。</w:t>
      </w:r>
    </w:p>
    <w:p w14:paraId="55DA7585">
      <w:pPr>
        <w:pStyle w:val="1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</w:rPr>
        <w:t>回退后需保留业务暂停/继续策略、应急台账、接口暂停、用户通知、恢复后补录和对账规则。</w:t>
      </w:r>
    </w:p>
    <w:p w14:paraId="32A571B8">
      <w:pPr>
        <w:pStyle w:val="1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</w:rPr>
        <w:t>稳定期至少跟踪接口成功率、异常积压、设备在线、缺陷关闭、业务投诉、用户使用率和小程序消息到达情况。</w:t>
      </w:r>
    </w:p>
    <w:p w14:paraId="662FE555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2E74B5"/>
        </w:rPr>
        <w:t>17. 培训、移交与验收管理</w:t>
      </w:r>
    </w:p>
    <w:tbl>
      <w:tblPr>
        <w:tblStyle w:val="33"/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330"/>
        <w:gridCol w:w="2423"/>
        <w:gridCol w:w="2622"/>
        <w:gridCol w:w="3221"/>
      </w:tblGrid>
      <w:tr w14:paraId="05CB77F0">
        <w:trPr>
          <w:trHeight w:val="0" w:hRule="atLeast"/>
          <w:tblHeader/>
          <w:jc w:val="center"/>
        </w:trPr>
        <w:tc>
          <w:tcPr>
            <w:tcW w:w="693" w:type="pct"/>
            <w:shd w:val="clear" w:color="auto" w:fill="F2F4F7"/>
            <w:vAlign w:val="center"/>
          </w:tcPr>
          <w:p w14:paraId="4F4F1A69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</w:rPr>
              <w:t>对象</w:t>
            </w:r>
          </w:p>
        </w:tc>
        <w:tc>
          <w:tcPr>
            <w:tcW w:w="2628" w:type="pct"/>
            <w:gridSpan w:val="2"/>
            <w:shd w:val="clear" w:color="auto" w:fill="F2F4F7"/>
            <w:vAlign w:val="center"/>
          </w:tcPr>
          <w:p w14:paraId="2B059D7F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</w:rPr>
              <w:t>培训内容</w:t>
            </w:r>
          </w:p>
        </w:tc>
        <w:tc>
          <w:tcPr>
            <w:tcW w:w="1677" w:type="pct"/>
            <w:shd w:val="clear" w:color="auto" w:fill="F2F4F7"/>
            <w:vAlign w:val="center"/>
          </w:tcPr>
          <w:p w14:paraId="317D47E2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</w:rPr>
              <w:t>验收/移交证据</w:t>
            </w:r>
          </w:p>
        </w:tc>
      </w:tr>
      <w:tr w14:paraId="66DB4B65">
        <w:trPr>
          <w:trHeight w:val="0" w:hRule="atLeast"/>
          <w:jc w:val="center"/>
        </w:trPr>
        <w:tc>
          <w:tcPr>
            <w:tcW w:w="693" w:type="pct"/>
            <w:vAlign w:val="center"/>
          </w:tcPr>
          <w:p w14:paraId="3C025627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客户/承运商/司机</w:t>
            </w:r>
          </w:p>
        </w:tc>
        <w:tc>
          <w:tcPr>
            <w:tcW w:w="2628" w:type="pct"/>
            <w:gridSpan w:val="2"/>
            <w:vAlign w:val="center"/>
          </w:tcPr>
          <w:p w14:paraId="0BD83F7A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小程序登录绑定、预约、资料上传、排队叫号、电子单据下载、异常反馈。</w:t>
            </w:r>
          </w:p>
        </w:tc>
        <w:tc>
          <w:tcPr>
            <w:tcW w:w="1677" w:type="pct"/>
            <w:vAlign w:val="center"/>
          </w:tcPr>
          <w:p w14:paraId="4FB3B325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操作手册、培训记录、试操作记录。</w:t>
            </w:r>
          </w:p>
        </w:tc>
      </w:tr>
      <w:tr w14:paraId="39C5F028">
        <w:trPr>
          <w:trHeight w:val="0" w:hRule="atLeast"/>
          <w:jc w:val="center"/>
        </w:trPr>
        <w:tc>
          <w:tcPr>
            <w:tcW w:w="693" w:type="pct"/>
            <w:vAlign w:val="center"/>
          </w:tcPr>
          <w:p w14:paraId="3699BD58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门岗/安检</w:t>
            </w:r>
          </w:p>
        </w:tc>
        <w:tc>
          <w:tcPr>
            <w:tcW w:w="2628" w:type="pct"/>
            <w:gridSpan w:val="2"/>
            <w:vAlign w:val="center"/>
          </w:tcPr>
          <w:p w14:paraId="1181F4F6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门禁核验、人工放行、手持安检/槽检、异常记录和安全责任。</w:t>
            </w:r>
          </w:p>
        </w:tc>
        <w:tc>
          <w:tcPr>
            <w:tcW w:w="1677" w:type="pct"/>
            <w:vAlign w:val="center"/>
          </w:tcPr>
          <w:p w14:paraId="6CC36B43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岗位培训签到、场景演练记录。</w:t>
            </w:r>
          </w:p>
        </w:tc>
      </w:tr>
      <w:tr w14:paraId="0A87552B">
        <w:trPr>
          <w:trHeight w:val="0" w:hRule="atLeast"/>
          <w:jc w:val="center"/>
        </w:trPr>
        <w:tc>
          <w:tcPr>
            <w:tcW w:w="693" w:type="pct"/>
            <w:vAlign w:val="center"/>
          </w:tcPr>
          <w:p w14:paraId="6F73CB7C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计量/集控</w:t>
            </w:r>
          </w:p>
        </w:tc>
        <w:tc>
          <w:tcPr>
            <w:tcW w:w="2628" w:type="pct"/>
            <w:gridSpan w:val="2"/>
            <w:vAlign w:val="center"/>
          </w:tcPr>
          <w:p w14:paraId="2A4546D2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自助称重、异常识别、视频联动、远程干预、复磅和转手工称重。</w:t>
            </w:r>
          </w:p>
        </w:tc>
        <w:tc>
          <w:tcPr>
            <w:tcW w:w="1677" w:type="pct"/>
            <w:vAlign w:val="center"/>
          </w:tcPr>
          <w:p w14:paraId="0785CA77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设备联调记录、操作演练记录。</w:t>
            </w:r>
          </w:p>
        </w:tc>
      </w:tr>
      <w:tr w14:paraId="23653501">
        <w:trPr>
          <w:trHeight w:val="0" w:hRule="atLeast"/>
          <w:jc w:val="center"/>
        </w:trPr>
        <w:tc>
          <w:tcPr>
            <w:tcW w:w="693" w:type="pct"/>
            <w:vAlign w:val="center"/>
          </w:tcPr>
          <w:p w14:paraId="04A9FA93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业务/财务</w:t>
            </w:r>
          </w:p>
        </w:tc>
        <w:tc>
          <w:tcPr>
            <w:tcW w:w="2628" w:type="pct"/>
            <w:gridSpan w:val="2"/>
            <w:vAlign w:val="center"/>
          </w:tcPr>
          <w:p w14:paraId="2154AF6E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订单计划、预约审核、ERP补偿、对账、报表和电子单据。</w:t>
            </w:r>
          </w:p>
        </w:tc>
        <w:tc>
          <w:tcPr>
            <w:tcW w:w="1677" w:type="pct"/>
            <w:vAlign w:val="center"/>
          </w:tcPr>
          <w:p w14:paraId="44901388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UAT签字、业务流程确认。</w:t>
            </w:r>
          </w:p>
        </w:tc>
      </w:tr>
      <w:tr w14:paraId="52DE154B">
        <w:trPr>
          <w:trHeight w:val="0" w:hRule="atLeast"/>
          <w:jc w:val="center"/>
        </w:trPr>
        <w:tc>
          <w:tcPr>
            <w:tcW w:w="693" w:type="pct"/>
            <w:vAlign w:val="center"/>
          </w:tcPr>
          <w:p w14:paraId="48C620E8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信息化/运维</w:t>
            </w:r>
          </w:p>
        </w:tc>
        <w:tc>
          <w:tcPr>
            <w:tcW w:w="2628" w:type="pct"/>
            <w:gridSpan w:val="2"/>
            <w:vAlign w:val="center"/>
          </w:tcPr>
          <w:p w14:paraId="275C13CF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部署、配置、监控、接口日志、补偿队列、备份、回退和权限管理。</w:t>
            </w:r>
          </w:p>
        </w:tc>
        <w:tc>
          <w:tcPr>
            <w:tcW w:w="1677" w:type="pct"/>
            <w:vAlign w:val="center"/>
          </w:tcPr>
          <w:p w14:paraId="333B6B4C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运维手册、配置清单、账号权限、值班表。</w:t>
            </w:r>
          </w:p>
        </w:tc>
      </w:tr>
      <w:tr w14:paraId="7AA8AB98">
        <w:trPr>
          <w:trHeight w:val="0" w:hRule="atLeast"/>
          <w:tblHeader/>
          <w:jc w:val="center"/>
        </w:trPr>
        <w:tc>
          <w:tcPr>
            <w:tcW w:w="1955" w:type="pct"/>
            <w:gridSpan w:val="2"/>
            <w:shd w:val="clear" w:color="auto" w:fill="F2F4F7"/>
            <w:vAlign w:val="center"/>
          </w:tcPr>
          <w:p w14:paraId="1AEDE671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</w:rPr>
              <w:t>最终验收条件</w:t>
            </w:r>
          </w:p>
        </w:tc>
        <w:tc>
          <w:tcPr>
            <w:tcW w:w="3044" w:type="pct"/>
            <w:gridSpan w:val="2"/>
            <w:shd w:val="clear" w:color="auto" w:fill="F2F4F7"/>
            <w:vAlign w:val="center"/>
          </w:tcPr>
          <w:p w14:paraId="4616A400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</w:rPr>
              <w:t>要求</w:t>
            </w:r>
          </w:p>
        </w:tc>
      </w:tr>
      <w:tr w14:paraId="04E8799E">
        <w:trPr>
          <w:trHeight w:val="0" w:hRule="atLeast"/>
          <w:jc w:val="center"/>
        </w:trPr>
        <w:tc>
          <w:tcPr>
            <w:tcW w:w="1955" w:type="pct"/>
            <w:gridSpan w:val="2"/>
            <w:vAlign w:val="center"/>
          </w:tcPr>
          <w:p w14:paraId="08298D54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范围完成</w:t>
            </w:r>
          </w:p>
        </w:tc>
        <w:tc>
          <w:tcPr>
            <w:tcW w:w="3044" w:type="pct"/>
            <w:gridSpan w:val="2"/>
            <w:vAlign w:val="center"/>
          </w:tcPr>
          <w:p w14:paraId="7F668542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P0/P1范围按合同或项目基线完成，遗留项经审批并明确后续处理。</w:t>
            </w:r>
          </w:p>
        </w:tc>
      </w:tr>
      <w:tr w14:paraId="74CF36CD">
        <w:trPr>
          <w:trHeight w:val="0" w:hRule="atLeast"/>
          <w:jc w:val="center"/>
        </w:trPr>
        <w:tc>
          <w:tcPr>
            <w:tcW w:w="1955" w:type="pct"/>
            <w:gridSpan w:val="2"/>
            <w:vAlign w:val="center"/>
          </w:tcPr>
          <w:p w14:paraId="69DE2022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稳定运行</w:t>
            </w:r>
          </w:p>
        </w:tc>
        <w:tc>
          <w:tcPr>
            <w:tcW w:w="3044" w:type="pct"/>
            <w:gridSpan w:val="2"/>
            <w:vAlign w:val="center"/>
          </w:tcPr>
          <w:p w14:paraId="29391A93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稳定期无阻断性故障，关键缺陷关闭，接口差异和业务投诉闭环。</w:t>
            </w:r>
          </w:p>
        </w:tc>
      </w:tr>
      <w:tr w14:paraId="00CF3C1B">
        <w:trPr>
          <w:trHeight w:val="0" w:hRule="atLeast"/>
          <w:jc w:val="center"/>
        </w:trPr>
        <w:tc>
          <w:tcPr>
            <w:tcW w:w="1955" w:type="pct"/>
            <w:gridSpan w:val="2"/>
            <w:vAlign w:val="center"/>
          </w:tcPr>
          <w:p w14:paraId="0A10C6FA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资料移交</w:t>
            </w:r>
          </w:p>
        </w:tc>
        <w:tc>
          <w:tcPr>
            <w:tcW w:w="3044" w:type="pct"/>
            <w:gridSpan w:val="2"/>
            <w:vAlign w:val="center"/>
          </w:tcPr>
          <w:p w14:paraId="4A30D734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需求、设计、接口、部署、测试、UAT、培训、运维、账号、配置、设备和验收资料完整。</w:t>
            </w:r>
          </w:p>
        </w:tc>
      </w:tr>
      <w:tr w14:paraId="7B5B99DF">
        <w:trPr>
          <w:trHeight w:val="0" w:hRule="atLeast"/>
          <w:jc w:val="center"/>
        </w:trPr>
        <w:tc>
          <w:tcPr>
            <w:tcW w:w="1955" w:type="pct"/>
            <w:gridSpan w:val="2"/>
            <w:vAlign w:val="center"/>
          </w:tcPr>
          <w:p w14:paraId="04265D99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价值确认</w:t>
            </w:r>
          </w:p>
        </w:tc>
        <w:tc>
          <w:tcPr>
            <w:tcW w:w="3044" w:type="pct"/>
            <w:gridSpan w:val="2"/>
            <w:vAlign w:val="center"/>
          </w:tcPr>
          <w:p w14:paraId="70DB9845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360" w:lineRule="auto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形成上线后运行数据、效率改善、异常减少、过账及时性和用户反馈评估。</w:t>
            </w:r>
          </w:p>
        </w:tc>
      </w:tr>
    </w:tbl>
    <w:p w14:paraId="2AE049FB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2E74B5"/>
        </w:rPr>
        <w:t>18. 项目报告模板</w:t>
      </w:r>
    </w:p>
    <w:tbl>
      <w:tblPr>
        <w:tblStyle w:val="33"/>
        <w:tblW w:w="9576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806"/>
        <w:gridCol w:w="7770"/>
      </w:tblGrid>
      <w:tr w14:paraId="25F7076C">
        <w:trPr>
          <w:trHeight w:val="0" w:hRule="atLeast"/>
          <w:tblHeader/>
        </w:trPr>
        <w:tc>
          <w:tcPr>
            <w:tcW w:w="1806" w:type="dxa"/>
            <w:shd w:val="clear" w:color="auto" w:fill="F2F4F7"/>
            <w:vAlign w:val="center"/>
          </w:tcPr>
          <w:p w14:paraId="70F40E0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报告项</w:t>
            </w:r>
          </w:p>
        </w:tc>
        <w:tc>
          <w:tcPr>
            <w:tcW w:w="7770" w:type="dxa"/>
            <w:shd w:val="clear" w:color="auto" w:fill="F2F4F7"/>
            <w:vAlign w:val="center"/>
          </w:tcPr>
          <w:p w14:paraId="4F4217D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内容</w:t>
            </w:r>
          </w:p>
        </w:tc>
      </w:tr>
      <w:tr w14:paraId="18BB7F3F">
        <w:trPr>
          <w:trHeight w:val="0" w:hRule="atLeast"/>
        </w:trPr>
        <w:tc>
          <w:tcPr>
            <w:tcW w:w="1806" w:type="dxa"/>
            <w:vAlign w:val="center"/>
          </w:tcPr>
          <w:p w14:paraId="6952852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总体状态</w:t>
            </w:r>
          </w:p>
        </w:tc>
        <w:tc>
          <w:tcPr>
            <w:tcW w:w="7770" w:type="dxa"/>
            <w:vAlign w:val="center"/>
          </w:tcPr>
          <w:p w14:paraId="4A57311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绿色/黄色/红色，以及判断依据。</w:t>
            </w:r>
          </w:p>
        </w:tc>
      </w:tr>
      <w:tr w14:paraId="1D8BD25D">
        <w:trPr>
          <w:trHeight w:val="0" w:hRule="atLeast"/>
        </w:trPr>
        <w:tc>
          <w:tcPr>
            <w:tcW w:w="1806" w:type="dxa"/>
            <w:vAlign w:val="center"/>
          </w:tcPr>
          <w:p w14:paraId="3A4928A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本周完成</w:t>
            </w:r>
          </w:p>
        </w:tc>
        <w:tc>
          <w:tcPr>
            <w:tcW w:w="7770" w:type="dxa"/>
            <w:vAlign w:val="center"/>
          </w:tcPr>
          <w:p w14:paraId="5316EB2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按WBS列出实际完成任务和可验证证据。</w:t>
            </w:r>
          </w:p>
        </w:tc>
      </w:tr>
      <w:tr w14:paraId="27698803">
        <w:trPr>
          <w:trHeight w:val="0" w:hRule="atLeast"/>
        </w:trPr>
        <w:tc>
          <w:tcPr>
            <w:tcW w:w="1806" w:type="dxa"/>
            <w:vAlign w:val="center"/>
          </w:tcPr>
          <w:p w14:paraId="6F05493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下周计划</w:t>
            </w:r>
          </w:p>
        </w:tc>
        <w:tc>
          <w:tcPr>
            <w:tcW w:w="7770" w:type="dxa"/>
            <w:vAlign w:val="center"/>
          </w:tcPr>
          <w:p w14:paraId="43AD9A8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列出下一周期计划、责任人和依赖条件。</w:t>
            </w:r>
          </w:p>
        </w:tc>
      </w:tr>
      <w:tr w14:paraId="5B7A777D">
        <w:trPr>
          <w:trHeight w:val="0" w:hRule="atLeast"/>
        </w:trPr>
        <w:tc>
          <w:tcPr>
            <w:tcW w:w="1806" w:type="dxa"/>
            <w:vAlign w:val="center"/>
          </w:tcPr>
          <w:p w14:paraId="5E253A0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里程碑偏差</w:t>
            </w:r>
          </w:p>
        </w:tc>
        <w:tc>
          <w:tcPr>
            <w:tcW w:w="7770" w:type="dxa"/>
            <w:vAlign w:val="center"/>
          </w:tcPr>
          <w:p w14:paraId="13C673A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说明计划时间、实际进度、偏差原因和纠偏措施。</w:t>
            </w:r>
          </w:p>
        </w:tc>
      </w:tr>
      <w:tr w14:paraId="48D5EE4B">
        <w:trPr>
          <w:trHeight w:val="0" w:hRule="atLeast"/>
        </w:trPr>
        <w:tc>
          <w:tcPr>
            <w:tcW w:w="1806" w:type="dxa"/>
            <w:vAlign w:val="center"/>
          </w:tcPr>
          <w:p w14:paraId="330A5EA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风险问题</w:t>
            </w:r>
          </w:p>
        </w:tc>
        <w:tc>
          <w:tcPr>
            <w:tcW w:w="7770" w:type="dxa"/>
            <w:vAlign w:val="center"/>
          </w:tcPr>
          <w:p w14:paraId="78E9A38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列出新增/升级风险、阻塞问题、需协调事项和关闭进展。</w:t>
            </w:r>
          </w:p>
        </w:tc>
      </w:tr>
      <w:tr w14:paraId="17BCF438">
        <w:trPr>
          <w:trHeight w:val="0" w:hRule="atLeast"/>
        </w:trPr>
        <w:tc>
          <w:tcPr>
            <w:tcW w:w="1806" w:type="dxa"/>
            <w:vAlign w:val="center"/>
          </w:tcPr>
          <w:p w14:paraId="75C373F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需决策事项</w:t>
            </w:r>
          </w:p>
        </w:tc>
        <w:tc>
          <w:tcPr>
            <w:tcW w:w="7770" w:type="dxa"/>
            <w:vAlign w:val="center"/>
          </w:tcPr>
          <w:p w14:paraId="4906061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明确决策内容、选项、建议、决策人和最晚决策日期。</w:t>
            </w:r>
          </w:p>
        </w:tc>
      </w:tr>
      <w:tr w14:paraId="0944B4F4">
        <w:trPr>
          <w:trHeight w:val="0" w:hRule="atLeast"/>
        </w:trPr>
        <w:tc>
          <w:tcPr>
            <w:tcW w:w="1806" w:type="dxa"/>
            <w:vAlign w:val="center"/>
          </w:tcPr>
          <w:p w14:paraId="57807BF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质量状态</w:t>
            </w:r>
          </w:p>
        </w:tc>
        <w:tc>
          <w:tcPr>
            <w:tcW w:w="7770" w:type="dxa"/>
            <w:vAlign w:val="center"/>
          </w:tcPr>
          <w:p w14:paraId="18A8FE5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缺陷数量、接口联调、UAT、数据核验、上线准出状态。</w:t>
            </w:r>
          </w:p>
        </w:tc>
      </w:tr>
    </w:tbl>
    <w:p w14:paraId="14D590C4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2E74B5"/>
        </w:rPr>
        <w:t>19. 当前优先行动清单</w:t>
      </w:r>
    </w:p>
    <w:tbl>
      <w:tblPr>
        <w:tblStyle w:val="33"/>
        <w:tblW w:w="9576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096"/>
        <w:gridCol w:w="4325"/>
        <w:gridCol w:w="1588"/>
        <w:gridCol w:w="2567"/>
      </w:tblGrid>
      <w:tr w14:paraId="30952AE2">
        <w:trPr>
          <w:trHeight w:val="0" w:hRule="atLeast"/>
          <w:tblHeader/>
        </w:trPr>
        <w:tc>
          <w:tcPr>
            <w:tcW w:w="1096" w:type="dxa"/>
            <w:shd w:val="clear" w:color="auto" w:fill="D7D7D7" w:themeFill="background1" w:themeFillShade="D8"/>
            <w:vAlign w:val="center"/>
          </w:tcPr>
          <w:p w14:paraId="7C9C7F58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</w:rPr>
              <w:t>优先级</w:t>
            </w:r>
          </w:p>
        </w:tc>
        <w:tc>
          <w:tcPr>
            <w:tcW w:w="4325" w:type="dxa"/>
            <w:shd w:val="clear" w:color="auto" w:fill="D7D7D7" w:themeFill="background1" w:themeFillShade="D8"/>
            <w:vAlign w:val="center"/>
          </w:tcPr>
          <w:p w14:paraId="241A38FF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</w:rPr>
              <w:t>行动</w:t>
            </w:r>
          </w:p>
        </w:tc>
        <w:tc>
          <w:tcPr>
            <w:tcW w:w="0" w:type="auto"/>
            <w:shd w:val="clear" w:color="auto" w:fill="D7D7D7" w:themeFill="background1" w:themeFillShade="D8"/>
            <w:vAlign w:val="center"/>
          </w:tcPr>
          <w:p w14:paraId="6BD8FABF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</w:rPr>
              <w:t>责任方</w:t>
            </w:r>
          </w:p>
        </w:tc>
        <w:tc>
          <w:tcPr>
            <w:tcW w:w="2567" w:type="dxa"/>
            <w:shd w:val="clear" w:color="auto" w:fill="D7D7D7" w:themeFill="background1" w:themeFillShade="D8"/>
            <w:vAlign w:val="center"/>
          </w:tcPr>
          <w:p w14:paraId="79949CA4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</w:rPr>
              <w:t>完成标志</w:t>
            </w:r>
          </w:p>
        </w:tc>
      </w:tr>
      <w:tr w14:paraId="66AFE3B5">
        <w:trPr>
          <w:trHeight w:val="0" w:hRule="atLeast"/>
        </w:trPr>
        <w:tc>
          <w:tcPr>
            <w:tcW w:w="1096" w:type="dxa"/>
            <w:vAlign w:val="center"/>
          </w:tcPr>
          <w:p w14:paraId="2D07AFF0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P0</w:t>
            </w:r>
          </w:p>
        </w:tc>
        <w:tc>
          <w:tcPr>
            <w:tcW w:w="4325" w:type="dxa"/>
            <w:vAlign w:val="center"/>
          </w:tcPr>
          <w:p w14:paraId="611C26EC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确认T和R两个计划基准点，并替换为项目正式日历日期。</w:t>
            </w:r>
          </w:p>
        </w:tc>
        <w:tc>
          <w:tcPr>
            <w:tcW w:w="0" w:type="auto"/>
            <w:vAlign w:val="center"/>
          </w:tcPr>
          <w:p w14:paraId="378BB381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项目经理</w:t>
            </w:r>
          </w:p>
        </w:tc>
        <w:tc>
          <w:tcPr>
            <w:tcW w:w="2567" w:type="dxa"/>
            <w:vAlign w:val="center"/>
          </w:tcPr>
          <w:p w14:paraId="00E51EE2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正式里程碑计划发布。</w:t>
            </w:r>
          </w:p>
        </w:tc>
      </w:tr>
      <w:tr w14:paraId="3AD81944">
        <w:trPr>
          <w:trHeight w:val="0" w:hRule="atLeast"/>
        </w:trPr>
        <w:tc>
          <w:tcPr>
            <w:tcW w:w="1096" w:type="dxa"/>
            <w:vAlign w:val="center"/>
          </w:tcPr>
          <w:p w14:paraId="6818FC3D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P0</w:t>
            </w:r>
          </w:p>
        </w:tc>
        <w:tc>
          <w:tcPr>
            <w:tcW w:w="4325" w:type="dxa"/>
            <w:vAlign w:val="center"/>
          </w:tcPr>
          <w:p w14:paraId="731CB384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完成ERP、门禁、衡器、LIMS、小程序、消息接口契约冻结。</w:t>
            </w:r>
          </w:p>
        </w:tc>
        <w:tc>
          <w:tcPr>
            <w:tcW w:w="0" w:type="auto"/>
            <w:vAlign w:val="center"/>
          </w:tcPr>
          <w:p w14:paraId="11DC8CA5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接口负责人</w:t>
            </w:r>
          </w:p>
        </w:tc>
        <w:tc>
          <w:tcPr>
            <w:tcW w:w="2567" w:type="dxa"/>
            <w:vAlign w:val="center"/>
          </w:tcPr>
          <w:p w14:paraId="79EB11CB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接口确认单和样例报文齐套。</w:t>
            </w:r>
          </w:p>
        </w:tc>
      </w:tr>
      <w:tr w14:paraId="48E019E5">
        <w:trPr>
          <w:trHeight w:val="0" w:hRule="atLeast"/>
        </w:trPr>
        <w:tc>
          <w:tcPr>
            <w:tcW w:w="1096" w:type="dxa"/>
            <w:vAlign w:val="center"/>
          </w:tcPr>
          <w:p w14:paraId="0A3117C0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P0</w:t>
            </w:r>
          </w:p>
        </w:tc>
        <w:tc>
          <w:tcPr>
            <w:tcW w:w="4325" w:type="dxa"/>
            <w:vAlign w:val="center"/>
          </w:tcPr>
          <w:p w14:paraId="3C5F1CA3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完成小程序主体认证、合法域名、隐私政策、用户协议和订阅消息模板准备。</w:t>
            </w:r>
          </w:p>
        </w:tc>
        <w:tc>
          <w:tcPr>
            <w:tcW w:w="0" w:type="auto"/>
            <w:vAlign w:val="center"/>
          </w:tcPr>
          <w:p w14:paraId="131EB20A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产品/信息化</w:t>
            </w:r>
          </w:p>
        </w:tc>
        <w:tc>
          <w:tcPr>
            <w:tcW w:w="2567" w:type="dxa"/>
            <w:vAlign w:val="center"/>
          </w:tcPr>
          <w:p w14:paraId="6A383EE6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微信后台配置和审核材料完成。</w:t>
            </w:r>
          </w:p>
        </w:tc>
      </w:tr>
      <w:tr w14:paraId="6D8156B3">
        <w:trPr>
          <w:trHeight w:val="0" w:hRule="atLeast"/>
        </w:trPr>
        <w:tc>
          <w:tcPr>
            <w:tcW w:w="1096" w:type="dxa"/>
            <w:vAlign w:val="center"/>
          </w:tcPr>
          <w:p w14:paraId="1C37ED6B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P0</w:t>
            </w:r>
          </w:p>
        </w:tc>
        <w:tc>
          <w:tcPr>
            <w:tcW w:w="4325" w:type="dxa"/>
            <w:vAlign w:val="center"/>
          </w:tcPr>
          <w:p w14:paraId="2B93AEBF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形成主数据初始化模板和数据责任人清单。</w:t>
            </w:r>
          </w:p>
        </w:tc>
        <w:tc>
          <w:tcPr>
            <w:tcW w:w="0" w:type="auto"/>
            <w:vAlign w:val="center"/>
          </w:tcPr>
          <w:p w14:paraId="3EA1F7BA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业务/实施/DBA</w:t>
            </w:r>
          </w:p>
        </w:tc>
        <w:tc>
          <w:tcPr>
            <w:tcW w:w="2567" w:type="dxa"/>
            <w:vAlign w:val="center"/>
          </w:tcPr>
          <w:p w14:paraId="24D620DB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导入模板、样例数据和核验规则确认。</w:t>
            </w:r>
          </w:p>
        </w:tc>
      </w:tr>
      <w:tr w14:paraId="357EAB5C">
        <w:trPr>
          <w:trHeight w:val="0" w:hRule="atLeast"/>
        </w:trPr>
        <w:tc>
          <w:tcPr>
            <w:tcW w:w="1096" w:type="dxa"/>
            <w:vAlign w:val="center"/>
          </w:tcPr>
          <w:p w14:paraId="51C1313A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P0</w:t>
            </w:r>
          </w:p>
        </w:tc>
        <w:tc>
          <w:tcPr>
            <w:tcW w:w="4325" w:type="dxa"/>
            <w:vAlign w:val="center"/>
          </w:tcPr>
          <w:p w14:paraId="090D3DEC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形成上线准出清单、回退方案和应急演练计划。</w:t>
            </w:r>
          </w:p>
        </w:tc>
        <w:tc>
          <w:tcPr>
            <w:tcW w:w="0" w:type="auto"/>
            <w:vAlign w:val="center"/>
          </w:tcPr>
          <w:p w14:paraId="53D7F798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项目经理/运维</w:t>
            </w:r>
          </w:p>
        </w:tc>
        <w:tc>
          <w:tcPr>
            <w:tcW w:w="2567" w:type="dxa"/>
            <w:vAlign w:val="center"/>
          </w:tcPr>
          <w:p w14:paraId="1A2EB713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上线评审材料可审查。</w:t>
            </w:r>
          </w:p>
        </w:tc>
      </w:tr>
      <w:tr w14:paraId="6444E048">
        <w:trPr>
          <w:trHeight w:val="0" w:hRule="atLeast"/>
        </w:trPr>
        <w:tc>
          <w:tcPr>
            <w:tcW w:w="1096" w:type="dxa"/>
            <w:vAlign w:val="center"/>
          </w:tcPr>
          <w:p w14:paraId="63DE9DB1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P1</w:t>
            </w:r>
          </w:p>
        </w:tc>
        <w:tc>
          <w:tcPr>
            <w:tcW w:w="4325" w:type="dxa"/>
            <w:vAlign w:val="center"/>
          </w:tcPr>
          <w:p w14:paraId="7765A3D8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建立项目周报、风险问题台账、决策台账和依赖台账。</w:t>
            </w:r>
          </w:p>
        </w:tc>
        <w:tc>
          <w:tcPr>
            <w:tcW w:w="1588" w:type="dxa"/>
            <w:vAlign w:val="center"/>
          </w:tcPr>
          <w:p w14:paraId="2877EEDE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项目经理</w:t>
            </w:r>
          </w:p>
        </w:tc>
        <w:tc>
          <w:tcPr>
            <w:tcW w:w="2567" w:type="dxa"/>
            <w:vAlign w:val="center"/>
          </w:tcPr>
          <w:p w14:paraId="0113D873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首次周报和四类台账发布。</w:t>
            </w:r>
          </w:p>
        </w:tc>
      </w:tr>
    </w:tbl>
    <w:p w14:paraId="2FD1068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rFonts w:hint="eastAsia" w:ascii="宋体" w:hAnsi="宋体" w:eastAsia="宋体" w:cs="宋体"/>
        </w:rPr>
      </w:pPr>
    </w:p>
    <w:sectPr>
      <w:footerReference r:id="rId5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C7D957">
    <w:pPr>
      <w:pStyle w:val="24"/>
      <w:jc w:val="center"/>
    </w:pPr>
    <w:r>
      <w:rPr>
        <w:rFonts w:ascii="PingFang SC" w:hAnsi="PingFang SC" w:eastAsia="PingFang SC"/>
        <w:b w:val="0"/>
        <w:color w:val="888888"/>
        <w:sz w:val="18"/>
      </w:rPr>
      <w:t>进出厂物流系统整体项目管理计划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4" w:lineRule="auto"/>
      </w:pPr>
      <w:r>
        <w:separator/>
      </w:r>
    </w:p>
  </w:footnote>
  <w:footnote w:type="continuationSeparator" w:id="1">
    <w:p>
      <w:pPr>
        <w:spacing w:before="0" w:after="0" w:line="264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A97CC5D"/>
    <w:rsid w:val="5FD4A44F"/>
    <w:rsid w:val="6FE7714C"/>
    <w:rsid w:val="79C74BA9"/>
    <w:rsid w:val="79D72F74"/>
    <w:rsid w:val="7B7D2D88"/>
    <w:rsid w:val="7B977506"/>
    <w:rsid w:val="7EDF85EC"/>
    <w:rsid w:val="7EFE7BA6"/>
    <w:rsid w:val="7FBF4C6C"/>
    <w:rsid w:val="7FDDB836"/>
    <w:rsid w:val="BAFF6C3B"/>
    <w:rsid w:val="BD596D58"/>
    <w:rsid w:val="BD5F0B8A"/>
    <w:rsid w:val="BFED46E2"/>
    <w:rsid w:val="D7BE70D8"/>
    <w:rsid w:val="DFEF6791"/>
    <w:rsid w:val="E7FC0728"/>
    <w:rsid w:val="ED63A290"/>
    <w:rsid w:val="EFCB9388"/>
    <w:rsid w:val="F2BB5F69"/>
    <w:rsid w:val="F7BF66E7"/>
    <w:rsid w:val="FB1DC410"/>
    <w:rsid w:val="FFF55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64" w:lineRule="auto"/>
    </w:pPr>
    <w:rPr>
      <w:rFonts w:ascii="PingFang SC" w:hAnsi="PingFang SC" w:eastAsia="PingFang SC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20" w:after="160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40" w:after="120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spacing w:after="160" w:line="280" w:lineRule="auto"/>
      <w:contextualSpacing/>
    </w:pPr>
    <w:rPr>
      <w:rFonts w:ascii="PingFang SC" w:hAnsi="PingFang SC" w:eastAsia="PingFang SC"/>
      <w:sz w:val="22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spacing w:after="160" w:line="280" w:lineRule="auto"/>
      <w:contextualSpacing/>
    </w:pPr>
    <w:rPr>
      <w:rFonts w:ascii="PingFang SC" w:hAnsi="PingFang SC" w:eastAsia="PingFang SC"/>
      <w:sz w:val="22"/>
    </w:r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0</Words>
  <Characters>0</Characters>
  <Lines>0</Lines>
  <Paragraphs>0</Paragraphs>
  <TotalTime>15</TotalTime>
  <ScaleCrop>false</ScaleCrop>
  <LinksUpToDate>false</LinksUpToDate>
  <CharactersWithSpaces>0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2013-12-24T15:15:00Z</dcterms:created>
  <dc:creator>python-docx</dc:creator>
  <dc:description>generated by python-docx</dc:description>
  <cp:lastModifiedBy>zlyyh</cp:lastModifiedBy>
  <dcterms:modified xsi:type="dcterms:W3CDTF">2026-09-02T13:53:57Z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78D1885B4253E0C914DC906A00580546_43</vt:lpwstr>
  </property>
</Properties>
</file>