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PingFang SC" w:hAnsi="PingFang SC" w:eastAsia="PingFang SC" w:cs="PingFang SC"/>
        </w:rPr>
        <w:t>合同全生命周期管理系统项目管理制度与运行机制</w:t>
      </w:r>
    </w:p>
    <w:p>
      <w:pPr>
        <w:jc w:val="center"/>
      </w:pPr>
      <w:r>
        <w:rPr>
          <w:rFonts w:ascii="PingFang SC" w:hAnsi="PingFang SC" w:eastAsia="PingFang SC" w:cs="PingFang SC"/>
        </w:rPr>
        <w:t>适用项目：某大型能源集团合同全生命周期管理系统建设项目</w:t>
      </w:r>
    </w:p>
    <w:p>
      <w:pPr>
        <w:pStyle w:val="Heading1"/>
      </w:pPr>
      <w:r>
        <w:rPr>
          <w:rFonts w:ascii="PingFang SC" w:hAnsi="PingFang SC" w:eastAsia="PingFang SC" w:cs="PingFang SC"/>
        </w:rPr>
        <w:t>一 治理目标</w:t>
      </w:r>
    </w:p>
    <w:p>
      <w:r>
        <w:rPr>
          <w:rFonts w:ascii="PingFang SC" w:hAnsi="PingFang SC" w:eastAsia="PingFang SC" w:cs="PingFang SC"/>
        </w:rPr>
        <w:t>项目治理围绕合同业务价值交付展开，确保范围可追踪、计划可执行、风险可升级、质量有证据、上线有门禁、收益可验证。</w:t>
      </w:r>
    </w:p>
    <w:p>
      <w:pPr>
        <w:pStyle w:val="Heading1"/>
      </w:pPr>
      <w:r>
        <w:rPr>
          <w:rFonts w:ascii="PingFang SC" w:hAnsi="PingFang SC" w:eastAsia="PingFang SC" w:cs="PingFang SC"/>
        </w:rPr>
        <w:t>二 角色与责任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D9E1F2"/>
          <w:left w:val="single" w:sz="4" w:color="D9E1F2"/>
          <w:bottom w:val="single" w:sz="4" w:color="D9E1F2"/>
          <w:right w:val="single" w:sz="4" w:color="D9E1F2"/>
          <w:insideH w:val="single" w:sz="4" w:color="D9E1F2"/>
          <w:insideV w:val="single" w:sz="4" w:color="D9E1F2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F4E78"/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135"/>
            <w:shd w:fill="1F4E78"/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20"/>
              </w:rPr>
              <w:t>主要职责</w:t>
            </w:r>
          </w:p>
        </w:tc>
        <w:tc>
          <w:tcPr>
            <w:tcW w:type="dxa" w:w="3135"/>
            <w:shd w:fill="1F4E78"/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20"/>
              </w:rPr>
              <w:t>关键决策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项目发起人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确认业务价值、预算和重大支持事项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重大范围、预算和上线决策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项目指导委员会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审议重大风险、变更和阶段门禁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跨组织争议和重大变更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项目经理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维护综合计划并推动闭环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一般计划调整和事项升级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业务负责人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确认业务流程、需求和验收标准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需求优先级和业务验收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技术负责人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负责架构、接口、安全和技术质量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技术方案及上线技术条件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测试经理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负责测试策略、缺陷和质量报告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质量门禁建议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供应商负责人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履行合同交付、资源和问题整改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供应商内部资源安排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AI PMO管理员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运行规则、记录证据并提交建议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不得代替授权人批准基线</w:t>
            </w:r>
          </w:p>
        </w:tc>
      </w:tr>
    </w:tbl>
    <w:p>
      <w:pPr>
        <w:pStyle w:val="Heading1"/>
      </w:pPr>
      <w:r>
        <w:rPr>
          <w:rFonts w:ascii="PingFang SC" w:hAnsi="PingFang SC" w:eastAsia="PingFang SC" w:cs="PingFang SC"/>
        </w:rPr>
        <w:t>三 管理节奏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D9E1F2"/>
          <w:left w:val="single" w:sz="4" w:color="D9E1F2"/>
          <w:bottom w:val="single" w:sz="4" w:color="D9E1F2"/>
          <w:right w:val="single" w:sz="4" w:color="D9E1F2"/>
          <w:insideH w:val="single" w:sz="4" w:color="D9E1F2"/>
          <w:insideV w:val="single" w:sz="4" w:color="D9E1F2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8"/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20"/>
              </w:rPr>
              <w:t>会议或报告</w:t>
            </w:r>
          </w:p>
        </w:tc>
        <w:tc>
          <w:tcPr>
            <w:tcW w:type="dxa" w:w="2351"/>
            <w:shd w:fill="1F4E78"/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20"/>
              </w:rPr>
              <w:t>频率</w:t>
            </w:r>
          </w:p>
        </w:tc>
        <w:tc>
          <w:tcPr>
            <w:tcW w:type="dxa" w:w="2351"/>
            <w:shd w:fill="1F4E78"/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20"/>
              </w:rPr>
              <w:t>参与人</w:t>
            </w:r>
          </w:p>
        </w:tc>
        <w:tc>
          <w:tcPr>
            <w:tcW w:type="dxa" w:w="2351"/>
            <w:shd w:fill="1F4E78"/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20"/>
              </w:rPr>
              <w:t>固定输出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每日执行协调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工作日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核心执行团队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阻塞事项及当日行动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周计划与风险会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每周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项目经理、业务、技术、供应商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周计划、资源负荷、重点风险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项目周报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每周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项目管理团队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状态判断、偏差、决策请求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指导委员会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每月或重大事项触发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发起人及核心负责人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重大决策、变更和资源支持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阶段门禁评审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里程碑前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对应领域负责人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门禁结论及整改项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价值评审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上线后按月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业务负责人、发起人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用户采纳和收益证据</w:t>
            </w:r>
          </w:p>
        </w:tc>
      </w:tr>
    </w:tbl>
    <w:p>
      <w:pPr>
        <w:pStyle w:val="Heading1"/>
      </w:pPr>
      <w:r>
        <w:rPr>
          <w:rFonts w:ascii="PingFang SC" w:hAnsi="PingFang SC" w:eastAsia="PingFang SC" w:cs="PingFang SC"/>
        </w:rPr>
        <w:t>四 阶段门禁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D9E1F2"/>
          <w:left w:val="single" w:sz="4" w:color="D9E1F2"/>
          <w:bottom w:val="single" w:sz="4" w:color="D9E1F2"/>
          <w:right w:val="single" w:sz="4" w:color="D9E1F2"/>
          <w:insideH w:val="single" w:sz="4" w:color="D9E1F2"/>
          <w:insideV w:val="single" w:sz="4" w:color="D9E1F2"/>
        </w:tblBorders>
      </w:tblPr>
      <w:tblGrid>
        <w:gridCol w:w="4703"/>
        <w:gridCol w:w="4703"/>
      </w:tblGrid>
      <w:tr>
        <w:tc>
          <w:tcPr>
            <w:tcW w:type="dxa" w:w="4703"/>
            <w:shd w:fill="1F4E78"/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4703"/>
            <w:shd w:fill="1F4E78"/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20"/>
              </w:rPr>
              <w:t>必须具备的退出条件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启动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项目章程、目标、范围、预算、治理和责任人明确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需求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P0/P1/P2分类、验收标准和需求追踪关系明确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设计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业务、架构、数据、接口、安全和原型评审通过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开发测试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P0功能完成，核心集成测试通过，严重缺陷受控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上线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数据、接口、权限、UAT、回退、培训和运维全部具备证据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移交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运维手册、监控、账号、SLA、遗留问题和责任完成移交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价值评审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PingFang SC" w:hAnsi="PingFang SC" w:eastAsia="PingFang SC" w:cs="PingFang SC"/>
                <w:sz w:val="19"/>
              </w:rPr>
              <w:t>使用率、效率改善、风险降低和用户反馈完成评估</w:t>
            </w:r>
          </w:p>
        </w:tc>
      </w:tr>
    </w:tbl>
    <w:p>
      <w:pPr>
        <w:pStyle w:val="Heading1"/>
      </w:pPr>
      <w:r>
        <w:rPr>
          <w:rFonts w:ascii="PingFang SC" w:hAnsi="PingFang SC" w:eastAsia="PingFang SC" w:cs="PingFang SC"/>
        </w:rPr>
        <w:t>五 风险问题与变更控制</w:t>
      </w:r>
    </w:p>
    <w:p>
      <w:pPr>
        <w:pStyle w:val="ListBullet"/>
      </w:pPr>
      <w:r>
        <w:rPr>
          <w:rFonts w:ascii="PingFang SC" w:hAnsi="PingFang SC" w:eastAsia="PingFang SC" w:cs="PingFang SC"/>
        </w:rPr>
        <w:t>尚未发生但可能影响目标的事项登记为风险；已经发生的事项登记为问题。</w:t>
      </w:r>
    </w:p>
    <w:p>
      <w:pPr>
        <w:pStyle w:val="ListBullet"/>
      </w:pPr>
      <w:r>
        <w:rPr>
          <w:rFonts w:ascii="PingFang SC" w:hAnsi="PingFang SC" w:eastAsia="PingFang SC" w:cs="PingFang SC"/>
        </w:rPr>
        <w:t>风险触发后转入问题台账，同时保留风险编号和处理记录。</w:t>
      </w:r>
    </w:p>
    <w:p>
      <w:pPr>
        <w:pStyle w:val="ListBullet"/>
      </w:pPr>
      <w:r>
        <w:rPr>
          <w:rFonts w:ascii="PingFang SC" w:hAnsi="PingFang SC" w:eastAsia="PingFang SC" w:cs="PingFang SC"/>
        </w:rPr>
        <w:t>重大风险、跨部门阻塞及影响里程碑的事项必须进入升级路径。</w:t>
      </w:r>
    </w:p>
    <w:p>
      <w:pPr>
        <w:pStyle w:val="ListBullet"/>
      </w:pPr>
      <w:r>
        <w:rPr>
          <w:rFonts w:ascii="PingFang SC" w:hAnsi="PingFang SC" w:eastAsia="PingFang SC" w:cs="PingFang SC"/>
        </w:rPr>
        <w:t>任何范围、进度、成本或关键技术变化必须完成影响评估后再批准。</w:t>
      </w:r>
    </w:p>
    <w:p>
      <w:pPr>
        <w:pStyle w:val="ListBullet"/>
      </w:pPr>
      <w:r>
        <w:rPr>
          <w:rFonts w:ascii="PingFang SC" w:hAnsi="PingFang SC" w:eastAsia="PingFang SC" w:cs="PingFang SC"/>
        </w:rPr>
        <w:t>口头需求和会议建议不能直接进入开发，必须形成需求或变更记录。</w:t>
      </w:r>
    </w:p>
    <w:p>
      <w:pPr>
        <w:pStyle w:val="Heading1"/>
      </w:pPr>
      <w:r>
        <w:rPr>
          <w:rFonts w:ascii="PingFang SC" w:hAnsi="PingFang SC" w:eastAsia="PingFang SC" w:cs="PingFang SC"/>
        </w:rPr>
        <w:t>六 AI PMO运行边界</w:t>
      </w:r>
    </w:p>
    <w:p>
      <w:r>
        <w:rPr>
          <w:rFonts w:ascii="PingFang SC" w:hAnsi="PingFang SC" w:eastAsia="PingFang SC" w:cs="PingFang SC"/>
        </w:rPr>
        <w:t>AI PMO可以识别异常、解释影响、预测趋势、草拟报告和提出行动建议。项目经理及授权决策人负责核实证据、确认建议和批准基线变更。每次运行应记录数据截止日期、输入文件、使用规则、发现事项、人工确认和处理结果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PingFang SC" w:hAnsi="PingFang SC" w:eastAsia="PingFang SC" w:cs="PingFang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ingFang SC" w:hAnsi="PingFang SC" w:eastAsia="PingFang SC" w:cs="PingFang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PingFang SC" w:hAnsi="PingFang SC" w:eastAsia="PingFang SC" w:cs="PingFang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ingFang SC" w:hAnsi="PingFang SC" w:eastAsia="PingFang SC" w:cs="PingFang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PingFang SC" w:hAnsi="PingFang SC" w:eastAsia="PingFang SC" w:cs="PingFang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 w:cs="PingFang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 w:cs="PingFang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 w:eastAsia="PingFang SC" w:cs="PingFang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PingFang SC" w:hAnsi="PingFang SC" w:eastAsia="PingFang SC" w:cs="PingFang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PingFang SC" w:hAnsi="PingFang SC" w:eastAsia="PingFang SC" w:cs="PingFang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PingFang SC" w:hAnsi="PingFang SC" w:eastAsia="PingFang SC" w:cs="PingFang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PingFang SC" w:hAnsi="PingFang SC" w:eastAsia="PingFang SC" w:cs="PingFang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PingFang SC" w:hAnsi="PingFang SC" w:eastAsia="PingFang SC" w:cs="PingFang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PingFang SC" w:hAnsi="PingFang SC" w:eastAsia="PingFang SC" w:cs="PingFang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PingFang SC" w:hAnsi="PingFang SC" w:eastAsia="PingFang SC" w:cs="PingFang SC"/>
    </w:rPr>
  </w:style>
  <w:style w:type="table" w:default="1" w:styleId="TableNormal">
    <w:name w:val="Normal Table"/>
    <w:uiPriority w:val="99"/>
    <w:semiHidden/>
    <w:unhideWhenUsed/>
    <w:rPr>
      <w:rFonts w:ascii="PingFang SC" w:hAnsi="PingFang SC" w:eastAsia="PingFang SC" w:cs="PingFang S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PingFang SC" w:hAnsi="PingFang SC" w:eastAsia="PingFang SC" w:cs="PingFang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PingFang SC" w:hAnsi="PingFang SC" w:eastAsia="PingFang SC" w:cs="PingFang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PingFang SC" w:hAnsi="PingFang SC" w:eastAsia="PingFang SC" w:cs="PingFang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PingFang SC" w:hAnsi="PingFang SC" w:eastAsia="PingFang SC" w:cs="PingFang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 w:eastAsia="PingFang SC" w:cs="PingFang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PingFang SC" w:hAnsi="PingFang SC" w:eastAsia="PingFang SC" w:cs="PingFang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PingFang SC" w:hAnsi="PingFang SC" w:eastAsia="PingFang SC" w:cs="PingFang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PingFang SC" w:hAnsi="PingFang SC" w:eastAsia="PingFang SC" w:cs="PingFang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PingFang SC" w:hAnsi="PingFang SC" w:eastAsia="PingFang SC" w:cs="PingFang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PingFang SC" w:hAnsi="PingFang SC" w:eastAsia="PingFang SC" w:cs="PingFang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PingFang SC" w:hAnsi="PingFang SC" w:eastAsia="PingFang SC" w:cs="PingFang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PingFang SC" w:hAnsi="PingFang SC" w:eastAsia="PingFang SC" w:cs="PingFang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PingFang SC" w:hAnsi="PingFang SC" w:eastAsia="PingFang SC" w:cs="PingFang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PingFang SC" w:hAnsi="PingFang SC" w:eastAsia="PingFang SC" w:cs="PingFang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PingFang SC" w:hAnsi="PingFang SC" w:eastAsia="PingFang SC" w:cs="PingFang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PingFang SC" w:hAnsi="PingFang SC" w:eastAsia="PingFang SC" w:cs="PingFang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PingFang SC" w:hAnsi="PingFang SC" w:eastAsia="PingFang SC" w:cs="PingFang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PingFang SC" w:hAnsi="PingFang SC" w:eastAsia="PingFang SC" w:cs="PingFang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PingFang SC" w:hAnsi="PingFang SC" w:eastAsia="PingFang SC" w:cs="PingFang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PingFang SC" w:hAnsi="PingFang SC" w:eastAsia="PingFang SC" w:cs="PingFang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PingFang SC" w:hAnsi="PingFang SC" w:eastAsia="PingFang SC" w:cs="PingFang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PingFang SC" w:hAnsi="PingFang SC" w:eastAsia="PingFang SC" w:cs="PingFang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PingFang SC" w:hAnsi="PingFang SC" w:eastAsia="PingFang SC" w:cs="PingFang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PingFang SC" w:hAnsi="PingFang SC" w:eastAsia="PingFang SC" w:cs="PingFang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PingFang SC" w:hAnsi="PingFang SC" w:eastAsia="PingFang SC" w:cs="PingFang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PingFang SC" w:hAnsi="PingFang SC" w:eastAsia="PingFang SC" w:cs="PingFang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PingFang SC" w:hAnsi="PingFang SC" w:eastAsia="PingFang SC" w:cs="PingFang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PingFang SC" w:hAnsi="PingFang SC" w:eastAsia="PingFang SC" w:cs="PingFang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PingFang SC" w:hAnsi="PingFang SC" w:eastAsia="PingFang SC" w:cs="PingFang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PingFang SC" w:hAnsi="PingFang SC" w:eastAsia="PingFang SC" w:cs="PingFang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PingFang SC" w:hAnsi="PingFang SC" w:eastAsia="PingFang SC" w:cs="PingFang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PingFang SC" w:hAnsi="PingFang SC" w:eastAsia="PingFang SC" w:cs="PingFang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PingFang SC" w:hAnsi="PingFang SC" w:eastAsia="PingFang SC" w:cs="PingFang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PingFang SC" w:hAnsi="PingFang SC" w:eastAsia="PingFang SC" w:cs="PingFang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PingFang SC" w:hAnsi="PingFang SC" w:eastAsia="PingFang SC" w:cs="PingFang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PingFang SC" w:hAnsi="PingFang SC" w:eastAsia="PingFang SC" w:cs="PingFang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PingFang SC" w:hAnsi="PingFang SC" w:eastAsia="PingFang SC" w:cs="PingFang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PingFang SC" w:hAnsi="PingFang SC" w:eastAsia="PingFang SC" w:cs="PingFang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PingFang SC" w:hAnsi="PingFang SC" w:eastAsia="PingFang SC" w:cs="PingFang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PingFang SC" w:hAnsi="PingFang SC" w:eastAsia="PingFang SC" w:cs="PingFang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PingFang SC" w:hAnsi="PingFang SC" w:eastAsia="PingFang SC" w:cs="PingFang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PingFang SC" w:hAnsi="PingFang SC" w:eastAsia="PingFang SC" w:cs="PingFang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PingFang SC" w:hAnsi="PingFang SC" w:eastAsia="PingFang SC" w:cs="PingFang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PingFang SC" w:hAnsi="PingFang SC" w:eastAsia="PingFang SC" w:cs="PingFang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PingFang SC" w:hAnsi="PingFang SC" w:eastAsia="PingFang SC" w:cs="PingFang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PingFang SC" w:hAnsi="PingFang SC" w:eastAsia="PingFang SC" w:cs="PingFang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PingFang SC" w:hAnsi="PingFang SC" w:eastAsia="PingFang SC" w:cs="PingFang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PingFang SC" w:hAnsi="PingFang SC" w:eastAsia="PingFang SC" w:cs="PingFang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PingFang SC" w:hAnsi="PingFang SC" w:eastAsia="PingFang SC" w:cs="PingFang S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PingFang SC" w:hAnsi="PingFang SC" w:eastAsia="PingFang SC" w:cs="PingFang S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PingFang SC" w:hAnsi="PingFang SC" w:eastAsia="PingFang SC" w:cs="PingFang S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PingFang SC" w:hAnsi="PingFang SC" w:eastAsia="PingFang SC" w:cs="PingFang S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PingFang SC" w:hAnsi="PingFang SC" w:eastAsia="PingFang SC" w:cs="PingFang S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PingFang SC" w:hAnsi="PingFang SC" w:eastAsia="PingFang SC" w:cs="PingFang S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PingFang SC" w:hAnsi="PingFang SC" w:eastAsia="PingFang SC" w:cs="PingFang S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PingFang SC" w:hAnsi="PingFang SC" w:eastAsia="PingFang SC" w:cs="PingFang S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PingFang SC" w:hAnsi="PingFang SC" w:eastAsia="PingFang SC" w:cs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PingFang SC" w:hAnsi="PingFang SC" w:eastAsia="PingFang SC" w:cs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PingFang SC" w:hAnsi="PingFang SC" w:eastAsia="PingFang SC" w:cs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PingFang SC" w:hAnsi="PingFang SC" w:eastAsia="PingFang SC" w:cs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PingFang SC" w:hAnsi="PingFang SC" w:eastAsia="PingFang SC" w:cs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PingFang SC" w:hAnsi="PingFang SC" w:eastAsia="PingFang SC" w:cs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PingFang SC" w:hAnsi="PingFang SC" w:eastAsia="PingFang SC" w:cs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PingFang SC" w:hAnsi="PingFang SC" w:eastAsia="PingFang SC" w:cs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