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5468EC">
      <w:pPr>
        <w:pStyle w:val="31"/>
        <w:spacing w:before="960" w:after="360"/>
        <w:jc w:val="center"/>
      </w:pPr>
      <w:r>
        <w:t>港口交易平台项目常见风险清单与检查单</w:t>
      </w:r>
    </w:p>
    <w:p w14:paraId="7C5ADA29">
      <w:pPr>
        <w:jc w:val="center"/>
      </w:pPr>
      <w:r>
        <w:rPr>
          <w:rFonts w:ascii="PingFang SC" w:hAnsi="PingFang SC" w:eastAsia="PingFang SC"/>
          <w:color w:val="17365D"/>
          <w:sz w:val="24"/>
        </w:rPr>
        <w:t>适用于业务交易 多系统集成 费用结算 移动端 上线与运维交接</w:t>
      </w:r>
    </w:p>
    <w:p w14:paraId="40CE5871"/>
    <w:tbl>
      <w:tblPr>
        <w:tblStyle w:val="32"/>
        <w:tblW w:w="14462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0"/>
        <w:gridCol w:w="13082"/>
      </w:tblGrid>
      <w:tr w14:paraId="2AF8CFAC">
        <w:trPr>
          <w:trHeight w:val="0" w:hRule="atLeast"/>
          <w:tblHeader/>
          <w:jc w:val="center"/>
        </w:trPr>
        <w:tc>
          <w:tcPr>
            <w:tcW w:w="0" w:type="auto"/>
            <w:shd w:val="clear" w:color="auto" w:fill="17365D"/>
            <w:vAlign w:val="center"/>
          </w:tcPr>
          <w:p w14:paraId="55881228">
            <w:pPr>
              <w:snapToGrid w:val="0"/>
              <w:spacing w:after="0" w:line="252" w:lineRule="auto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用途</w:t>
            </w:r>
          </w:p>
        </w:tc>
        <w:tc>
          <w:tcPr>
            <w:tcW w:w="13082" w:type="dxa"/>
            <w:shd w:val="clear" w:color="auto" w:fill="F4F7FA"/>
            <w:vAlign w:val="center"/>
          </w:tcPr>
          <w:p w14:paraId="23601DFF">
            <w:pPr>
              <w:snapToGrid w:val="0"/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用于项目周会风险扫描、阶段门评审、上线准备检查及风险台账初始化。</w:t>
            </w:r>
          </w:p>
        </w:tc>
      </w:tr>
      <w:tr w14:paraId="00BD736E">
        <w:trPr>
          <w:trHeight w:val="0" w:hRule="atLeast"/>
          <w:tblHeader/>
          <w:jc w:val="center"/>
        </w:trPr>
        <w:tc>
          <w:tcPr>
            <w:tcW w:w="0" w:type="auto"/>
            <w:shd w:val="clear" w:color="auto" w:fill="17365D"/>
            <w:vAlign w:val="center"/>
          </w:tcPr>
          <w:p w14:paraId="2089C0FD">
            <w:pPr>
              <w:snapToGrid w:val="0"/>
              <w:spacing w:after="0" w:line="252" w:lineRule="auto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核心原则</w:t>
            </w:r>
          </w:p>
        </w:tc>
        <w:tc>
          <w:tcPr>
            <w:tcW w:w="13082" w:type="dxa"/>
            <w:shd w:val="clear" w:color="auto" w:fill="F4F7FA"/>
            <w:vAlign w:val="center"/>
          </w:tcPr>
          <w:p w14:paraId="49390D6F">
            <w:pPr>
              <w:snapToGrid w:val="0"/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风险必须有触发信号、责任人、应对动作、目标日期和关闭证据。风险一旦发生，转入问题台账管理。</w:t>
            </w:r>
          </w:p>
        </w:tc>
      </w:tr>
      <w:tr w14:paraId="52FC32DC">
        <w:trPr>
          <w:trHeight w:val="0" w:hRule="atLeast"/>
          <w:tblHeader/>
          <w:jc w:val="center"/>
        </w:trPr>
        <w:tc>
          <w:tcPr>
            <w:tcW w:w="1380" w:type="dxa"/>
            <w:shd w:val="clear" w:color="auto" w:fill="17365D"/>
            <w:vAlign w:val="center"/>
          </w:tcPr>
          <w:p w14:paraId="7CD0BA87">
            <w:pPr>
              <w:snapToGrid w:val="0"/>
              <w:spacing w:after="0" w:line="252" w:lineRule="auto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使用方式</w:t>
            </w:r>
          </w:p>
        </w:tc>
        <w:tc>
          <w:tcPr>
            <w:tcW w:w="13082" w:type="dxa"/>
            <w:shd w:val="clear" w:color="auto" w:fill="F4F7FA"/>
            <w:vAlign w:val="center"/>
          </w:tcPr>
          <w:p w14:paraId="21F54150">
            <w:pPr>
              <w:snapToGrid w:val="0"/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每周逐项检查适用风险；高风险立即升级，中风险连续两周未下降则升级，已关闭风险必须验证措施有效。</w:t>
            </w:r>
          </w:p>
        </w:tc>
      </w:tr>
    </w:tbl>
    <w:p w14:paraId="18F481CE">
      <w:r>
        <w:br w:type="page"/>
      </w:r>
    </w:p>
    <w:p w14:paraId="4638290D">
      <w:pPr>
        <w:pStyle w:val="3"/>
      </w:pPr>
      <w:r>
        <w:t>风险分级和升级规则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63"/>
        <w:gridCol w:w="3563"/>
        <w:gridCol w:w="3563"/>
        <w:gridCol w:w="3563"/>
      </w:tblGrid>
      <w:tr w14:paraId="34C6A05E">
        <w:trPr>
          <w:jc w:val="center"/>
        </w:trPr>
        <w:tc>
          <w:tcPr>
            <w:tcW w:w="3563" w:type="dxa"/>
            <w:shd w:val="clear" w:color="auto" w:fill="17365D"/>
            <w:vAlign w:val="center"/>
          </w:tcPr>
          <w:p w14:paraId="36AFD1AD">
            <w:pPr>
              <w:spacing w:after="0" w:line="252" w:lineRule="auto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等级</w:t>
            </w:r>
          </w:p>
        </w:tc>
        <w:tc>
          <w:tcPr>
            <w:tcW w:w="3563" w:type="dxa"/>
            <w:shd w:val="clear" w:color="auto" w:fill="17365D"/>
            <w:vAlign w:val="center"/>
          </w:tcPr>
          <w:p w14:paraId="027483E7">
            <w:pPr>
              <w:spacing w:after="0" w:line="252" w:lineRule="auto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判定标准</w:t>
            </w:r>
          </w:p>
        </w:tc>
        <w:tc>
          <w:tcPr>
            <w:tcW w:w="3563" w:type="dxa"/>
            <w:shd w:val="clear" w:color="auto" w:fill="17365D"/>
            <w:vAlign w:val="center"/>
          </w:tcPr>
          <w:p w14:paraId="09F3F518">
            <w:pPr>
              <w:spacing w:after="0" w:line="252" w:lineRule="auto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响应时限</w:t>
            </w:r>
          </w:p>
        </w:tc>
        <w:tc>
          <w:tcPr>
            <w:tcW w:w="3563" w:type="dxa"/>
            <w:shd w:val="clear" w:color="auto" w:fill="17365D"/>
            <w:vAlign w:val="center"/>
          </w:tcPr>
          <w:p w14:paraId="4582334F">
            <w:pPr>
              <w:spacing w:after="0" w:line="252" w:lineRule="auto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升级要求</w:t>
            </w:r>
          </w:p>
        </w:tc>
      </w:tr>
      <w:tr w14:paraId="09F21322">
        <w:trPr>
          <w:jc w:val="center"/>
        </w:trPr>
        <w:tc>
          <w:tcPr>
            <w:tcW w:w="3563" w:type="dxa"/>
            <w:vAlign w:val="center"/>
          </w:tcPr>
          <w:p w14:paraId="283EEFB9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高</w:t>
            </w:r>
          </w:p>
        </w:tc>
        <w:tc>
          <w:tcPr>
            <w:tcW w:w="3563" w:type="dxa"/>
            <w:vAlign w:val="center"/>
          </w:tcPr>
          <w:p w14:paraId="131DCF4B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可能影响核心业务闭环、上线时间、资金结算、数据安全、合规或重大客户关系</w:t>
            </w:r>
          </w:p>
        </w:tc>
        <w:tc>
          <w:tcPr>
            <w:tcW w:w="3563" w:type="dxa"/>
            <w:vAlign w:val="center"/>
          </w:tcPr>
          <w:p w14:paraId="6B6B2452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立即响应</w:t>
            </w:r>
          </w:p>
        </w:tc>
        <w:tc>
          <w:tcPr>
            <w:tcW w:w="3563" w:type="dxa"/>
            <w:vAlign w:val="center"/>
          </w:tcPr>
          <w:p w14:paraId="4300FFF9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项目经理当天升级项目负责人和决策人</w:t>
            </w:r>
          </w:p>
        </w:tc>
      </w:tr>
      <w:tr w14:paraId="4FA26BA9">
        <w:trPr>
          <w:jc w:val="center"/>
        </w:trPr>
        <w:tc>
          <w:tcPr>
            <w:tcW w:w="3563" w:type="dxa"/>
            <w:shd w:val="clear" w:color="auto" w:fill="F4F7FA"/>
            <w:vAlign w:val="center"/>
          </w:tcPr>
          <w:p w14:paraId="6D4CB4DF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中</w:t>
            </w:r>
          </w:p>
        </w:tc>
        <w:tc>
          <w:tcPr>
            <w:tcW w:w="3563" w:type="dxa"/>
            <w:shd w:val="clear" w:color="auto" w:fill="F4F7FA"/>
            <w:vAlign w:val="center"/>
          </w:tcPr>
          <w:p w14:paraId="35D98B18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可能影响阶段交付，但可通过资源、方案或计划调整控制</w:t>
            </w:r>
          </w:p>
        </w:tc>
        <w:tc>
          <w:tcPr>
            <w:tcW w:w="3563" w:type="dxa"/>
            <w:shd w:val="clear" w:color="auto" w:fill="F4F7FA"/>
            <w:vAlign w:val="center"/>
          </w:tcPr>
          <w:p w14:paraId="5BF8D966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2个工作日</w:t>
            </w:r>
          </w:p>
        </w:tc>
        <w:tc>
          <w:tcPr>
            <w:tcW w:w="3563" w:type="dxa"/>
            <w:shd w:val="clear" w:color="auto" w:fill="F4F7FA"/>
            <w:vAlign w:val="center"/>
          </w:tcPr>
          <w:p w14:paraId="6F9FEEB8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连续两周未下降时升级</w:t>
            </w:r>
          </w:p>
        </w:tc>
      </w:tr>
      <w:tr w14:paraId="735049A9">
        <w:trPr>
          <w:jc w:val="center"/>
        </w:trPr>
        <w:tc>
          <w:tcPr>
            <w:tcW w:w="3563" w:type="dxa"/>
            <w:vAlign w:val="center"/>
          </w:tcPr>
          <w:p w14:paraId="701A3B21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低</w:t>
            </w:r>
          </w:p>
        </w:tc>
        <w:tc>
          <w:tcPr>
            <w:tcW w:w="3563" w:type="dxa"/>
            <w:vAlign w:val="center"/>
          </w:tcPr>
          <w:p w14:paraId="1765E802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局部影响，有明确替代方案，可由执行团队解决</w:t>
            </w:r>
          </w:p>
        </w:tc>
        <w:tc>
          <w:tcPr>
            <w:tcW w:w="3563" w:type="dxa"/>
            <w:vAlign w:val="center"/>
          </w:tcPr>
          <w:p w14:paraId="39973180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本周内</w:t>
            </w:r>
          </w:p>
        </w:tc>
        <w:tc>
          <w:tcPr>
            <w:tcW w:w="3563" w:type="dxa"/>
            <w:vAlign w:val="center"/>
          </w:tcPr>
          <w:p w14:paraId="5039F1DE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纳入周会跟踪，超期转中风险</w:t>
            </w:r>
          </w:p>
        </w:tc>
      </w:tr>
      <w:tr w14:paraId="3680A5C1">
        <w:trPr>
          <w:jc w:val="center"/>
        </w:trPr>
        <w:tc>
          <w:tcPr>
            <w:tcW w:w="3563" w:type="dxa"/>
            <w:shd w:val="clear" w:color="auto" w:fill="F4F7FA"/>
            <w:vAlign w:val="center"/>
          </w:tcPr>
          <w:p w14:paraId="5054DDF7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问题</w:t>
            </w:r>
          </w:p>
        </w:tc>
        <w:tc>
          <w:tcPr>
            <w:tcW w:w="3563" w:type="dxa"/>
            <w:shd w:val="clear" w:color="auto" w:fill="F4F7FA"/>
            <w:vAlign w:val="center"/>
          </w:tcPr>
          <w:p w14:paraId="333D548B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风险事件已经发生，正在造成实际影响</w:t>
            </w:r>
          </w:p>
        </w:tc>
        <w:tc>
          <w:tcPr>
            <w:tcW w:w="3563" w:type="dxa"/>
            <w:shd w:val="clear" w:color="auto" w:fill="F4F7FA"/>
            <w:vAlign w:val="center"/>
          </w:tcPr>
          <w:p w14:paraId="579E63E5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立即处理</w:t>
            </w:r>
          </w:p>
        </w:tc>
        <w:tc>
          <w:tcPr>
            <w:tcW w:w="3563" w:type="dxa"/>
            <w:shd w:val="clear" w:color="auto" w:fill="F4F7FA"/>
            <w:vAlign w:val="center"/>
          </w:tcPr>
          <w:p w14:paraId="798B413F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转入问题台账，明确止损、恢复和根因整改</w:t>
            </w:r>
          </w:p>
        </w:tc>
      </w:tr>
    </w:tbl>
    <w:p w14:paraId="068FEE84">
      <w:pPr>
        <w:pStyle w:val="4"/>
      </w:pPr>
      <w:r>
        <w:t>风险评分建议</w:t>
      </w:r>
    </w:p>
    <w:p w14:paraId="717E30A5">
      <w:r>
        <w:t>发生概率和影响程度分别按1至5分评估，风险分值等于概率乘以影响。15至25分为高风险，6至14分为中风险，1至5分为低风险。涉及安全、资金结算、合规或核心交易中断时，无论得分多少均可直接判定为高风险。</w:t>
      </w:r>
    </w:p>
    <w:p w14:paraId="4739FDA0">
      <w:r>
        <w:br w:type="page"/>
      </w:r>
    </w:p>
    <w:p w14:paraId="2D65510F">
      <w:pPr>
        <w:pStyle w:val="3"/>
      </w:pPr>
      <w:r>
        <w:t>常见风险清单</w:t>
      </w:r>
    </w:p>
    <w:p w14:paraId="2DA01392">
      <w:pPr>
        <w:spacing w:after="160"/>
      </w:pPr>
      <w:r>
        <w:t>建议将适用项导入项目风险台账，并补充责任人、概率、影响、目标日期、当前状态和关闭证据。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7"/>
        <w:gridCol w:w="1247"/>
        <w:gridCol w:w="2268"/>
        <w:gridCol w:w="2948"/>
        <w:gridCol w:w="3118"/>
        <w:gridCol w:w="3402"/>
      </w:tblGrid>
      <w:tr w14:paraId="63B16D44">
        <w:trPr>
          <w:tblHeader/>
          <w:jc w:val="center"/>
        </w:trPr>
        <w:tc>
          <w:tcPr>
            <w:tcW w:w="2375" w:type="dxa"/>
            <w:shd w:val="clear" w:color="auto" w:fill="17365D"/>
            <w:vAlign w:val="center"/>
          </w:tcPr>
          <w:p w14:paraId="26365DEB">
            <w:pPr>
              <w:spacing w:after="0" w:line="252" w:lineRule="auto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编号</w:t>
            </w:r>
          </w:p>
        </w:tc>
        <w:tc>
          <w:tcPr>
            <w:tcW w:w="2375" w:type="dxa"/>
            <w:shd w:val="clear" w:color="auto" w:fill="17365D"/>
            <w:vAlign w:val="center"/>
          </w:tcPr>
          <w:p w14:paraId="66D7BE98">
            <w:pPr>
              <w:spacing w:after="0" w:line="252" w:lineRule="auto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领域</w:t>
            </w:r>
          </w:p>
        </w:tc>
        <w:tc>
          <w:tcPr>
            <w:tcW w:w="2375" w:type="dxa"/>
            <w:shd w:val="clear" w:color="auto" w:fill="17365D"/>
            <w:vAlign w:val="center"/>
          </w:tcPr>
          <w:p w14:paraId="5106C849">
            <w:pPr>
              <w:spacing w:after="0" w:line="252" w:lineRule="auto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风险事件</w:t>
            </w:r>
          </w:p>
        </w:tc>
        <w:tc>
          <w:tcPr>
            <w:tcW w:w="2375" w:type="dxa"/>
            <w:shd w:val="clear" w:color="auto" w:fill="17365D"/>
            <w:vAlign w:val="center"/>
          </w:tcPr>
          <w:p w14:paraId="683E1D18">
            <w:pPr>
              <w:spacing w:after="0" w:line="252" w:lineRule="auto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早期预警信号</w:t>
            </w:r>
          </w:p>
        </w:tc>
        <w:tc>
          <w:tcPr>
            <w:tcW w:w="2375" w:type="dxa"/>
            <w:shd w:val="clear" w:color="auto" w:fill="17365D"/>
            <w:vAlign w:val="center"/>
          </w:tcPr>
          <w:p w14:paraId="74C00B8E">
            <w:pPr>
              <w:spacing w:after="0" w:line="252" w:lineRule="auto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检查问题</w:t>
            </w:r>
          </w:p>
        </w:tc>
        <w:tc>
          <w:tcPr>
            <w:tcW w:w="2375" w:type="dxa"/>
            <w:shd w:val="clear" w:color="auto" w:fill="17365D"/>
            <w:vAlign w:val="center"/>
          </w:tcPr>
          <w:p w14:paraId="378A4C84">
            <w:pPr>
              <w:spacing w:after="0" w:line="252" w:lineRule="auto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建议应对</w:t>
            </w:r>
          </w:p>
        </w:tc>
      </w:tr>
      <w:tr w14:paraId="159FAD48">
        <w:trPr>
          <w:jc w:val="center"/>
        </w:trPr>
        <w:tc>
          <w:tcPr>
            <w:tcW w:w="737" w:type="dxa"/>
            <w:vAlign w:val="center"/>
          </w:tcPr>
          <w:p w14:paraId="3F55F10F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R01</w:t>
            </w:r>
          </w:p>
        </w:tc>
        <w:tc>
          <w:tcPr>
            <w:tcW w:w="1247" w:type="dxa"/>
            <w:vAlign w:val="center"/>
          </w:tcPr>
          <w:p w14:paraId="03AAE97C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目标与范围</w:t>
            </w:r>
          </w:p>
        </w:tc>
        <w:tc>
          <w:tcPr>
            <w:tcW w:w="2268" w:type="dxa"/>
            <w:vAlign w:val="center"/>
          </w:tcPr>
          <w:p w14:paraId="0A4CCD2D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5"/>
              </w:rPr>
              <w:t>项目目标和成功标准不一致</w:t>
            </w:r>
          </w:p>
        </w:tc>
        <w:tc>
          <w:tcPr>
            <w:tcW w:w="2948" w:type="dxa"/>
            <w:vAlign w:val="center"/>
          </w:tcPr>
          <w:p w14:paraId="56F96AA9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5"/>
              </w:rPr>
              <w:t>不同部门汇报口径不同；一期二期边界反复变化</w:t>
            </w:r>
          </w:p>
        </w:tc>
        <w:tc>
          <w:tcPr>
            <w:tcW w:w="3118" w:type="dxa"/>
            <w:vAlign w:val="center"/>
          </w:tcPr>
          <w:p w14:paraId="20BCA186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5"/>
              </w:rPr>
              <w:t>本期必须完成的业务闭环和量化成功标准是否已书面确认？</w:t>
            </w:r>
          </w:p>
        </w:tc>
        <w:tc>
          <w:tcPr>
            <w:tcW w:w="3402" w:type="dxa"/>
            <w:vAlign w:val="center"/>
          </w:tcPr>
          <w:p w14:paraId="54C27F60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5"/>
              </w:rPr>
              <w:t>固化目标、范围边界和验收指标；由项目发起人确认。</w:t>
            </w:r>
          </w:p>
        </w:tc>
      </w:tr>
      <w:tr w14:paraId="1D67FF0D">
        <w:trPr>
          <w:jc w:val="center"/>
        </w:trPr>
        <w:tc>
          <w:tcPr>
            <w:tcW w:w="737" w:type="dxa"/>
            <w:shd w:val="clear" w:color="auto" w:fill="F4F7FA"/>
            <w:vAlign w:val="center"/>
          </w:tcPr>
          <w:p w14:paraId="199CF14C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R02</w:t>
            </w:r>
          </w:p>
        </w:tc>
        <w:tc>
          <w:tcPr>
            <w:tcW w:w="1247" w:type="dxa"/>
            <w:shd w:val="clear" w:color="auto" w:fill="F4F7FA"/>
            <w:vAlign w:val="center"/>
          </w:tcPr>
          <w:p w14:paraId="212B1186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目标与范围</w:t>
            </w:r>
          </w:p>
        </w:tc>
        <w:tc>
          <w:tcPr>
            <w:tcW w:w="2268" w:type="dxa"/>
            <w:shd w:val="clear" w:color="auto" w:fill="F4F7FA"/>
            <w:vAlign w:val="center"/>
          </w:tcPr>
          <w:p w14:paraId="42994AE4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5"/>
              </w:rPr>
              <w:t>需求持续增加但计划未调整</w:t>
            </w:r>
          </w:p>
        </w:tc>
        <w:tc>
          <w:tcPr>
            <w:tcW w:w="2948" w:type="dxa"/>
            <w:shd w:val="clear" w:color="auto" w:fill="F4F7FA"/>
            <w:vAlign w:val="center"/>
          </w:tcPr>
          <w:p w14:paraId="4747A44C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5"/>
              </w:rPr>
              <w:t>口头插单增加；任务数量上升但里程碑不变</w:t>
            </w:r>
          </w:p>
        </w:tc>
        <w:tc>
          <w:tcPr>
            <w:tcW w:w="3118" w:type="dxa"/>
            <w:shd w:val="clear" w:color="auto" w:fill="F4F7FA"/>
            <w:vAlign w:val="center"/>
          </w:tcPr>
          <w:p w14:paraId="39114947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5"/>
              </w:rPr>
              <w:t>本周是否出现未登记、未评估的新增需求？</w:t>
            </w:r>
          </w:p>
        </w:tc>
        <w:tc>
          <w:tcPr>
            <w:tcW w:w="3402" w:type="dxa"/>
            <w:shd w:val="clear" w:color="auto" w:fill="F4F7FA"/>
            <w:vAlign w:val="center"/>
          </w:tcPr>
          <w:p w14:paraId="7682D931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5"/>
              </w:rPr>
              <w:t>所有新增需求进入变更流程，评估范围、工期、资源和成本。</w:t>
            </w:r>
          </w:p>
        </w:tc>
      </w:tr>
      <w:tr w14:paraId="50252EDC">
        <w:trPr>
          <w:jc w:val="center"/>
        </w:trPr>
        <w:tc>
          <w:tcPr>
            <w:tcW w:w="737" w:type="dxa"/>
            <w:vAlign w:val="center"/>
          </w:tcPr>
          <w:p w14:paraId="561655F8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R03</w:t>
            </w:r>
          </w:p>
        </w:tc>
        <w:tc>
          <w:tcPr>
            <w:tcW w:w="1247" w:type="dxa"/>
            <w:vAlign w:val="center"/>
          </w:tcPr>
          <w:p w14:paraId="471D3B17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需求治理</w:t>
            </w:r>
          </w:p>
        </w:tc>
        <w:tc>
          <w:tcPr>
            <w:tcW w:w="2268" w:type="dxa"/>
            <w:vAlign w:val="center"/>
          </w:tcPr>
          <w:p w14:paraId="16BDA0A6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5"/>
              </w:rPr>
              <w:t>需求缺少可测试的验收标准</w:t>
            </w:r>
          </w:p>
        </w:tc>
        <w:tc>
          <w:tcPr>
            <w:tcW w:w="2948" w:type="dxa"/>
            <w:vAlign w:val="center"/>
          </w:tcPr>
          <w:p w14:paraId="777DCEEE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5"/>
              </w:rPr>
              <w:t>开发反复询问；测试无法编写用例</w:t>
            </w:r>
          </w:p>
        </w:tc>
        <w:tc>
          <w:tcPr>
            <w:tcW w:w="3118" w:type="dxa"/>
            <w:vAlign w:val="center"/>
          </w:tcPr>
          <w:p w14:paraId="7A32FA99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5"/>
              </w:rPr>
              <w:t>需求是否包含正常流程、异常流程、规则、权限和验收样例？</w:t>
            </w:r>
          </w:p>
        </w:tc>
        <w:tc>
          <w:tcPr>
            <w:tcW w:w="3402" w:type="dxa"/>
            <w:vAlign w:val="center"/>
          </w:tcPr>
          <w:p w14:paraId="5749A18F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5"/>
              </w:rPr>
              <w:t>建立需求设计开发测试验收追踪关系。</w:t>
            </w:r>
          </w:p>
        </w:tc>
      </w:tr>
      <w:tr w14:paraId="5D1BF576">
        <w:trPr>
          <w:jc w:val="center"/>
        </w:trPr>
        <w:tc>
          <w:tcPr>
            <w:tcW w:w="737" w:type="dxa"/>
            <w:shd w:val="clear" w:color="auto" w:fill="F4F7FA"/>
            <w:vAlign w:val="center"/>
          </w:tcPr>
          <w:p w14:paraId="2809AC80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R04</w:t>
            </w:r>
          </w:p>
        </w:tc>
        <w:tc>
          <w:tcPr>
            <w:tcW w:w="1247" w:type="dxa"/>
            <w:shd w:val="clear" w:color="auto" w:fill="F4F7FA"/>
            <w:vAlign w:val="center"/>
          </w:tcPr>
          <w:p w14:paraId="7258520A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需求治理</w:t>
            </w:r>
          </w:p>
        </w:tc>
        <w:tc>
          <w:tcPr>
            <w:tcW w:w="2268" w:type="dxa"/>
            <w:shd w:val="clear" w:color="auto" w:fill="F4F7FA"/>
            <w:vAlign w:val="center"/>
          </w:tcPr>
          <w:p w14:paraId="663F3082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5"/>
              </w:rPr>
              <w:t>计费结算等业务规则存在冲突</w:t>
            </w:r>
          </w:p>
        </w:tc>
        <w:tc>
          <w:tcPr>
            <w:tcW w:w="2948" w:type="dxa"/>
            <w:shd w:val="clear" w:color="auto" w:fill="F4F7FA"/>
            <w:vAlign w:val="center"/>
          </w:tcPr>
          <w:p w14:paraId="3DB66755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5"/>
              </w:rPr>
              <w:t>业务部门给出不同解释；同类场景处理不一致</w:t>
            </w:r>
          </w:p>
        </w:tc>
        <w:tc>
          <w:tcPr>
            <w:tcW w:w="3118" w:type="dxa"/>
            <w:shd w:val="clear" w:color="auto" w:fill="F4F7FA"/>
            <w:vAlign w:val="center"/>
          </w:tcPr>
          <w:p w14:paraId="505084A4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5"/>
              </w:rPr>
              <w:t>装卸费、堆存费、港杂费、租赁费等规则是否由责任人确认？</w:t>
            </w:r>
          </w:p>
        </w:tc>
        <w:tc>
          <w:tcPr>
            <w:tcW w:w="3402" w:type="dxa"/>
            <w:shd w:val="clear" w:color="auto" w:fill="F4F7FA"/>
            <w:vAlign w:val="center"/>
          </w:tcPr>
          <w:p w14:paraId="369BED67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5"/>
              </w:rPr>
              <w:t>形成规则决策记录和代表性验算样本。</w:t>
            </w:r>
          </w:p>
        </w:tc>
      </w:tr>
      <w:tr w14:paraId="7C037D65">
        <w:trPr>
          <w:jc w:val="center"/>
        </w:trPr>
        <w:tc>
          <w:tcPr>
            <w:tcW w:w="737" w:type="dxa"/>
            <w:vAlign w:val="center"/>
          </w:tcPr>
          <w:p w14:paraId="49A4D585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R05</w:t>
            </w:r>
          </w:p>
        </w:tc>
        <w:tc>
          <w:tcPr>
            <w:tcW w:w="1247" w:type="dxa"/>
            <w:vAlign w:val="center"/>
          </w:tcPr>
          <w:p w14:paraId="434A4807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需求治理</w:t>
            </w:r>
          </w:p>
        </w:tc>
        <w:tc>
          <w:tcPr>
            <w:tcW w:w="2268" w:type="dxa"/>
            <w:vAlign w:val="center"/>
          </w:tcPr>
          <w:p w14:paraId="1AD40954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5"/>
              </w:rPr>
              <w:t>原型确认但字段和状态规则未确认</w:t>
            </w:r>
          </w:p>
        </w:tc>
        <w:tc>
          <w:tcPr>
            <w:tcW w:w="2948" w:type="dxa"/>
            <w:vAlign w:val="center"/>
          </w:tcPr>
          <w:p w14:paraId="3AB9C236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5"/>
              </w:rPr>
              <w:t>页面已签字但字段含义、状态流转仍变化</w:t>
            </w:r>
          </w:p>
        </w:tc>
        <w:tc>
          <w:tcPr>
            <w:tcW w:w="3118" w:type="dxa"/>
            <w:vAlign w:val="center"/>
          </w:tcPr>
          <w:p w14:paraId="7592A3F6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5"/>
              </w:rPr>
              <w:t>原型、数据字典、状态机和权限规则是否同步评审？</w:t>
            </w:r>
          </w:p>
        </w:tc>
        <w:tc>
          <w:tcPr>
            <w:tcW w:w="3402" w:type="dxa"/>
            <w:vAlign w:val="center"/>
          </w:tcPr>
          <w:p w14:paraId="3BC7E58A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5"/>
              </w:rPr>
              <w:t>将原型确认拆分为页面、字段、流程和规则四类证据。</w:t>
            </w:r>
          </w:p>
        </w:tc>
      </w:tr>
      <w:tr w14:paraId="174C9CF9">
        <w:trPr>
          <w:jc w:val="center"/>
        </w:trPr>
        <w:tc>
          <w:tcPr>
            <w:tcW w:w="737" w:type="dxa"/>
            <w:shd w:val="clear" w:color="auto" w:fill="F4F7FA"/>
            <w:vAlign w:val="center"/>
          </w:tcPr>
          <w:p w14:paraId="6AC6D54D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R06</w:t>
            </w:r>
          </w:p>
        </w:tc>
        <w:tc>
          <w:tcPr>
            <w:tcW w:w="1247" w:type="dxa"/>
            <w:shd w:val="clear" w:color="auto" w:fill="F4F7FA"/>
            <w:vAlign w:val="center"/>
          </w:tcPr>
          <w:p w14:paraId="544E50A5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计划进度</w:t>
            </w:r>
          </w:p>
        </w:tc>
        <w:tc>
          <w:tcPr>
            <w:tcW w:w="2268" w:type="dxa"/>
            <w:shd w:val="clear" w:color="auto" w:fill="F4F7FA"/>
            <w:vAlign w:val="center"/>
          </w:tcPr>
          <w:p w14:paraId="3F61F917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5"/>
              </w:rPr>
              <w:t>关键路径延期被总体完成率掩盖</w:t>
            </w:r>
          </w:p>
        </w:tc>
        <w:tc>
          <w:tcPr>
            <w:tcW w:w="2948" w:type="dxa"/>
            <w:shd w:val="clear" w:color="auto" w:fill="F4F7FA"/>
            <w:vAlign w:val="center"/>
          </w:tcPr>
          <w:p w14:paraId="39E2E5CB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5"/>
              </w:rPr>
              <w:t>小任务大量完成但核心链路不能联调</w:t>
            </w:r>
          </w:p>
        </w:tc>
        <w:tc>
          <w:tcPr>
            <w:tcW w:w="3118" w:type="dxa"/>
            <w:shd w:val="clear" w:color="auto" w:fill="F4F7FA"/>
            <w:vAlign w:val="center"/>
          </w:tcPr>
          <w:p w14:paraId="08D45808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5"/>
              </w:rPr>
              <w:t>延期任务是否影响集成、测试、上线或验收阶段门？</w:t>
            </w:r>
          </w:p>
        </w:tc>
        <w:tc>
          <w:tcPr>
            <w:tcW w:w="3402" w:type="dxa"/>
            <w:shd w:val="clear" w:color="auto" w:fill="F4F7FA"/>
            <w:vAlign w:val="center"/>
          </w:tcPr>
          <w:p w14:paraId="49CB522D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5"/>
              </w:rPr>
              <w:t>单独标识关键路径任务和阶段门退出条件。</w:t>
            </w:r>
          </w:p>
        </w:tc>
      </w:tr>
      <w:tr w14:paraId="6DB679ED">
        <w:trPr>
          <w:jc w:val="center"/>
        </w:trPr>
        <w:tc>
          <w:tcPr>
            <w:tcW w:w="737" w:type="dxa"/>
            <w:vAlign w:val="center"/>
          </w:tcPr>
          <w:p w14:paraId="2D6AA4EA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R07</w:t>
            </w:r>
          </w:p>
        </w:tc>
        <w:tc>
          <w:tcPr>
            <w:tcW w:w="1247" w:type="dxa"/>
            <w:vAlign w:val="center"/>
          </w:tcPr>
          <w:p w14:paraId="230855AF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计划进度</w:t>
            </w:r>
          </w:p>
        </w:tc>
        <w:tc>
          <w:tcPr>
            <w:tcW w:w="2268" w:type="dxa"/>
            <w:vAlign w:val="center"/>
          </w:tcPr>
          <w:p w14:paraId="1DF634F6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5"/>
              </w:rPr>
              <w:t>暂停任务长期没有恢复条件</w:t>
            </w:r>
          </w:p>
        </w:tc>
        <w:tc>
          <w:tcPr>
            <w:tcW w:w="2948" w:type="dxa"/>
            <w:vAlign w:val="center"/>
          </w:tcPr>
          <w:p w14:paraId="58754820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5"/>
              </w:rPr>
              <w:t>任务状态长期暂停；责任人没有下一步动作</w:t>
            </w:r>
          </w:p>
        </w:tc>
        <w:tc>
          <w:tcPr>
            <w:tcW w:w="3118" w:type="dxa"/>
            <w:vAlign w:val="center"/>
          </w:tcPr>
          <w:p w14:paraId="352A090B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5"/>
              </w:rPr>
              <w:t>每项暂停是否有原因、影响、恢复条件、责任人和目标日期？</w:t>
            </w:r>
          </w:p>
        </w:tc>
        <w:tc>
          <w:tcPr>
            <w:tcW w:w="3402" w:type="dxa"/>
            <w:vAlign w:val="center"/>
          </w:tcPr>
          <w:p w14:paraId="274E3FEB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5"/>
              </w:rPr>
              <w:t>暂停超过一周自动升级，恢复前明确依赖和证据。</w:t>
            </w:r>
          </w:p>
        </w:tc>
      </w:tr>
      <w:tr w14:paraId="20DD9971">
        <w:trPr>
          <w:jc w:val="center"/>
        </w:trPr>
        <w:tc>
          <w:tcPr>
            <w:tcW w:w="737" w:type="dxa"/>
            <w:shd w:val="clear" w:color="auto" w:fill="F4F7FA"/>
            <w:vAlign w:val="center"/>
          </w:tcPr>
          <w:p w14:paraId="16B2D90D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R08</w:t>
            </w:r>
          </w:p>
        </w:tc>
        <w:tc>
          <w:tcPr>
            <w:tcW w:w="1247" w:type="dxa"/>
            <w:shd w:val="clear" w:color="auto" w:fill="F4F7FA"/>
            <w:vAlign w:val="center"/>
          </w:tcPr>
          <w:p w14:paraId="21016F9E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资源</w:t>
            </w:r>
          </w:p>
        </w:tc>
        <w:tc>
          <w:tcPr>
            <w:tcW w:w="2268" w:type="dxa"/>
            <w:shd w:val="clear" w:color="auto" w:fill="F4F7FA"/>
            <w:vAlign w:val="center"/>
          </w:tcPr>
          <w:p w14:paraId="14845DC7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5"/>
              </w:rPr>
              <w:t>人员并行任务过多</w:t>
            </w:r>
          </w:p>
        </w:tc>
        <w:tc>
          <w:tcPr>
            <w:tcW w:w="2948" w:type="dxa"/>
            <w:shd w:val="clear" w:color="auto" w:fill="F4F7FA"/>
            <w:vAlign w:val="center"/>
          </w:tcPr>
          <w:p w14:paraId="34A22FEF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5"/>
              </w:rPr>
              <w:t>个人周计划超过40小时；任务频繁顺延</w:t>
            </w:r>
          </w:p>
        </w:tc>
        <w:tc>
          <w:tcPr>
            <w:tcW w:w="3118" w:type="dxa"/>
            <w:shd w:val="clear" w:color="auto" w:fill="F4F7FA"/>
            <w:vAlign w:val="center"/>
          </w:tcPr>
          <w:p w14:paraId="103C8F46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5"/>
              </w:rPr>
              <w:t>每人每周任务投入合计是否超过40小时？</w:t>
            </w:r>
          </w:p>
        </w:tc>
        <w:tc>
          <w:tcPr>
            <w:tcW w:w="3402" w:type="dxa"/>
            <w:shd w:val="clear" w:color="auto" w:fill="F4F7FA"/>
            <w:vAlign w:val="center"/>
          </w:tcPr>
          <w:p w14:paraId="1057AB7B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5"/>
              </w:rPr>
              <w:t>按周平衡任务，确认优先级；超出容量时减范围、延期或增援。</w:t>
            </w:r>
          </w:p>
        </w:tc>
      </w:tr>
      <w:tr w14:paraId="58059CB1">
        <w:trPr>
          <w:jc w:val="center"/>
        </w:trPr>
        <w:tc>
          <w:tcPr>
            <w:tcW w:w="737" w:type="dxa"/>
            <w:vAlign w:val="center"/>
          </w:tcPr>
          <w:p w14:paraId="684A9096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R09</w:t>
            </w:r>
          </w:p>
        </w:tc>
        <w:tc>
          <w:tcPr>
            <w:tcW w:w="1247" w:type="dxa"/>
            <w:vAlign w:val="center"/>
          </w:tcPr>
          <w:p w14:paraId="022A9A7C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资源</w:t>
            </w:r>
          </w:p>
        </w:tc>
        <w:tc>
          <w:tcPr>
            <w:tcW w:w="2268" w:type="dxa"/>
            <w:vAlign w:val="center"/>
          </w:tcPr>
          <w:p w14:paraId="04939D2B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5"/>
              </w:rPr>
              <w:t>关键岗位存在单点依赖</w:t>
            </w:r>
          </w:p>
        </w:tc>
        <w:tc>
          <w:tcPr>
            <w:tcW w:w="2948" w:type="dxa"/>
            <w:vAlign w:val="center"/>
          </w:tcPr>
          <w:p w14:paraId="1EAF7881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5"/>
              </w:rPr>
              <w:t>核心模块只有一人熟悉；休假即停滞</w:t>
            </w:r>
          </w:p>
        </w:tc>
        <w:tc>
          <w:tcPr>
            <w:tcW w:w="3118" w:type="dxa"/>
            <w:vAlign w:val="center"/>
          </w:tcPr>
          <w:p w14:paraId="71450FDE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5"/>
              </w:rPr>
              <w:t>关键模块是否有备份人员、代码评审和交接材料？</w:t>
            </w:r>
          </w:p>
        </w:tc>
        <w:tc>
          <w:tcPr>
            <w:tcW w:w="3402" w:type="dxa"/>
            <w:vAlign w:val="center"/>
          </w:tcPr>
          <w:p w14:paraId="53EC71CA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5"/>
              </w:rPr>
              <w:t>结对工作、知识转移和关键操作双人覆盖。</w:t>
            </w:r>
          </w:p>
        </w:tc>
      </w:tr>
      <w:tr w14:paraId="5BAE8C4D">
        <w:trPr>
          <w:jc w:val="center"/>
        </w:trPr>
        <w:tc>
          <w:tcPr>
            <w:tcW w:w="737" w:type="dxa"/>
            <w:shd w:val="clear" w:color="auto" w:fill="F4F7FA"/>
            <w:vAlign w:val="center"/>
          </w:tcPr>
          <w:p w14:paraId="453100D4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R10</w:t>
            </w:r>
          </w:p>
        </w:tc>
        <w:tc>
          <w:tcPr>
            <w:tcW w:w="1247" w:type="dxa"/>
            <w:shd w:val="clear" w:color="auto" w:fill="F4F7FA"/>
            <w:vAlign w:val="center"/>
          </w:tcPr>
          <w:p w14:paraId="54D34611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外部接口</w:t>
            </w:r>
          </w:p>
        </w:tc>
        <w:tc>
          <w:tcPr>
            <w:tcW w:w="2268" w:type="dxa"/>
            <w:shd w:val="clear" w:color="auto" w:fill="F4F7FA"/>
            <w:vAlign w:val="center"/>
          </w:tcPr>
          <w:p w14:paraId="0137F4B5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5"/>
              </w:rPr>
              <w:t>第三方接口、环境或数据交付延期</w:t>
            </w:r>
          </w:p>
        </w:tc>
        <w:tc>
          <w:tcPr>
            <w:tcW w:w="2948" w:type="dxa"/>
            <w:shd w:val="clear" w:color="auto" w:fill="F4F7FA"/>
            <w:vAlign w:val="center"/>
          </w:tcPr>
          <w:p w14:paraId="7F8868FD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5"/>
              </w:rPr>
              <w:t>接口文档未确认；测试环境未开放</w:t>
            </w:r>
          </w:p>
        </w:tc>
        <w:tc>
          <w:tcPr>
            <w:tcW w:w="3118" w:type="dxa"/>
            <w:shd w:val="clear" w:color="auto" w:fill="F4F7FA"/>
            <w:vAlign w:val="center"/>
          </w:tcPr>
          <w:p w14:paraId="535A5DF1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5"/>
              </w:rPr>
              <w:t>每个接口是否有双方负责人、版本、环境、样例数据和联调日期？</w:t>
            </w:r>
          </w:p>
        </w:tc>
        <w:tc>
          <w:tcPr>
            <w:tcW w:w="3402" w:type="dxa"/>
            <w:shd w:val="clear" w:color="auto" w:fill="F4F7FA"/>
            <w:vAlign w:val="center"/>
          </w:tcPr>
          <w:p w14:paraId="38A6F25E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5"/>
              </w:rPr>
              <w:t>建立接口清单和准入条件；逾期按依赖风险升级。</w:t>
            </w:r>
          </w:p>
        </w:tc>
      </w:tr>
      <w:tr w14:paraId="1AA7E6A8">
        <w:trPr>
          <w:jc w:val="center"/>
        </w:trPr>
        <w:tc>
          <w:tcPr>
            <w:tcW w:w="737" w:type="dxa"/>
            <w:vAlign w:val="center"/>
          </w:tcPr>
          <w:p w14:paraId="6D4F12DA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R11</w:t>
            </w:r>
          </w:p>
        </w:tc>
        <w:tc>
          <w:tcPr>
            <w:tcW w:w="1247" w:type="dxa"/>
            <w:vAlign w:val="center"/>
          </w:tcPr>
          <w:p w14:paraId="748CCCBB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外部接口</w:t>
            </w:r>
          </w:p>
        </w:tc>
        <w:tc>
          <w:tcPr>
            <w:tcW w:w="2268" w:type="dxa"/>
            <w:vAlign w:val="center"/>
          </w:tcPr>
          <w:p w14:paraId="3A1D84B6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5"/>
              </w:rPr>
              <w:t>接口报文和规则频繁变化</w:t>
            </w:r>
          </w:p>
        </w:tc>
        <w:tc>
          <w:tcPr>
            <w:tcW w:w="2948" w:type="dxa"/>
            <w:vAlign w:val="center"/>
          </w:tcPr>
          <w:p w14:paraId="71FA0D0A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5"/>
              </w:rPr>
              <w:t>字段定义反复修改；双方版本不一致</w:t>
            </w:r>
          </w:p>
        </w:tc>
        <w:tc>
          <w:tcPr>
            <w:tcW w:w="3118" w:type="dxa"/>
            <w:vAlign w:val="center"/>
          </w:tcPr>
          <w:p w14:paraId="755A13CA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5"/>
              </w:rPr>
              <w:t>当前接口文档是否为双方确认的唯一有效版本？</w:t>
            </w:r>
          </w:p>
        </w:tc>
        <w:tc>
          <w:tcPr>
            <w:tcW w:w="3402" w:type="dxa"/>
            <w:vAlign w:val="center"/>
          </w:tcPr>
          <w:p w14:paraId="0707E2F6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5"/>
              </w:rPr>
              <w:t>实施版本管理；变更记录影响范围并完成回归。</w:t>
            </w:r>
          </w:p>
        </w:tc>
      </w:tr>
      <w:tr w14:paraId="27CC613C">
        <w:trPr>
          <w:jc w:val="center"/>
        </w:trPr>
        <w:tc>
          <w:tcPr>
            <w:tcW w:w="737" w:type="dxa"/>
            <w:shd w:val="clear" w:color="auto" w:fill="F4F7FA"/>
            <w:vAlign w:val="center"/>
          </w:tcPr>
          <w:p w14:paraId="03A848A5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R12</w:t>
            </w:r>
          </w:p>
        </w:tc>
        <w:tc>
          <w:tcPr>
            <w:tcW w:w="1247" w:type="dxa"/>
            <w:shd w:val="clear" w:color="auto" w:fill="F4F7FA"/>
            <w:vAlign w:val="center"/>
          </w:tcPr>
          <w:p w14:paraId="0ED73FBD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外部接口</w:t>
            </w:r>
          </w:p>
        </w:tc>
        <w:tc>
          <w:tcPr>
            <w:tcW w:w="2268" w:type="dxa"/>
            <w:shd w:val="clear" w:color="auto" w:fill="F4F7FA"/>
            <w:vAlign w:val="center"/>
          </w:tcPr>
          <w:p w14:paraId="01F8791F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5"/>
              </w:rPr>
              <w:t>仅验证成功路径</w:t>
            </w:r>
          </w:p>
        </w:tc>
        <w:tc>
          <w:tcPr>
            <w:tcW w:w="2948" w:type="dxa"/>
            <w:shd w:val="clear" w:color="auto" w:fill="F4F7FA"/>
            <w:vAlign w:val="center"/>
          </w:tcPr>
          <w:p w14:paraId="22B7670E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5"/>
              </w:rPr>
              <w:t>超时、重复请求和异常返回未测试</w:t>
            </w:r>
          </w:p>
        </w:tc>
        <w:tc>
          <w:tcPr>
            <w:tcW w:w="3118" w:type="dxa"/>
            <w:shd w:val="clear" w:color="auto" w:fill="F4F7FA"/>
            <w:vAlign w:val="center"/>
          </w:tcPr>
          <w:p w14:paraId="2CE4CC13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5"/>
              </w:rPr>
              <w:t>是否覆盖超时、重试、幂等、补偿、降级和断点恢复？</w:t>
            </w:r>
          </w:p>
        </w:tc>
        <w:tc>
          <w:tcPr>
            <w:tcW w:w="3402" w:type="dxa"/>
            <w:shd w:val="clear" w:color="auto" w:fill="F4F7FA"/>
            <w:vAlign w:val="center"/>
          </w:tcPr>
          <w:p w14:paraId="02AAC647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5"/>
              </w:rPr>
              <w:t>建立异常场景用例并完成故障演练。</w:t>
            </w:r>
          </w:p>
        </w:tc>
      </w:tr>
      <w:tr w14:paraId="67ED0A41">
        <w:trPr>
          <w:jc w:val="center"/>
        </w:trPr>
        <w:tc>
          <w:tcPr>
            <w:tcW w:w="737" w:type="dxa"/>
            <w:vAlign w:val="center"/>
          </w:tcPr>
          <w:p w14:paraId="6252F57B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R13</w:t>
            </w:r>
          </w:p>
        </w:tc>
        <w:tc>
          <w:tcPr>
            <w:tcW w:w="1247" w:type="dxa"/>
            <w:vAlign w:val="center"/>
          </w:tcPr>
          <w:p w14:paraId="6202F60D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数据</w:t>
            </w:r>
          </w:p>
        </w:tc>
        <w:tc>
          <w:tcPr>
            <w:tcW w:w="2268" w:type="dxa"/>
            <w:vAlign w:val="center"/>
          </w:tcPr>
          <w:p w14:paraId="705188B7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5"/>
              </w:rPr>
              <w:t>船舶、港口、客户等主数据编码不一致</w:t>
            </w:r>
          </w:p>
        </w:tc>
        <w:tc>
          <w:tcPr>
            <w:tcW w:w="2948" w:type="dxa"/>
            <w:vAlign w:val="center"/>
          </w:tcPr>
          <w:p w14:paraId="042C82A3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5"/>
              </w:rPr>
              <w:t>同一对象存在多个编码；跨系统无法匹配</w:t>
            </w:r>
          </w:p>
        </w:tc>
        <w:tc>
          <w:tcPr>
            <w:tcW w:w="3118" w:type="dxa"/>
            <w:vAlign w:val="center"/>
          </w:tcPr>
          <w:p w14:paraId="40ABFA8E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5"/>
              </w:rPr>
              <w:t>主数据来源、唯一标识、维护责任人和同步方式是否明确？</w:t>
            </w:r>
          </w:p>
        </w:tc>
        <w:tc>
          <w:tcPr>
            <w:tcW w:w="3402" w:type="dxa"/>
            <w:vAlign w:val="center"/>
          </w:tcPr>
          <w:p w14:paraId="59BD9B23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5"/>
              </w:rPr>
              <w:t>建立主数据标准、映射表和差异处理机制。</w:t>
            </w:r>
          </w:p>
        </w:tc>
      </w:tr>
      <w:tr w14:paraId="0DB46B4C">
        <w:trPr>
          <w:jc w:val="center"/>
        </w:trPr>
        <w:tc>
          <w:tcPr>
            <w:tcW w:w="737" w:type="dxa"/>
            <w:shd w:val="clear" w:color="auto" w:fill="F4F7FA"/>
            <w:vAlign w:val="center"/>
          </w:tcPr>
          <w:p w14:paraId="1B6CB416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R14</w:t>
            </w:r>
          </w:p>
        </w:tc>
        <w:tc>
          <w:tcPr>
            <w:tcW w:w="1247" w:type="dxa"/>
            <w:shd w:val="clear" w:color="auto" w:fill="F4F7FA"/>
            <w:vAlign w:val="center"/>
          </w:tcPr>
          <w:p w14:paraId="4FED7E1F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数据</w:t>
            </w:r>
          </w:p>
        </w:tc>
        <w:tc>
          <w:tcPr>
            <w:tcW w:w="2268" w:type="dxa"/>
            <w:shd w:val="clear" w:color="auto" w:fill="F4F7FA"/>
            <w:vAlign w:val="center"/>
          </w:tcPr>
          <w:p w14:paraId="6E3608D5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5"/>
              </w:rPr>
              <w:t>历史数据迁移不完整或不准确</w:t>
            </w:r>
          </w:p>
        </w:tc>
        <w:tc>
          <w:tcPr>
            <w:tcW w:w="2948" w:type="dxa"/>
            <w:shd w:val="clear" w:color="auto" w:fill="F4F7FA"/>
            <w:vAlign w:val="center"/>
          </w:tcPr>
          <w:p w14:paraId="56C1AEC9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5"/>
              </w:rPr>
              <w:t>记录数、状态或金额对不上</w:t>
            </w:r>
          </w:p>
        </w:tc>
        <w:tc>
          <w:tcPr>
            <w:tcW w:w="3118" w:type="dxa"/>
            <w:shd w:val="clear" w:color="auto" w:fill="F4F7FA"/>
            <w:vAlign w:val="center"/>
          </w:tcPr>
          <w:p w14:paraId="308A3851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5"/>
              </w:rPr>
              <w:t>迁移前后数量、关键金额、状态分布是否完成核对？</w:t>
            </w:r>
          </w:p>
        </w:tc>
        <w:tc>
          <w:tcPr>
            <w:tcW w:w="3402" w:type="dxa"/>
            <w:shd w:val="clear" w:color="auto" w:fill="F4F7FA"/>
            <w:vAlign w:val="center"/>
          </w:tcPr>
          <w:p w14:paraId="2D3996F7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5"/>
              </w:rPr>
              <w:t>执行迁移演练和对账，形成业务签字证据。</w:t>
            </w:r>
          </w:p>
        </w:tc>
      </w:tr>
      <w:tr w14:paraId="5BFA58B5">
        <w:trPr>
          <w:jc w:val="center"/>
        </w:trPr>
        <w:tc>
          <w:tcPr>
            <w:tcW w:w="737" w:type="dxa"/>
            <w:vAlign w:val="center"/>
          </w:tcPr>
          <w:p w14:paraId="2667BF8C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R15</w:t>
            </w:r>
          </w:p>
        </w:tc>
        <w:tc>
          <w:tcPr>
            <w:tcW w:w="1247" w:type="dxa"/>
            <w:vAlign w:val="center"/>
          </w:tcPr>
          <w:p w14:paraId="4BD5AC01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交易控制</w:t>
            </w:r>
          </w:p>
        </w:tc>
        <w:tc>
          <w:tcPr>
            <w:tcW w:w="2268" w:type="dxa"/>
            <w:vAlign w:val="center"/>
          </w:tcPr>
          <w:p w14:paraId="1F1A6C27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5"/>
              </w:rPr>
              <w:t>重复报单、应单或并发操作导致状态错误</w:t>
            </w:r>
          </w:p>
        </w:tc>
        <w:tc>
          <w:tcPr>
            <w:tcW w:w="2948" w:type="dxa"/>
            <w:vAlign w:val="center"/>
          </w:tcPr>
          <w:p w14:paraId="259781F9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5"/>
              </w:rPr>
              <w:t>出现重复记录；前后端状态不一致</w:t>
            </w:r>
          </w:p>
        </w:tc>
        <w:tc>
          <w:tcPr>
            <w:tcW w:w="3118" w:type="dxa"/>
            <w:vAlign w:val="center"/>
          </w:tcPr>
          <w:p w14:paraId="5DBEAB0E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5"/>
              </w:rPr>
              <w:t>核心交易是否有唯一流水号、幂等控制和明确状态机？</w:t>
            </w:r>
          </w:p>
        </w:tc>
        <w:tc>
          <w:tcPr>
            <w:tcW w:w="3402" w:type="dxa"/>
            <w:vAlign w:val="center"/>
          </w:tcPr>
          <w:p w14:paraId="2FA380B7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5"/>
              </w:rPr>
              <w:t>防重复提交；异常交易可追踪、可补偿。</w:t>
            </w:r>
          </w:p>
        </w:tc>
      </w:tr>
      <w:tr w14:paraId="582EEA3F">
        <w:trPr>
          <w:jc w:val="center"/>
        </w:trPr>
        <w:tc>
          <w:tcPr>
            <w:tcW w:w="737" w:type="dxa"/>
            <w:shd w:val="clear" w:color="auto" w:fill="F4F7FA"/>
            <w:vAlign w:val="center"/>
          </w:tcPr>
          <w:p w14:paraId="007A9ED1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R16</w:t>
            </w:r>
          </w:p>
        </w:tc>
        <w:tc>
          <w:tcPr>
            <w:tcW w:w="1247" w:type="dxa"/>
            <w:shd w:val="clear" w:color="auto" w:fill="F4F7FA"/>
            <w:vAlign w:val="center"/>
          </w:tcPr>
          <w:p w14:paraId="0B9F944F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结算</w:t>
            </w:r>
          </w:p>
        </w:tc>
        <w:tc>
          <w:tcPr>
            <w:tcW w:w="2268" w:type="dxa"/>
            <w:shd w:val="clear" w:color="auto" w:fill="F4F7FA"/>
            <w:vAlign w:val="center"/>
          </w:tcPr>
          <w:p w14:paraId="2A490AA4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5"/>
              </w:rPr>
              <w:t>费用计算规则实现错误</w:t>
            </w:r>
          </w:p>
        </w:tc>
        <w:tc>
          <w:tcPr>
            <w:tcW w:w="2948" w:type="dxa"/>
            <w:shd w:val="clear" w:color="auto" w:fill="F4F7FA"/>
            <w:vAlign w:val="center"/>
          </w:tcPr>
          <w:p w14:paraId="10ED2664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5"/>
              </w:rPr>
              <w:t>系统结果与人工结果不一致</w:t>
            </w:r>
          </w:p>
        </w:tc>
        <w:tc>
          <w:tcPr>
            <w:tcW w:w="3118" w:type="dxa"/>
            <w:shd w:val="clear" w:color="auto" w:fill="F4F7FA"/>
            <w:vAlign w:val="center"/>
          </w:tcPr>
          <w:p w14:paraId="75FF5E55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5"/>
              </w:rPr>
              <w:t>是否用边界值、组合条件和真实业务样本完成双算？</w:t>
            </w:r>
          </w:p>
        </w:tc>
        <w:tc>
          <w:tcPr>
            <w:tcW w:w="3402" w:type="dxa"/>
            <w:shd w:val="clear" w:color="auto" w:fill="F4F7FA"/>
            <w:vAlign w:val="center"/>
          </w:tcPr>
          <w:p w14:paraId="577BB97D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5"/>
              </w:rPr>
              <w:t>建立规则样本库；系统与人工结果逐项核对。</w:t>
            </w:r>
          </w:p>
        </w:tc>
      </w:tr>
      <w:tr w14:paraId="3FEBD805">
        <w:trPr>
          <w:jc w:val="center"/>
        </w:trPr>
        <w:tc>
          <w:tcPr>
            <w:tcW w:w="737" w:type="dxa"/>
            <w:vAlign w:val="center"/>
          </w:tcPr>
          <w:p w14:paraId="43E071B5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R17</w:t>
            </w:r>
          </w:p>
        </w:tc>
        <w:tc>
          <w:tcPr>
            <w:tcW w:w="1247" w:type="dxa"/>
            <w:vAlign w:val="center"/>
          </w:tcPr>
          <w:p w14:paraId="664E555E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结算</w:t>
            </w:r>
          </w:p>
        </w:tc>
        <w:tc>
          <w:tcPr>
            <w:tcW w:w="2268" w:type="dxa"/>
            <w:vAlign w:val="center"/>
          </w:tcPr>
          <w:p w14:paraId="5FFA7380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5"/>
              </w:rPr>
              <w:t>金额精度和舍入规则不统一</w:t>
            </w:r>
          </w:p>
        </w:tc>
        <w:tc>
          <w:tcPr>
            <w:tcW w:w="2948" w:type="dxa"/>
            <w:vAlign w:val="center"/>
          </w:tcPr>
          <w:p w14:paraId="6CBF1B2A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5"/>
              </w:rPr>
              <w:t>分项合计与总金额存在尾差</w:t>
            </w:r>
          </w:p>
        </w:tc>
        <w:tc>
          <w:tcPr>
            <w:tcW w:w="3118" w:type="dxa"/>
            <w:vAlign w:val="center"/>
          </w:tcPr>
          <w:p w14:paraId="6FAEF20F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5"/>
              </w:rPr>
              <w:t>币种、小数位、税率、舍入位置和汇总顺序是否统一？</w:t>
            </w:r>
          </w:p>
        </w:tc>
        <w:tc>
          <w:tcPr>
            <w:tcW w:w="3402" w:type="dxa"/>
            <w:vAlign w:val="center"/>
          </w:tcPr>
          <w:p w14:paraId="5D5A5949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5"/>
              </w:rPr>
              <w:t>固化金额精度规则，纳入接口和测试基线。</w:t>
            </w:r>
          </w:p>
        </w:tc>
      </w:tr>
      <w:tr w14:paraId="7BE0870A">
        <w:trPr>
          <w:jc w:val="center"/>
        </w:trPr>
        <w:tc>
          <w:tcPr>
            <w:tcW w:w="737" w:type="dxa"/>
            <w:shd w:val="clear" w:color="auto" w:fill="F4F7FA"/>
            <w:vAlign w:val="center"/>
          </w:tcPr>
          <w:p w14:paraId="138DC340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R18</w:t>
            </w:r>
          </w:p>
        </w:tc>
        <w:tc>
          <w:tcPr>
            <w:tcW w:w="1247" w:type="dxa"/>
            <w:shd w:val="clear" w:color="auto" w:fill="F4F7FA"/>
            <w:vAlign w:val="center"/>
          </w:tcPr>
          <w:p w14:paraId="474A18D6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权限安全</w:t>
            </w:r>
          </w:p>
        </w:tc>
        <w:tc>
          <w:tcPr>
            <w:tcW w:w="2268" w:type="dxa"/>
            <w:shd w:val="clear" w:color="auto" w:fill="F4F7FA"/>
            <w:vAlign w:val="center"/>
          </w:tcPr>
          <w:p w14:paraId="1584EDD2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5"/>
              </w:rPr>
              <w:t>角色或数据权限越权</w:t>
            </w:r>
          </w:p>
        </w:tc>
        <w:tc>
          <w:tcPr>
            <w:tcW w:w="2948" w:type="dxa"/>
            <w:shd w:val="clear" w:color="auto" w:fill="F4F7FA"/>
            <w:vAlign w:val="center"/>
          </w:tcPr>
          <w:p w14:paraId="06081C19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5"/>
              </w:rPr>
              <w:t>测试账号权限过大；可查看其他单位数据</w:t>
            </w:r>
          </w:p>
        </w:tc>
        <w:tc>
          <w:tcPr>
            <w:tcW w:w="3118" w:type="dxa"/>
            <w:shd w:val="clear" w:color="auto" w:fill="F4F7FA"/>
            <w:vAlign w:val="center"/>
          </w:tcPr>
          <w:p w14:paraId="5A427483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5"/>
              </w:rPr>
              <w:t>角色权限、组织范围、数据范围和操作范围是否分别验证？</w:t>
            </w:r>
          </w:p>
        </w:tc>
        <w:tc>
          <w:tcPr>
            <w:tcW w:w="3402" w:type="dxa"/>
            <w:shd w:val="clear" w:color="auto" w:fill="F4F7FA"/>
            <w:vAlign w:val="center"/>
          </w:tcPr>
          <w:p w14:paraId="659665C0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5"/>
              </w:rPr>
              <w:t>建立权限矩阵并执行正向和越权测试。</w:t>
            </w:r>
          </w:p>
        </w:tc>
      </w:tr>
      <w:tr w14:paraId="33B13F7E">
        <w:trPr>
          <w:jc w:val="center"/>
        </w:trPr>
        <w:tc>
          <w:tcPr>
            <w:tcW w:w="737" w:type="dxa"/>
            <w:vAlign w:val="center"/>
          </w:tcPr>
          <w:p w14:paraId="5B48A2FC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R19</w:t>
            </w:r>
          </w:p>
        </w:tc>
        <w:tc>
          <w:tcPr>
            <w:tcW w:w="1247" w:type="dxa"/>
            <w:vAlign w:val="center"/>
          </w:tcPr>
          <w:p w14:paraId="1102BABC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权限安全</w:t>
            </w:r>
          </w:p>
        </w:tc>
        <w:tc>
          <w:tcPr>
            <w:tcW w:w="2268" w:type="dxa"/>
            <w:vAlign w:val="center"/>
          </w:tcPr>
          <w:p w14:paraId="20F16EF8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5"/>
              </w:rPr>
              <w:t>敏感信息通过接口、日志或导出泄露</w:t>
            </w:r>
          </w:p>
        </w:tc>
        <w:tc>
          <w:tcPr>
            <w:tcW w:w="2948" w:type="dxa"/>
            <w:vAlign w:val="center"/>
          </w:tcPr>
          <w:p w14:paraId="5A844031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5"/>
              </w:rPr>
              <w:t>日志包含账号、金额或个人信息</w:t>
            </w:r>
          </w:p>
        </w:tc>
        <w:tc>
          <w:tcPr>
            <w:tcW w:w="3118" w:type="dxa"/>
            <w:vAlign w:val="center"/>
          </w:tcPr>
          <w:p w14:paraId="2A06E5F6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5"/>
              </w:rPr>
              <w:t>传输、存储、日志和导出是否落实加密、脱敏和审计？</w:t>
            </w:r>
          </w:p>
        </w:tc>
        <w:tc>
          <w:tcPr>
            <w:tcW w:w="3402" w:type="dxa"/>
            <w:vAlign w:val="center"/>
          </w:tcPr>
          <w:p w14:paraId="3F46473F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5"/>
              </w:rPr>
              <w:t>最小权限、敏感字段脱敏、日志清理和访问审计。</w:t>
            </w:r>
          </w:p>
        </w:tc>
      </w:tr>
      <w:tr w14:paraId="6973015C">
        <w:trPr>
          <w:jc w:val="center"/>
        </w:trPr>
        <w:tc>
          <w:tcPr>
            <w:tcW w:w="737" w:type="dxa"/>
            <w:shd w:val="clear" w:color="auto" w:fill="F4F7FA"/>
            <w:vAlign w:val="center"/>
          </w:tcPr>
          <w:p w14:paraId="7202C43B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R20</w:t>
            </w:r>
          </w:p>
        </w:tc>
        <w:tc>
          <w:tcPr>
            <w:tcW w:w="1247" w:type="dxa"/>
            <w:shd w:val="clear" w:color="auto" w:fill="F4F7FA"/>
            <w:vAlign w:val="center"/>
          </w:tcPr>
          <w:p w14:paraId="4EB8FB3B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性能容量</w:t>
            </w:r>
          </w:p>
        </w:tc>
        <w:tc>
          <w:tcPr>
            <w:tcW w:w="2268" w:type="dxa"/>
            <w:shd w:val="clear" w:color="auto" w:fill="F4F7FA"/>
            <w:vAlign w:val="center"/>
          </w:tcPr>
          <w:p w14:paraId="02259D5D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5"/>
              </w:rPr>
              <w:t>高峰交易或批量查询导致系统拥堵</w:t>
            </w:r>
          </w:p>
        </w:tc>
        <w:tc>
          <w:tcPr>
            <w:tcW w:w="2948" w:type="dxa"/>
            <w:shd w:val="clear" w:color="auto" w:fill="F4F7FA"/>
            <w:vAlign w:val="center"/>
          </w:tcPr>
          <w:p w14:paraId="5043F04F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5"/>
              </w:rPr>
              <w:t>测试环境响应慢；大数据导出超时</w:t>
            </w:r>
          </w:p>
        </w:tc>
        <w:tc>
          <w:tcPr>
            <w:tcW w:w="3118" w:type="dxa"/>
            <w:shd w:val="clear" w:color="auto" w:fill="F4F7FA"/>
            <w:vAlign w:val="center"/>
          </w:tcPr>
          <w:p w14:paraId="3C403EF0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5"/>
              </w:rPr>
              <w:t>是否覆盖高峰并发、批量查询、报表导出和接口洪峰？</w:t>
            </w:r>
          </w:p>
        </w:tc>
        <w:tc>
          <w:tcPr>
            <w:tcW w:w="3402" w:type="dxa"/>
            <w:shd w:val="clear" w:color="auto" w:fill="F4F7FA"/>
            <w:vAlign w:val="center"/>
          </w:tcPr>
          <w:p w14:paraId="21003D01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5"/>
              </w:rPr>
              <w:t>建立性能基线、容量测试、限流与扩容方案。</w:t>
            </w:r>
          </w:p>
        </w:tc>
      </w:tr>
      <w:tr w14:paraId="2850C56E">
        <w:trPr>
          <w:jc w:val="center"/>
        </w:trPr>
        <w:tc>
          <w:tcPr>
            <w:tcW w:w="737" w:type="dxa"/>
            <w:vAlign w:val="center"/>
          </w:tcPr>
          <w:p w14:paraId="39683619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R21</w:t>
            </w:r>
          </w:p>
        </w:tc>
        <w:tc>
          <w:tcPr>
            <w:tcW w:w="1247" w:type="dxa"/>
            <w:vAlign w:val="center"/>
          </w:tcPr>
          <w:p w14:paraId="571AF0EA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测试质量</w:t>
            </w:r>
          </w:p>
        </w:tc>
        <w:tc>
          <w:tcPr>
            <w:tcW w:w="2268" w:type="dxa"/>
            <w:vAlign w:val="center"/>
          </w:tcPr>
          <w:p w14:paraId="4316E450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5"/>
              </w:rPr>
              <w:t>开发延期挤压测试周期</w:t>
            </w:r>
          </w:p>
        </w:tc>
        <w:tc>
          <w:tcPr>
            <w:tcW w:w="2948" w:type="dxa"/>
            <w:vAlign w:val="center"/>
          </w:tcPr>
          <w:p w14:paraId="7EB6B123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5"/>
              </w:rPr>
              <w:t>提测推迟但上线时间不变</w:t>
            </w:r>
          </w:p>
        </w:tc>
        <w:tc>
          <w:tcPr>
            <w:tcW w:w="3118" w:type="dxa"/>
            <w:vAlign w:val="center"/>
          </w:tcPr>
          <w:p w14:paraId="2746E42D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5"/>
              </w:rPr>
              <w:t>功能、接口、回归、性能、安全和UAT时间是否仍充足？</w:t>
            </w:r>
          </w:p>
        </w:tc>
        <w:tc>
          <w:tcPr>
            <w:tcW w:w="3402" w:type="dxa"/>
            <w:vAlign w:val="center"/>
          </w:tcPr>
          <w:p w14:paraId="02AC1A00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5"/>
              </w:rPr>
              <w:t>设置测试准入条件和不可压缩的质量红线。</w:t>
            </w:r>
          </w:p>
        </w:tc>
      </w:tr>
      <w:tr w14:paraId="56DC5DAB">
        <w:trPr>
          <w:jc w:val="center"/>
        </w:trPr>
        <w:tc>
          <w:tcPr>
            <w:tcW w:w="737" w:type="dxa"/>
            <w:shd w:val="clear" w:color="auto" w:fill="F4F7FA"/>
            <w:vAlign w:val="center"/>
          </w:tcPr>
          <w:p w14:paraId="1A56DDCC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R22</w:t>
            </w:r>
          </w:p>
        </w:tc>
        <w:tc>
          <w:tcPr>
            <w:tcW w:w="1247" w:type="dxa"/>
            <w:shd w:val="clear" w:color="auto" w:fill="F4F7FA"/>
            <w:vAlign w:val="center"/>
          </w:tcPr>
          <w:p w14:paraId="3780F6CA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测试质量</w:t>
            </w:r>
          </w:p>
        </w:tc>
        <w:tc>
          <w:tcPr>
            <w:tcW w:w="2268" w:type="dxa"/>
            <w:shd w:val="clear" w:color="auto" w:fill="F4F7FA"/>
            <w:vAlign w:val="center"/>
          </w:tcPr>
          <w:p w14:paraId="33DD270D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5"/>
              </w:rPr>
              <w:t>严重缺陷以已知问题形式带上线</w:t>
            </w:r>
          </w:p>
        </w:tc>
        <w:tc>
          <w:tcPr>
            <w:tcW w:w="2948" w:type="dxa"/>
            <w:shd w:val="clear" w:color="auto" w:fill="F4F7FA"/>
            <w:vAlign w:val="center"/>
          </w:tcPr>
          <w:p w14:paraId="23466EB6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5"/>
              </w:rPr>
              <w:t>P0或P1缺陷长期未关闭</w:t>
            </w:r>
          </w:p>
        </w:tc>
        <w:tc>
          <w:tcPr>
            <w:tcW w:w="3118" w:type="dxa"/>
            <w:shd w:val="clear" w:color="auto" w:fill="F4F7FA"/>
            <w:vAlign w:val="center"/>
          </w:tcPr>
          <w:p w14:paraId="77F789AF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5"/>
              </w:rPr>
              <w:t>未关闭缺陷是否完成影响评估、临时措施和正式审批？</w:t>
            </w:r>
          </w:p>
        </w:tc>
        <w:tc>
          <w:tcPr>
            <w:tcW w:w="3402" w:type="dxa"/>
            <w:shd w:val="clear" w:color="auto" w:fill="F4F7FA"/>
            <w:vAlign w:val="center"/>
          </w:tcPr>
          <w:p w14:paraId="5934CAE5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5"/>
              </w:rPr>
              <w:t>阻断级缺陷必须关闭或由授权人书面豁免。</w:t>
            </w:r>
          </w:p>
        </w:tc>
      </w:tr>
      <w:tr w14:paraId="214F8DE3">
        <w:trPr>
          <w:jc w:val="center"/>
        </w:trPr>
        <w:tc>
          <w:tcPr>
            <w:tcW w:w="737" w:type="dxa"/>
            <w:vAlign w:val="center"/>
          </w:tcPr>
          <w:p w14:paraId="7A822656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R23</w:t>
            </w:r>
          </w:p>
        </w:tc>
        <w:tc>
          <w:tcPr>
            <w:tcW w:w="1247" w:type="dxa"/>
            <w:vAlign w:val="center"/>
          </w:tcPr>
          <w:p w14:paraId="3120512C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业务验收</w:t>
            </w:r>
          </w:p>
        </w:tc>
        <w:tc>
          <w:tcPr>
            <w:tcW w:w="2268" w:type="dxa"/>
            <w:vAlign w:val="center"/>
          </w:tcPr>
          <w:p w14:paraId="666D9592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5"/>
              </w:rPr>
              <w:t>UAT只验证页面而未验证业务闭环</w:t>
            </w:r>
          </w:p>
        </w:tc>
        <w:tc>
          <w:tcPr>
            <w:tcW w:w="2948" w:type="dxa"/>
            <w:vAlign w:val="center"/>
          </w:tcPr>
          <w:p w14:paraId="6C2A5FC1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5"/>
              </w:rPr>
              <w:t>单功能通过但端到端流程未跑通</w:t>
            </w:r>
          </w:p>
        </w:tc>
        <w:tc>
          <w:tcPr>
            <w:tcW w:w="3118" w:type="dxa"/>
            <w:vAlign w:val="center"/>
          </w:tcPr>
          <w:p w14:paraId="090FC635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5"/>
              </w:rPr>
              <w:t>是否覆盖报单、交易、作业、跟踪、费用和结算全链路？</w:t>
            </w:r>
          </w:p>
        </w:tc>
        <w:tc>
          <w:tcPr>
            <w:tcW w:w="3402" w:type="dxa"/>
            <w:vAlign w:val="center"/>
          </w:tcPr>
          <w:p w14:paraId="4061717A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5"/>
              </w:rPr>
              <w:t>使用真实角色和代表性数据执行端到端验收。</w:t>
            </w:r>
          </w:p>
        </w:tc>
      </w:tr>
      <w:tr w14:paraId="79B4FF04">
        <w:trPr>
          <w:jc w:val="center"/>
        </w:trPr>
        <w:tc>
          <w:tcPr>
            <w:tcW w:w="737" w:type="dxa"/>
            <w:shd w:val="clear" w:color="auto" w:fill="F4F7FA"/>
            <w:vAlign w:val="center"/>
          </w:tcPr>
          <w:p w14:paraId="1C746E9D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R24</w:t>
            </w:r>
          </w:p>
        </w:tc>
        <w:tc>
          <w:tcPr>
            <w:tcW w:w="1247" w:type="dxa"/>
            <w:shd w:val="clear" w:color="auto" w:fill="F4F7FA"/>
            <w:vAlign w:val="center"/>
          </w:tcPr>
          <w:p w14:paraId="5BB6809A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上线</w:t>
            </w:r>
          </w:p>
        </w:tc>
        <w:tc>
          <w:tcPr>
            <w:tcW w:w="2268" w:type="dxa"/>
            <w:shd w:val="clear" w:color="auto" w:fill="F4F7FA"/>
            <w:vAlign w:val="center"/>
          </w:tcPr>
          <w:p w14:paraId="4BD5B306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5"/>
              </w:rPr>
              <w:t>上线范围、窗口和责任不明确</w:t>
            </w:r>
          </w:p>
        </w:tc>
        <w:tc>
          <w:tcPr>
            <w:tcW w:w="2948" w:type="dxa"/>
            <w:shd w:val="clear" w:color="auto" w:fill="F4F7FA"/>
            <w:vAlign w:val="center"/>
          </w:tcPr>
          <w:p w14:paraId="63235414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5"/>
              </w:rPr>
              <w:t>临近上线仍在讨论部署时间和内容</w:t>
            </w:r>
          </w:p>
        </w:tc>
        <w:tc>
          <w:tcPr>
            <w:tcW w:w="3118" w:type="dxa"/>
            <w:shd w:val="clear" w:color="auto" w:fill="F4F7FA"/>
            <w:vAlign w:val="center"/>
          </w:tcPr>
          <w:p w14:paraId="379240D4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5"/>
              </w:rPr>
              <w:t>上线包、数据脚本、负责人、时间窗和确认点是否锁定？</w:t>
            </w:r>
          </w:p>
        </w:tc>
        <w:tc>
          <w:tcPr>
            <w:tcW w:w="3402" w:type="dxa"/>
            <w:shd w:val="clear" w:color="auto" w:fill="F4F7FA"/>
            <w:vAlign w:val="center"/>
          </w:tcPr>
          <w:p w14:paraId="0AB9FD08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5"/>
              </w:rPr>
              <w:t>形成上线作战手册和逐项确认清单。</w:t>
            </w:r>
          </w:p>
        </w:tc>
      </w:tr>
      <w:tr w14:paraId="27386E3F">
        <w:trPr>
          <w:jc w:val="center"/>
        </w:trPr>
        <w:tc>
          <w:tcPr>
            <w:tcW w:w="737" w:type="dxa"/>
            <w:vAlign w:val="center"/>
          </w:tcPr>
          <w:p w14:paraId="200ACFB4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R25</w:t>
            </w:r>
          </w:p>
        </w:tc>
        <w:tc>
          <w:tcPr>
            <w:tcW w:w="1247" w:type="dxa"/>
            <w:vAlign w:val="center"/>
          </w:tcPr>
          <w:p w14:paraId="29097E01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上线</w:t>
            </w:r>
          </w:p>
        </w:tc>
        <w:tc>
          <w:tcPr>
            <w:tcW w:w="2268" w:type="dxa"/>
            <w:vAlign w:val="center"/>
          </w:tcPr>
          <w:p w14:paraId="4A3AEE01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5"/>
              </w:rPr>
              <w:t>上线失败无法快速回退</w:t>
            </w:r>
          </w:p>
        </w:tc>
        <w:tc>
          <w:tcPr>
            <w:tcW w:w="2948" w:type="dxa"/>
            <w:vAlign w:val="center"/>
          </w:tcPr>
          <w:p w14:paraId="08145BD9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5"/>
              </w:rPr>
              <w:t>没有可执行回退脚本；备份未验证</w:t>
            </w:r>
          </w:p>
        </w:tc>
        <w:tc>
          <w:tcPr>
            <w:tcW w:w="3118" w:type="dxa"/>
            <w:vAlign w:val="center"/>
          </w:tcPr>
          <w:p w14:paraId="1A6EE708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5"/>
              </w:rPr>
              <w:t>回退触发条件、步骤、负责人和完成时限是否演练？</w:t>
            </w:r>
          </w:p>
        </w:tc>
        <w:tc>
          <w:tcPr>
            <w:tcW w:w="3402" w:type="dxa"/>
            <w:vAlign w:val="center"/>
          </w:tcPr>
          <w:p w14:paraId="307EF091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5"/>
              </w:rPr>
              <w:t>上线前完成备份恢复和回退演练。</w:t>
            </w:r>
          </w:p>
        </w:tc>
      </w:tr>
      <w:tr w14:paraId="1C56BF84">
        <w:trPr>
          <w:jc w:val="center"/>
        </w:trPr>
        <w:tc>
          <w:tcPr>
            <w:tcW w:w="737" w:type="dxa"/>
            <w:shd w:val="clear" w:color="auto" w:fill="F4F7FA"/>
            <w:vAlign w:val="center"/>
          </w:tcPr>
          <w:p w14:paraId="6991B77D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R26</w:t>
            </w:r>
          </w:p>
        </w:tc>
        <w:tc>
          <w:tcPr>
            <w:tcW w:w="1247" w:type="dxa"/>
            <w:shd w:val="clear" w:color="auto" w:fill="F4F7FA"/>
            <w:vAlign w:val="center"/>
          </w:tcPr>
          <w:p w14:paraId="00FAD081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运维交接</w:t>
            </w:r>
          </w:p>
        </w:tc>
        <w:tc>
          <w:tcPr>
            <w:tcW w:w="2268" w:type="dxa"/>
            <w:shd w:val="clear" w:color="auto" w:fill="F4F7FA"/>
            <w:vAlign w:val="center"/>
          </w:tcPr>
          <w:p w14:paraId="23D6B8F4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5"/>
              </w:rPr>
              <w:t>上线后监控、值班和支持责任不清</w:t>
            </w:r>
          </w:p>
        </w:tc>
        <w:tc>
          <w:tcPr>
            <w:tcW w:w="2948" w:type="dxa"/>
            <w:shd w:val="clear" w:color="auto" w:fill="F4F7FA"/>
            <w:vAlign w:val="center"/>
          </w:tcPr>
          <w:p w14:paraId="7CD1763D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5"/>
              </w:rPr>
              <w:t>告警未配置；故障找不到责任人</w:t>
            </w:r>
          </w:p>
        </w:tc>
        <w:tc>
          <w:tcPr>
            <w:tcW w:w="3118" w:type="dxa"/>
            <w:shd w:val="clear" w:color="auto" w:fill="F4F7FA"/>
            <w:vAlign w:val="center"/>
          </w:tcPr>
          <w:p w14:paraId="70862926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5"/>
              </w:rPr>
              <w:t>监控、告警、值班、SLA、升级路径和供应商支持是否到位？</w:t>
            </w:r>
          </w:p>
        </w:tc>
        <w:tc>
          <w:tcPr>
            <w:tcW w:w="3402" w:type="dxa"/>
            <w:shd w:val="clear" w:color="auto" w:fill="F4F7FA"/>
            <w:vAlign w:val="center"/>
          </w:tcPr>
          <w:p w14:paraId="5AFAE9FB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5"/>
              </w:rPr>
              <w:t>完成运维交接、通讯录和故障处置演练。</w:t>
            </w:r>
          </w:p>
        </w:tc>
      </w:tr>
      <w:tr w14:paraId="1D92016B">
        <w:trPr>
          <w:jc w:val="center"/>
        </w:trPr>
        <w:tc>
          <w:tcPr>
            <w:tcW w:w="737" w:type="dxa"/>
            <w:vAlign w:val="center"/>
          </w:tcPr>
          <w:p w14:paraId="20ADBDB7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R27</w:t>
            </w:r>
          </w:p>
        </w:tc>
        <w:tc>
          <w:tcPr>
            <w:tcW w:w="1247" w:type="dxa"/>
            <w:vAlign w:val="center"/>
          </w:tcPr>
          <w:p w14:paraId="5CDC3072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培训推广</w:t>
            </w:r>
          </w:p>
        </w:tc>
        <w:tc>
          <w:tcPr>
            <w:tcW w:w="2268" w:type="dxa"/>
            <w:vAlign w:val="center"/>
          </w:tcPr>
          <w:p w14:paraId="754E3E3C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5"/>
              </w:rPr>
              <w:t>用户不会使用或继续依赖线下流程</w:t>
            </w:r>
          </w:p>
        </w:tc>
        <w:tc>
          <w:tcPr>
            <w:tcW w:w="2948" w:type="dxa"/>
            <w:vAlign w:val="center"/>
          </w:tcPr>
          <w:p w14:paraId="15D107F4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5"/>
              </w:rPr>
              <w:t>用户仍使用Excel、微信群或电话处理</w:t>
            </w:r>
          </w:p>
        </w:tc>
        <w:tc>
          <w:tcPr>
            <w:tcW w:w="3118" w:type="dxa"/>
            <w:vAlign w:val="center"/>
          </w:tcPr>
          <w:p w14:paraId="09FC0657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5"/>
              </w:rPr>
              <w:t>关键岗位是否培训并完成真实场景操作验证？</w:t>
            </w:r>
          </w:p>
        </w:tc>
        <w:tc>
          <w:tcPr>
            <w:tcW w:w="3402" w:type="dxa"/>
            <w:vAlign w:val="center"/>
          </w:tcPr>
          <w:p w14:paraId="56EF0645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5"/>
              </w:rPr>
              <w:t>分角色培训、操作手册、现场支持和使用率跟踪。</w:t>
            </w:r>
          </w:p>
        </w:tc>
      </w:tr>
      <w:tr w14:paraId="06303EF1">
        <w:trPr>
          <w:jc w:val="center"/>
        </w:trPr>
        <w:tc>
          <w:tcPr>
            <w:tcW w:w="737" w:type="dxa"/>
            <w:shd w:val="clear" w:color="auto" w:fill="F4F7FA"/>
            <w:vAlign w:val="center"/>
          </w:tcPr>
          <w:p w14:paraId="189B1A7D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R28</w:t>
            </w:r>
          </w:p>
        </w:tc>
        <w:tc>
          <w:tcPr>
            <w:tcW w:w="1247" w:type="dxa"/>
            <w:shd w:val="clear" w:color="auto" w:fill="F4F7FA"/>
            <w:vAlign w:val="center"/>
          </w:tcPr>
          <w:p w14:paraId="2A4CC80A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验收交付</w:t>
            </w:r>
          </w:p>
        </w:tc>
        <w:tc>
          <w:tcPr>
            <w:tcW w:w="2268" w:type="dxa"/>
            <w:shd w:val="clear" w:color="auto" w:fill="F4F7FA"/>
            <w:vAlign w:val="center"/>
          </w:tcPr>
          <w:p w14:paraId="108F453E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5"/>
              </w:rPr>
              <w:t>交付物存在但缺少有效验收证据</w:t>
            </w:r>
          </w:p>
        </w:tc>
        <w:tc>
          <w:tcPr>
            <w:tcW w:w="2948" w:type="dxa"/>
            <w:shd w:val="clear" w:color="auto" w:fill="F4F7FA"/>
            <w:vAlign w:val="center"/>
          </w:tcPr>
          <w:p w14:paraId="340F0041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5"/>
              </w:rPr>
              <w:t>文档齐全但没有测试报告、签字或版本</w:t>
            </w:r>
          </w:p>
        </w:tc>
        <w:tc>
          <w:tcPr>
            <w:tcW w:w="3118" w:type="dxa"/>
            <w:shd w:val="clear" w:color="auto" w:fill="F4F7FA"/>
            <w:vAlign w:val="center"/>
          </w:tcPr>
          <w:p w14:paraId="4524B3B6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5"/>
              </w:rPr>
              <w:t>每项合同交付物是否对应验收标准、版本和证据？</w:t>
            </w:r>
          </w:p>
        </w:tc>
        <w:tc>
          <w:tcPr>
            <w:tcW w:w="3402" w:type="dxa"/>
            <w:shd w:val="clear" w:color="auto" w:fill="F4F7FA"/>
            <w:vAlign w:val="center"/>
          </w:tcPr>
          <w:p w14:paraId="7CCDD244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5"/>
              </w:rPr>
              <w:t>建立交付物验收证据矩阵，缺一项不关闭。</w:t>
            </w:r>
          </w:p>
        </w:tc>
      </w:tr>
      <w:tr w14:paraId="43AE569A">
        <w:trPr>
          <w:jc w:val="center"/>
        </w:trPr>
        <w:tc>
          <w:tcPr>
            <w:tcW w:w="737" w:type="dxa"/>
            <w:vAlign w:val="center"/>
          </w:tcPr>
          <w:p w14:paraId="6A1758FE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R29</w:t>
            </w:r>
          </w:p>
        </w:tc>
        <w:tc>
          <w:tcPr>
            <w:tcW w:w="1247" w:type="dxa"/>
            <w:vAlign w:val="center"/>
          </w:tcPr>
          <w:p w14:paraId="73A0BC3B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供应商</w:t>
            </w:r>
          </w:p>
        </w:tc>
        <w:tc>
          <w:tcPr>
            <w:tcW w:w="2268" w:type="dxa"/>
            <w:vAlign w:val="center"/>
          </w:tcPr>
          <w:p w14:paraId="73D6E5AA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5"/>
              </w:rPr>
              <w:t>外部承诺停留在口头层面</w:t>
            </w:r>
          </w:p>
        </w:tc>
        <w:tc>
          <w:tcPr>
            <w:tcW w:w="2948" w:type="dxa"/>
            <w:vAlign w:val="center"/>
          </w:tcPr>
          <w:p w14:paraId="45DA63E2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5"/>
              </w:rPr>
              <w:t>多次承诺但无人、无日期、无证据</w:t>
            </w:r>
          </w:p>
        </w:tc>
        <w:tc>
          <w:tcPr>
            <w:tcW w:w="3118" w:type="dxa"/>
            <w:vAlign w:val="center"/>
          </w:tcPr>
          <w:p w14:paraId="6A256DF5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5"/>
              </w:rPr>
              <w:t>外部承诺是否进入正式计划、会议纪要或合同变更？</w:t>
            </w:r>
          </w:p>
        </w:tc>
        <w:tc>
          <w:tcPr>
            <w:tcW w:w="3402" w:type="dxa"/>
            <w:vAlign w:val="center"/>
          </w:tcPr>
          <w:p w14:paraId="74854A06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5"/>
              </w:rPr>
              <w:t>明确责任人、期限、交付物、验收和违约影响。</w:t>
            </w:r>
          </w:p>
        </w:tc>
      </w:tr>
      <w:tr w14:paraId="50E6C359">
        <w:trPr>
          <w:jc w:val="center"/>
        </w:trPr>
        <w:tc>
          <w:tcPr>
            <w:tcW w:w="737" w:type="dxa"/>
            <w:shd w:val="clear" w:color="auto" w:fill="F4F7FA"/>
            <w:vAlign w:val="center"/>
          </w:tcPr>
          <w:p w14:paraId="32E64A39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R30</w:t>
            </w:r>
          </w:p>
        </w:tc>
        <w:tc>
          <w:tcPr>
            <w:tcW w:w="1247" w:type="dxa"/>
            <w:shd w:val="clear" w:color="auto" w:fill="F4F7FA"/>
            <w:vAlign w:val="center"/>
          </w:tcPr>
          <w:p w14:paraId="10C68E7F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成本变更</w:t>
            </w:r>
          </w:p>
        </w:tc>
        <w:tc>
          <w:tcPr>
            <w:tcW w:w="2268" w:type="dxa"/>
            <w:shd w:val="clear" w:color="auto" w:fill="F4F7FA"/>
            <w:vAlign w:val="center"/>
          </w:tcPr>
          <w:p w14:paraId="22F7B3CB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5"/>
              </w:rPr>
              <w:t>需求增加导致工时和人工成本超预算</w:t>
            </w:r>
          </w:p>
        </w:tc>
        <w:tc>
          <w:tcPr>
            <w:tcW w:w="2948" w:type="dxa"/>
            <w:shd w:val="clear" w:color="auto" w:fill="F4F7FA"/>
            <w:vAlign w:val="center"/>
          </w:tcPr>
          <w:p w14:paraId="7ED4C82D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5"/>
              </w:rPr>
              <w:t>计划工时持续增长但预算未调整</w:t>
            </w:r>
          </w:p>
        </w:tc>
        <w:tc>
          <w:tcPr>
            <w:tcW w:w="3118" w:type="dxa"/>
            <w:shd w:val="clear" w:color="auto" w:fill="F4F7FA"/>
            <w:vAlign w:val="center"/>
          </w:tcPr>
          <w:p w14:paraId="1C88A554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5"/>
              </w:rPr>
              <w:t>变更是否计算新增人天、人工成本和上线影响？</w:t>
            </w:r>
          </w:p>
        </w:tc>
        <w:tc>
          <w:tcPr>
            <w:tcW w:w="3402" w:type="dxa"/>
            <w:shd w:val="clear" w:color="auto" w:fill="F4F7FA"/>
            <w:vAlign w:val="center"/>
          </w:tcPr>
          <w:p w14:paraId="2BFFC4FE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5"/>
              </w:rPr>
              <w:t>变更审批必须包含成本和资源影响。</w:t>
            </w:r>
          </w:p>
        </w:tc>
      </w:tr>
      <w:tr w14:paraId="4AEEE4ED">
        <w:trPr>
          <w:jc w:val="center"/>
        </w:trPr>
        <w:tc>
          <w:tcPr>
            <w:tcW w:w="737" w:type="dxa"/>
            <w:vAlign w:val="center"/>
          </w:tcPr>
          <w:p w14:paraId="0239F1A3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R31</w:t>
            </w:r>
          </w:p>
        </w:tc>
        <w:tc>
          <w:tcPr>
            <w:tcW w:w="1247" w:type="dxa"/>
            <w:vAlign w:val="center"/>
          </w:tcPr>
          <w:p w14:paraId="55939824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决策治理</w:t>
            </w:r>
          </w:p>
        </w:tc>
        <w:tc>
          <w:tcPr>
            <w:tcW w:w="2268" w:type="dxa"/>
            <w:vAlign w:val="center"/>
          </w:tcPr>
          <w:p w14:paraId="5301DBCC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5"/>
              </w:rPr>
              <w:t>关键事项长期无人决策</w:t>
            </w:r>
          </w:p>
        </w:tc>
        <w:tc>
          <w:tcPr>
            <w:tcW w:w="2948" w:type="dxa"/>
            <w:vAlign w:val="center"/>
          </w:tcPr>
          <w:p w14:paraId="7930C488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5"/>
              </w:rPr>
              <w:t>会议反复讨论；任务因此暂停</w:t>
            </w:r>
          </w:p>
        </w:tc>
        <w:tc>
          <w:tcPr>
            <w:tcW w:w="3118" w:type="dxa"/>
            <w:vAlign w:val="center"/>
          </w:tcPr>
          <w:p w14:paraId="324D9D5F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5"/>
              </w:rPr>
              <w:t>每个待决策事项是否有决策人和最晚决策日期？</w:t>
            </w:r>
          </w:p>
        </w:tc>
        <w:tc>
          <w:tcPr>
            <w:tcW w:w="3402" w:type="dxa"/>
            <w:vAlign w:val="center"/>
          </w:tcPr>
          <w:p w14:paraId="7D394BCE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5"/>
              </w:rPr>
              <w:t>建立决策台账；逾期升级项目发起人。</w:t>
            </w:r>
          </w:p>
        </w:tc>
      </w:tr>
    </w:tbl>
    <w:p w14:paraId="507927E1">
      <w:r>
        <w:br w:type="page"/>
      </w:r>
    </w:p>
    <w:p w14:paraId="5A5F09C0">
      <w:pPr>
        <w:pStyle w:val="3"/>
      </w:pPr>
      <w:r>
        <w:t>每周风险检查单</w:t>
      </w:r>
    </w:p>
    <w:p w14:paraId="477FF9A7">
      <w:r>
        <w:t>项目经理在周会前完成检查。发现异常时，不只勾选，还应立即创建风险或问题记录。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7370"/>
        <w:gridCol w:w="1304"/>
        <w:gridCol w:w="2268"/>
        <w:gridCol w:w="2268"/>
      </w:tblGrid>
      <w:tr w14:paraId="611C8A68">
        <w:trPr>
          <w:jc w:val="center"/>
        </w:trPr>
        <w:tc>
          <w:tcPr>
            <w:tcW w:w="2850" w:type="dxa"/>
            <w:shd w:val="clear" w:color="auto" w:fill="17365D"/>
            <w:vAlign w:val="center"/>
          </w:tcPr>
          <w:p w14:paraId="4525D231">
            <w:pPr>
              <w:spacing w:after="0" w:line="252" w:lineRule="auto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序号</w:t>
            </w:r>
          </w:p>
        </w:tc>
        <w:tc>
          <w:tcPr>
            <w:tcW w:w="2850" w:type="dxa"/>
            <w:shd w:val="clear" w:color="auto" w:fill="17365D"/>
            <w:vAlign w:val="center"/>
          </w:tcPr>
          <w:p w14:paraId="4CAB45F8">
            <w:pPr>
              <w:spacing w:after="0" w:line="252" w:lineRule="auto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检查事项</w:t>
            </w:r>
          </w:p>
        </w:tc>
        <w:tc>
          <w:tcPr>
            <w:tcW w:w="2850" w:type="dxa"/>
            <w:shd w:val="clear" w:color="auto" w:fill="17365D"/>
            <w:vAlign w:val="center"/>
          </w:tcPr>
          <w:p w14:paraId="45AE9376">
            <w:pPr>
              <w:spacing w:after="0" w:line="252" w:lineRule="auto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结果</w:t>
            </w:r>
          </w:p>
        </w:tc>
        <w:tc>
          <w:tcPr>
            <w:tcW w:w="2850" w:type="dxa"/>
            <w:shd w:val="clear" w:color="auto" w:fill="17365D"/>
            <w:vAlign w:val="center"/>
          </w:tcPr>
          <w:p w14:paraId="64C553A5">
            <w:pPr>
              <w:spacing w:after="0" w:line="252" w:lineRule="auto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责任人</w:t>
            </w:r>
          </w:p>
        </w:tc>
        <w:tc>
          <w:tcPr>
            <w:tcW w:w="2850" w:type="dxa"/>
            <w:shd w:val="clear" w:color="auto" w:fill="17365D"/>
            <w:vAlign w:val="center"/>
          </w:tcPr>
          <w:p w14:paraId="486E0C42">
            <w:pPr>
              <w:spacing w:after="0" w:line="252" w:lineRule="auto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备注或风险编号</w:t>
            </w:r>
          </w:p>
        </w:tc>
      </w:tr>
      <w:tr w14:paraId="22737F0A">
        <w:trPr>
          <w:jc w:val="center"/>
        </w:trPr>
        <w:tc>
          <w:tcPr>
            <w:tcW w:w="680" w:type="dxa"/>
            <w:vAlign w:val="center"/>
          </w:tcPr>
          <w:p w14:paraId="56587F28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1</w:t>
            </w:r>
          </w:p>
        </w:tc>
        <w:tc>
          <w:tcPr>
            <w:tcW w:w="7370" w:type="dxa"/>
            <w:vAlign w:val="center"/>
          </w:tcPr>
          <w:p w14:paraId="2C45CA04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本周是否新增需求、范围或交付物变化，并已完成影响评估？</w:t>
            </w:r>
          </w:p>
        </w:tc>
        <w:tc>
          <w:tcPr>
            <w:tcW w:w="1304" w:type="dxa"/>
            <w:vAlign w:val="center"/>
          </w:tcPr>
          <w:p w14:paraId="63892676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[ ] 正常  [ ] 异常  [ ] 不适用</w:t>
            </w:r>
          </w:p>
        </w:tc>
        <w:tc>
          <w:tcPr>
            <w:tcW w:w="2268" w:type="dxa"/>
            <w:vAlign w:val="center"/>
          </w:tcPr>
          <w:p w14:paraId="1D755375">
            <w:pPr>
              <w:spacing w:after="0" w:line="252" w:lineRule="auto"/>
            </w:pPr>
          </w:p>
        </w:tc>
        <w:tc>
          <w:tcPr>
            <w:tcW w:w="2268" w:type="dxa"/>
            <w:vAlign w:val="center"/>
          </w:tcPr>
          <w:p w14:paraId="68346923">
            <w:pPr>
              <w:spacing w:after="0" w:line="252" w:lineRule="auto"/>
            </w:pPr>
          </w:p>
        </w:tc>
      </w:tr>
      <w:tr w14:paraId="286AA80A">
        <w:trPr>
          <w:jc w:val="center"/>
        </w:trPr>
        <w:tc>
          <w:tcPr>
            <w:tcW w:w="680" w:type="dxa"/>
            <w:shd w:val="clear" w:color="auto" w:fill="F4F7FA"/>
            <w:vAlign w:val="center"/>
          </w:tcPr>
          <w:p w14:paraId="3851B385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2</w:t>
            </w:r>
          </w:p>
        </w:tc>
        <w:tc>
          <w:tcPr>
            <w:tcW w:w="7370" w:type="dxa"/>
            <w:shd w:val="clear" w:color="auto" w:fill="F4F7FA"/>
            <w:vAlign w:val="center"/>
          </w:tcPr>
          <w:p w14:paraId="756A0A97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关键路径是否出现延期，是否影响联调、测试、上线或验收？</w:t>
            </w:r>
          </w:p>
        </w:tc>
        <w:tc>
          <w:tcPr>
            <w:tcW w:w="1304" w:type="dxa"/>
            <w:shd w:val="clear" w:color="auto" w:fill="F4F7FA"/>
            <w:vAlign w:val="center"/>
          </w:tcPr>
          <w:p w14:paraId="43380D77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[ ] 正常  [ ] 异常  [ ] 不适用</w:t>
            </w:r>
          </w:p>
        </w:tc>
        <w:tc>
          <w:tcPr>
            <w:tcW w:w="2268" w:type="dxa"/>
            <w:shd w:val="clear" w:color="auto" w:fill="F4F7FA"/>
            <w:vAlign w:val="center"/>
          </w:tcPr>
          <w:p w14:paraId="40B7CF91">
            <w:pPr>
              <w:spacing w:after="0" w:line="252" w:lineRule="auto"/>
            </w:pPr>
          </w:p>
        </w:tc>
        <w:tc>
          <w:tcPr>
            <w:tcW w:w="2268" w:type="dxa"/>
            <w:shd w:val="clear" w:color="auto" w:fill="F4F7FA"/>
            <w:vAlign w:val="center"/>
          </w:tcPr>
          <w:p w14:paraId="0969B242">
            <w:pPr>
              <w:spacing w:after="0" w:line="252" w:lineRule="auto"/>
            </w:pPr>
          </w:p>
        </w:tc>
      </w:tr>
      <w:tr w14:paraId="275F068F">
        <w:trPr>
          <w:jc w:val="center"/>
        </w:trPr>
        <w:tc>
          <w:tcPr>
            <w:tcW w:w="680" w:type="dxa"/>
            <w:vAlign w:val="center"/>
          </w:tcPr>
          <w:p w14:paraId="23778F31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3</w:t>
            </w:r>
          </w:p>
        </w:tc>
        <w:tc>
          <w:tcPr>
            <w:tcW w:w="7370" w:type="dxa"/>
            <w:vAlign w:val="center"/>
          </w:tcPr>
          <w:p w14:paraId="6E8E3D1C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所有暂停任务是否明确原因、影响、恢复条件、责任人和恢复日期？</w:t>
            </w:r>
          </w:p>
        </w:tc>
        <w:tc>
          <w:tcPr>
            <w:tcW w:w="1304" w:type="dxa"/>
            <w:vAlign w:val="center"/>
          </w:tcPr>
          <w:p w14:paraId="4CEC126D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[ ] 正常  [ ] 异常  [ ] 不适用</w:t>
            </w:r>
          </w:p>
        </w:tc>
        <w:tc>
          <w:tcPr>
            <w:tcW w:w="2268" w:type="dxa"/>
            <w:vAlign w:val="center"/>
          </w:tcPr>
          <w:p w14:paraId="6791566C">
            <w:pPr>
              <w:spacing w:after="0" w:line="252" w:lineRule="auto"/>
            </w:pPr>
          </w:p>
        </w:tc>
        <w:tc>
          <w:tcPr>
            <w:tcW w:w="2268" w:type="dxa"/>
            <w:vAlign w:val="center"/>
          </w:tcPr>
          <w:p w14:paraId="4A756680">
            <w:pPr>
              <w:spacing w:after="0" w:line="252" w:lineRule="auto"/>
            </w:pPr>
          </w:p>
        </w:tc>
      </w:tr>
      <w:tr w14:paraId="054BE9A6">
        <w:trPr>
          <w:jc w:val="center"/>
        </w:trPr>
        <w:tc>
          <w:tcPr>
            <w:tcW w:w="680" w:type="dxa"/>
            <w:shd w:val="clear" w:color="auto" w:fill="F4F7FA"/>
            <w:vAlign w:val="center"/>
          </w:tcPr>
          <w:p w14:paraId="457A3BFA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4</w:t>
            </w:r>
          </w:p>
        </w:tc>
        <w:tc>
          <w:tcPr>
            <w:tcW w:w="7370" w:type="dxa"/>
            <w:shd w:val="clear" w:color="auto" w:fill="F4F7FA"/>
            <w:vAlign w:val="center"/>
          </w:tcPr>
          <w:p w14:paraId="66FEAA5B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每人每周计划投入是否控制在40小时以内？</w:t>
            </w:r>
          </w:p>
        </w:tc>
        <w:tc>
          <w:tcPr>
            <w:tcW w:w="1304" w:type="dxa"/>
            <w:shd w:val="clear" w:color="auto" w:fill="F4F7FA"/>
            <w:vAlign w:val="center"/>
          </w:tcPr>
          <w:p w14:paraId="600D6723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[ ] 正常  [ ] 异常  [ ] 不适用</w:t>
            </w:r>
          </w:p>
        </w:tc>
        <w:tc>
          <w:tcPr>
            <w:tcW w:w="2268" w:type="dxa"/>
            <w:shd w:val="clear" w:color="auto" w:fill="F4F7FA"/>
            <w:vAlign w:val="center"/>
          </w:tcPr>
          <w:p w14:paraId="39CAE9E5">
            <w:pPr>
              <w:spacing w:after="0" w:line="252" w:lineRule="auto"/>
            </w:pPr>
          </w:p>
        </w:tc>
        <w:tc>
          <w:tcPr>
            <w:tcW w:w="2268" w:type="dxa"/>
            <w:shd w:val="clear" w:color="auto" w:fill="F4F7FA"/>
            <w:vAlign w:val="center"/>
          </w:tcPr>
          <w:p w14:paraId="5F4C4FE8">
            <w:pPr>
              <w:spacing w:after="0" w:line="252" w:lineRule="auto"/>
            </w:pPr>
          </w:p>
        </w:tc>
      </w:tr>
      <w:tr w14:paraId="56471933">
        <w:trPr>
          <w:jc w:val="center"/>
        </w:trPr>
        <w:tc>
          <w:tcPr>
            <w:tcW w:w="680" w:type="dxa"/>
            <w:vAlign w:val="center"/>
          </w:tcPr>
          <w:p w14:paraId="556A4375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5</w:t>
            </w:r>
          </w:p>
        </w:tc>
        <w:tc>
          <w:tcPr>
            <w:tcW w:w="7370" w:type="dxa"/>
            <w:vAlign w:val="center"/>
          </w:tcPr>
          <w:p w14:paraId="11EF4FA7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外部接口的文档、环境、数据和联调时间是否按承诺落实？</w:t>
            </w:r>
          </w:p>
        </w:tc>
        <w:tc>
          <w:tcPr>
            <w:tcW w:w="1304" w:type="dxa"/>
            <w:vAlign w:val="center"/>
          </w:tcPr>
          <w:p w14:paraId="4532AEF3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[ ] 正常  [ ] 异常  [ ] 不适用</w:t>
            </w:r>
          </w:p>
        </w:tc>
        <w:tc>
          <w:tcPr>
            <w:tcW w:w="2268" w:type="dxa"/>
            <w:vAlign w:val="center"/>
          </w:tcPr>
          <w:p w14:paraId="18D3A531">
            <w:pPr>
              <w:spacing w:after="0" w:line="252" w:lineRule="auto"/>
            </w:pPr>
          </w:p>
        </w:tc>
        <w:tc>
          <w:tcPr>
            <w:tcW w:w="2268" w:type="dxa"/>
            <w:vAlign w:val="center"/>
          </w:tcPr>
          <w:p w14:paraId="572F3BCA">
            <w:pPr>
              <w:spacing w:after="0" w:line="252" w:lineRule="auto"/>
            </w:pPr>
          </w:p>
        </w:tc>
      </w:tr>
      <w:tr w14:paraId="51313F74">
        <w:trPr>
          <w:jc w:val="center"/>
        </w:trPr>
        <w:tc>
          <w:tcPr>
            <w:tcW w:w="680" w:type="dxa"/>
            <w:shd w:val="clear" w:color="auto" w:fill="F4F7FA"/>
            <w:vAlign w:val="center"/>
          </w:tcPr>
          <w:p w14:paraId="3C596EA5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6</w:t>
            </w:r>
          </w:p>
        </w:tc>
        <w:tc>
          <w:tcPr>
            <w:tcW w:w="7370" w:type="dxa"/>
            <w:shd w:val="clear" w:color="auto" w:fill="F4F7FA"/>
            <w:vAlign w:val="center"/>
          </w:tcPr>
          <w:p w14:paraId="6A1DF740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是否存在尚未确认或相互冲突的业务规则？</w:t>
            </w:r>
          </w:p>
        </w:tc>
        <w:tc>
          <w:tcPr>
            <w:tcW w:w="1304" w:type="dxa"/>
            <w:shd w:val="clear" w:color="auto" w:fill="F4F7FA"/>
            <w:vAlign w:val="center"/>
          </w:tcPr>
          <w:p w14:paraId="725412F3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[ ] 正常  [ ] 异常  [ ] 不适用</w:t>
            </w:r>
          </w:p>
        </w:tc>
        <w:tc>
          <w:tcPr>
            <w:tcW w:w="2268" w:type="dxa"/>
            <w:shd w:val="clear" w:color="auto" w:fill="F4F7FA"/>
            <w:vAlign w:val="center"/>
          </w:tcPr>
          <w:p w14:paraId="4411488A">
            <w:pPr>
              <w:spacing w:after="0" w:line="252" w:lineRule="auto"/>
            </w:pPr>
          </w:p>
        </w:tc>
        <w:tc>
          <w:tcPr>
            <w:tcW w:w="2268" w:type="dxa"/>
            <w:shd w:val="clear" w:color="auto" w:fill="F4F7FA"/>
            <w:vAlign w:val="center"/>
          </w:tcPr>
          <w:p w14:paraId="2F826459">
            <w:pPr>
              <w:spacing w:after="0" w:line="252" w:lineRule="auto"/>
            </w:pPr>
          </w:p>
        </w:tc>
      </w:tr>
      <w:tr w14:paraId="3AA071FC">
        <w:trPr>
          <w:jc w:val="center"/>
        </w:trPr>
        <w:tc>
          <w:tcPr>
            <w:tcW w:w="680" w:type="dxa"/>
            <w:vAlign w:val="center"/>
          </w:tcPr>
          <w:p w14:paraId="17BD7237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7</w:t>
            </w:r>
          </w:p>
        </w:tc>
        <w:tc>
          <w:tcPr>
            <w:tcW w:w="7370" w:type="dxa"/>
            <w:vAlign w:val="center"/>
          </w:tcPr>
          <w:p w14:paraId="1E2610A8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主数据、交易数据、状态或金额是否出现跨系统不一致？</w:t>
            </w:r>
          </w:p>
        </w:tc>
        <w:tc>
          <w:tcPr>
            <w:tcW w:w="1304" w:type="dxa"/>
            <w:vAlign w:val="center"/>
          </w:tcPr>
          <w:p w14:paraId="7CD10A48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[ ] 正常  [ ] 异常  [ ] 不适用</w:t>
            </w:r>
          </w:p>
        </w:tc>
        <w:tc>
          <w:tcPr>
            <w:tcW w:w="2268" w:type="dxa"/>
            <w:vAlign w:val="center"/>
          </w:tcPr>
          <w:p w14:paraId="5E1088D0">
            <w:pPr>
              <w:spacing w:after="0" w:line="252" w:lineRule="auto"/>
            </w:pPr>
          </w:p>
        </w:tc>
        <w:tc>
          <w:tcPr>
            <w:tcW w:w="2268" w:type="dxa"/>
            <w:vAlign w:val="center"/>
          </w:tcPr>
          <w:p w14:paraId="514E3F63">
            <w:pPr>
              <w:spacing w:after="0" w:line="252" w:lineRule="auto"/>
            </w:pPr>
          </w:p>
        </w:tc>
      </w:tr>
      <w:tr w14:paraId="0DD4A607">
        <w:trPr>
          <w:jc w:val="center"/>
        </w:trPr>
        <w:tc>
          <w:tcPr>
            <w:tcW w:w="680" w:type="dxa"/>
            <w:shd w:val="clear" w:color="auto" w:fill="F4F7FA"/>
            <w:vAlign w:val="center"/>
          </w:tcPr>
          <w:p w14:paraId="2DA7FECA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8</w:t>
            </w:r>
          </w:p>
        </w:tc>
        <w:tc>
          <w:tcPr>
            <w:tcW w:w="7370" w:type="dxa"/>
            <w:shd w:val="clear" w:color="auto" w:fill="F4F7FA"/>
            <w:vAlign w:val="center"/>
          </w:tcPr>
          <w:p w14:paraId="0DAD252A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是否新增高等级缺陷，或缺陷关闭时间影响测试与上线？</w:t>
            </w:r>
          </w:p>
        </w:tc>
        <w:tc>
          <w:tcPr>
            <w:tcW w:w="1304" w:type="dxa"/>
            <w:shd w:val="clear" w:color="auto" w:fill="F4F7FA"/>
            <w:vAlign w:val="center"/>
          </w:tcPr>
          <w:p w14:paraId="2DE63CE0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[ ] 正常  [ ] 异常  [ ] 不适用</w:t>
            </w:r>
          </w:p>
        </w:tc>
        <w:tc>
          <w:tcPr>
            <w:tcW w:w="2268" w:type="dxa"/>
            <w:shd w:val="clear" w:color="auto" w:fill="F4F7FA"/>
            <w:vAlign w:val="center"/>
          </w:tcPr>
          <w:p w14:paraId="6256862C">
            <w:pPr>
              <w:spacing w:after="0" w:line="252" w:lineRule="auto"/>
            </w:pPr>
          </w:p>
        </w:tc>
        <w:tc>
          <w:tcPr>
            <w:tcW w:w="2268" w:type="dxa"/>
            <w:shd w:val="clear" w:color="auto" w:fill="F4F7FA"/>
            <w:vAlign w:val="center"/>
          </w:tcPr>
          <w:p w14:paraId="741208A7">
            <w:pPr>
              <w:spacing w:after="0" w:line="252" w:lineRule="auto"/>
            </w:pPr>
          </w:p>
        </w:tc>
      </w:tr>
      <w:tr w14:paraId="7757E222">
        <w:trPr>
          <w:jc w:val="center"/>
        </w:trPr>
        <w:tc>
          <w:tcPr>
            <w:tcW w:w="680" w:type="dxa"/>
            <w:vAlign w:val="center"/>
          </w:tcPr>
          <w:p w14:paraId="467A252E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9</w:t>
            </w:r>
          </w:p>
        </w:tc>
        <w:tc>
          <w:tcPr>
            <w:tcW w:w="7370" w:type="dxa"/>
            <w:vAlign w:val="center"/>
          </w:tcPr>
          <w:p w14:paraId="669E50F7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是否完成核心交易和结算流程的端到端验证？</w:t>
            </w:r>
          </w:p>
        </w:tc>
        <w:tc>
          <w:tcPr>
            <w:tcW w:w="1304" w:type="dxa"/>
            <w:vAlign w:val="center"/>
          </w:tcPr>
          <w:p w14:paraId="01823843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[ ] 正常  [ ] 异常  [ ] 不适用</w:t>
            </w:r>
          </w:p>
        </w:tc>
        <w:tc>
          <w:tcPr>
            <w:tcW w:w="2268" w:type="dxa"/>
            <w:vAlign w:val="center"/>
          </w:tcPr>
          <w:p w14:paraId="460E08CB">
            <w:pPr>
              <w:spacing w:after="0" w:line="252" w:lineRule="auto"/>
            </w:pPr>
          </w:p>
        </w:tc>
        <w:tc>
          <w:tcPr>
            <w:tcW w:w="2268" w:type="dxa"/>
            <w:vAlign w:val="center"/>
          </w:tcPr>
          <w:p w14:paraId="7AF1B64E">
            <w:pPr>
              <w:spacing w:after="0" w:line="252" w:lineRule="auto"/>
            </w:pPr>
          </w:p>
        </w:tc>
      </w:tr>
      <w:tr w14:paraId="24F2004A">
        <w:trPr>
          <w:jc w:val="center"/>
        </w:trPr>
        <w:tc>
          <w:tcPr>
            <w:tcW w:w="680" w:type="dxa"/>
            <w:shd w:val="clear" w:color="auto" w:fill="F4F7FA"/>
            <w:vAlign w:val="center"/>
          </w:tcPr>
          <w:p w14:paraId="6E5C8A25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10</w:t>
            </w:r>
          </w:p>
        </w:tc>
        <w:tc>
          <w:tcPr>
            <w:tcW w:w="7370" w:type="dxa"/>
            <w:shd w:val="clear" w:color="auto" w:fill="F4F7FA"/>
            <w:vAlign w:val="center"/>
          </w:tcPr>
          <w:p w14:paraId="7A63AD6E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是否发现越权访问、敏感数据暴露或审计缺失？</w:t>
            </w:r>
          </w:p>
        </w:tc>
        <w:tc>
          <w:tcPr>
            <w:tcW w:w="1304" w:type="dxa"/>
            <w:shd w:val="clear" w:color="auto" w:fill="F4F7FA"/>
            <w:vAlign w:val="center"/>
          </w:tcPr>
          <w:p w14:paraId="2760596E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[ ] 正常  [ ] 异常  [ ] 不适用</w:t>
            </w:r>
          </w:p>
        </w:tc>
        <w:tc>
          <w:tcPr>
            <w:tcW w:w="2268" w:type="dxa"/>
            <w:shd w:val="clear" w:color="auto" w:fill="F4F7FA"/>
            <w:vAlign w:val="center"/>
          </w:tcPr>
          <w:p w14:paraId="4FFCF479">
            <w:pPr>
              <w:spacing w:after="0" w:line="252" w:lineRule="auto"/>
            </w:pPr>
          </w:p>
        </w:tc>
        <w:tc>
          <w:tcPr>
            <w:tcW w:w="2268" w:type="dxa"/>
            <w:shd w:val="clear" w:color="auto" w:fill="F4F7FA"/>
            <w:vAlign w:val="center"/>
          </w:tcPr>
          <w:p w14:paraId="1E637E4B">
            <w:pPr>
              <w:spacing w:after="0" w:line="252" w:lineRule="auto"/>
            </w:pPr>
          </w:p>
        </w:tc>
      </w:tr>
      <w:tr w14:paraId="51C29D48">
        <w:trPr>
          <w:jc w:val="center"/>
        </w:trPr>
        <w:tc>
          <w:tcPr>
            <w:tcW w:w="680" w:type="dxa"/>
            <w:vAlign w:val="center"/>
          </w:tcPr>
          <w:p w14:paraId="302719EF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11</w:t>
            </w:r>
          </w:p>
        </w:tc>
        <w:tc>
          <w:tcPr>
            <w:tcW w:w="7370" w:type="dxa"/>
            <w:vAlign w:val="center"/>
          </w:tcPr>
          <w:p w14:paraId="5437C672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性能测试结果是否满足高峰交易、查询和批量导出需要？</w:t>
            </w:r>
          </w:p>
        </w:tc>
        <w:tc>
          <w:tcPr>
            <w:tcW w:w="1304" w:type="dxa"/>
            <w:vAlign w:val="center"/>
          </w:tcPr>
          <w:p w14:paraId="7C4B965E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[ ] 正常  [ ] 异常  [ ] 不适用</w:t>
            </w:r>
          </w:p>
        </w:tc>
        <w:tc>
          <w:tcPr>
            <w:tcW w:w="2268" w:type="dxa"/>
            <w:vAlign w:val="center"/>
          </w:tcPr>
          <w:p w14:paraId="356C893A">
            <w:pPr>
              <w:spacing w:after="0" w:line="252" w:lineRule="auto"/>
            </w:pPr>
          </w:p>
        </w:tc>
        <w:tc>
          <w:tcPr>
            <w:tcW w:w="2268" w:type="dxa"/>
            <w:vAlign w:val="center"/>
          </w:tcPr>
          <w:p w14:paraId="6D8F5CC0">
            <w:pPr>
              <w:spacing w:after="0" w:line="252" w:lineRule="auto"/>
            </w:pPr>
          </w:p>
        </w:tc>
      </w:tr>
      <w:tr w14:paraId="79FAA69D">
        <w:trPr>
          <w:jc w:val="center"/>
        </w:trPr>
        <w:tc>
          <w:tcPr>
            <w:tcW w:w="680" w:type="dxa"/>
            <w:shd w:val="clear" w:color="auto" w:fill="F4F7FA"/>
            <w:vAlign w:val="center"/>
          </w:tcPr>
          <w:p w14:paraId="36408399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12</w:t>
            </w:r>
          </w:p>
        </w:tc>
        <w:tc>
          <w:tcPr>
            <w:tcW w:w="7370" w:type="dxa"/>
            <w:shd w:val="clear" w:color="auto" w:fill="F4F7FA"/>
            <w:vAlign w:val="center"/>
          </w:tcPr>
          <w:p w14:paraId="2106D1B3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上线、回退、培训、运维和供应商支持准备是否按计划完成？</w:t>
            </w:r>
          </w:p>
        </w:tc>
        <w:tc>
          <w:tcPr>
            <w:tcW w:w="1304" w:type="dxa"/>
            <w:shd w:val="clear" w:color="auto" w:fill="F4F7FA"/>
            <w:vAlign w:val="center"/>
          </w:tcPr>
          <w:p w14:paraId="1AB6D307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[ ] 正常  [ ] 异常  [ ] 不适用</w:t>
            </w:r>
          </w:p>
        </w:tc>
        <w:tc>
          <w:tcPr>
            <w:tcW w:w="2268" w:type="dxa"/>
            <w:shd w:val="clear" w:color="auto" w:fill="F4F7FA"/>
            <w:vAlign w:val="center"/>
          </w:tcPr>
          <w:p w14:paraId="25B419CD">
            <w:pPr>
              <w:spacing w:after="0" w:line="252" w:lineRule="auto"/>
            </w:pPr>
          </w:p>
        </w:tc>
        <w:tc>
          <w:tcPr>
            <w:tcW w:w="2268" w:type="dxa"/>
            <w:shd w:val="clear" w:color="auto" w:fill="F4F7FA"/>
            <w:vAlign w:val="center"/>
          </w:tcPr>
          <w:p w14:paraId="6B149A74">
            <w:pPr>
              <w:spacing w:after="0" w:line="252" w:lineRule="auto"/>
            </w:pPr>
          </w:p>
        </w:tc>
      </w:tr>
      <w:tr w14:paraId="7E92BC30">
        <w:trPr>
          <w:jc w:val="center"/>
        </w:trPr>
        <w:tc>
          <w:tcPr>
            <w:tcW w:w="680" w:type="dxa"/>
            <w:vAlign w:val="center"/>
          </w:tcPr>
          <w:p w14:paraId="71BFA90B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13</w:t>
            </w:r>
          </w:p>
        </w:tc>
        <w:tc>
          <w:tcPr>
            <w:tcW w:w="7370" w:type="dxa"/>
            <w:vAlign w:val="center"/>
          </w:tcPr>
          <w:p w14:paraId="33390BC7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是否存在逾期待决策事项或未落实的外部承诺？</w:t>
            </w:r>
          </w:p>
        </w:tc>
        <w:tc>
          <w:tcPr>
            <w:tcW w:w="1304" w:type="dxa"/>
            <w:vAlign w:val="center"/>
          </w:tcPr>
          <w:p w14:paraId="773292BE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[ ] 正常  [ ] 异常  [ ] 不适用</w:t>
            </w:r>
          </w:p>
        </w:tc>
        <w:tc>
          <w:tcPr>
            <w:tcW w:w="2268" w:type="dxa"/>
            <w:vAlign w:val="center"/>
          </w:tcPr>
          <w:p w14:paraId="777EC051">
            <w:pPr>
              <w:spacing w:after="0" w:line="252" w:lineRule="auto"/>
            </w:pPr>
          </w:p>
        </w:tc>
        <w:tc>
          <w:tcPr>
            <w:tcW w:w="2268" w:type="dxa"/>
            <w:vAlign w:val="center"/>
          </w:tcPr>
          <w:p w14:paraId="3BF6F9AD">
            <w:pPr>
              <w:spacing w:after="0" w:line="252" w:lineRule="auto"/>
            </w:pPr>
          </w:p>
        </w:tc>
      </w:tr>
      <w:tr w14:paraId="62C7A07B">
        <w:trPr>
          <w:jc w:val="center"/>
        </w:trPr>
        <w:tc>
          <w:tcPr>
            <w:tcW w:w="680" w:type="dxa"/>
            <w:shd w:val="clear" w:color="auto" w:fill="F4F7FA"/>
            <w:vAlign w:val="center"/>
          </w:tcPr>
          <w:p w14:paraId="24BF7673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14</w:t>
            </w:r>
          </w:p>
        </w:tc>
        <w:tc>
          <w:tcPr>
            <w:tcW w:w="7370" w:type="dxa"/>
            <w:shd w:val="clear" w:color="auto" w:fill="F4F7FA"/>
            <w:vAlign w:val="center"/>
          </w:tcPr>
          <w:p w14:paraId="43B27EDF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新增风险是否明确责任人、应对措施、目标日期和关闭证据？</w:t>
            </w:r>
          </w:p>
        </w:tc>
        <w:tc>
          <w:tcPr>
            <w:tcW w:w="1304" w:type="dxa"/>
            <w:shd w:val="clear" w:color="auto" w:fill="F4F7FA"/>
            <w:vAlign w:val="center"/>
          </w:tcPr>
          <w:p w14:paraId="25860FA4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[ ] 正常  [ ] 异常  [ ] 不适用</w:t>
            </w:r>
          </w:p>
        </w:tc>
        <w:tc>
          <w:tcPr>
            <w:tcW w:w="2268" w:type="dxa"/>
            <w:shd w:val="clear" w:color="auto" w:fill="F4F7FA"/>
            <w:vAlign w:val="center"/>
          </w:tcPr>
          <w:p w14:paraId="05296DDD">
            <w:pPr>
              <w:spacing w:after="0" w:line="252" w:lineRule="auto"/>
            </w:pPr>
          </w:p>
        </w:tc>
        <w:tc>
          <w:tcPr>
            <w:tcW w:w="2268" w:type="dxa"/>
            <w:shd w:val="clear" w:color="auto" w:fill="F4F7FA"/>
            <w:vAlign w:val="center"/>
          </w:tcPr>
          <w:p w14:paraId="17E485FF">
            <w:pPr>
              <w:spacing w:after="0" w:line="252" w:lineRule="auto"/>
            </w:pPr>
          </w:p>
        </w:tc>
      </w:tr>
      <w:tr w14:paraId="1CAB376F">
        <w:trPr>
          <w:jc w:val="center"/>
        </w:trPr>
        <w:tc>
          <w:tcPr>
            <w:tcW w:w="680" w:type="dxa"/>
            <w:vAlign w:val="center"/>
          </w:tcPr>
          <w:p w14:paraId="74F5A2E7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15</w:t>
            </w:r>
          </w:p>
        </w:tc>
        <w:tc>
          <w:tcPr>
            <w:tcW w:w="7370" w:type="dxa"/>
            <w:vAlign w:val="center"/>
          </w:tcPr>
          <w:p w14:paraId="33AB4CEF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已关闭风险是否验证应对措施有效，且没有产生次生风险？</w:t>
            </w:r>
          </w:p>
        </w:tc>
        <w:tc>
          <w:tcPr>
            <w:tcW w:w="1304" w:type="dxa"/>
            <w:vAlign w:val="center"/>
          </w:tcPr>
          <w:p w14:paraId="4AD1113E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[ ] 正常  [ ] 异常  [ ] 不适用</w:t>
            </w:r>
          </w:p>
        </w:tc>
        <w:tc>
          <w:tcPr>
            <w:tcW w:w="2268" w:type="dxa"/>
            <w:vAlign w:val="center"/>
          </w:tcPr>
          <w:p w14:paraId="2B36BC6C">
            <w:pPr>
              <w:spacing w:after="0" w:line="252" w:lineRule="auto"/>
            </w:pPr>
          </w:p>
        </w:tc>
        <w:tc>
          <w:tcPr>
            <w:tcW w:w="2268" w:type="dxa"/>
            <w:vAlign w:val="center"/>
          </w:tcPr>
          <w:p w14:paraId="7A1ADB36">
            <w:pPr>
              <w:spacing w:after="0" w:line="252" w:lineRule="auto"/>
            </w:pPr>
          </w:p>
        </w:tc>
      </w:tr>
    </w:tbl>
    <w:p w14:paraId="071C6EB3">
      <w:r>
        <w:br w:type="page"/>
      </w:r>
    </w:p>
    <w:p w14:paraId="796FB6B2">
      <w:pPr>
        <w:pStyle w:val="3"/>
      </w:pPr>
      <w:r>
        <w:t>阶段门检查单</w:t>
      </w:r>
    </w:p>
    <w:p w14:paraId="1BA6C940">
      <w:r>
        <w:t>进入下一阶段前，由项目经理组织业务、技术、测试和供应商共同确认。未满足关键门槛时，不应仅通过口头承诺放行。</w:t>
      </w:r>
    </w:p>
    <w:tbl>
      <w:tblPr>
        <w:tblStyle w:val="33"/>
        <w:tblW w:w="1462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6424"/>
        <w:gridCol w:w="2647"/>
        <w:gridCol w:w="1701"/>
        <w:gridCol w:w="2154"/>
      </w:tblGrid>
      <w:tr w14:paraId="5BA3A1C7">
        <w:trPr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17365D"/>
            <w:vAlign w:val="center"/>
          </w:tcPr>
          <w:p w14:paraId="70CA4EE5">
            <w:pPr>
              <w:spacing w:after="0" w:line="252" w:lineRule="auto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阶段</w:t>
            </w:r>
          </w:p>
        </w:tc>
        <w:tc>
          <w:tcPr>
            <w:tcW w:w="6424" w:type="dxa"/>
            <w:tcBorders>
              <w:top w:val="nil"/>
              <w:left w:val="nil"/>
              <w:bottom w:val="nil"/>
              <w:right w:val="nil"/>
            </w:tcBorders>
            <w:shd w:val="clear" w:color="auto" w:fill="17365D"/>
            <w:vAlign w:val="center"/>
          </w:tcPr>
          <w:p w14:paraId="2D881482">
            <w:pPr>
              <w:spacing w:after="0" w:line="252" w:lineRule="auto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准入或准出条件</w:t>
            </w:r>
          </w:p>
        </w:tc>
        <w:tc>
          <w:tcPr>
            <w:tcW w:w="2647" w:type="dxa"/>
            <w:tcBorders>
              <w:top w:val="nil"/>
              <w:left w:val="nil"/>
              <w:bottom w:val="nil"/>
              <w:right w:val="nil"/>
            </w:tcBorders>
            <w:shd w:val="clear" w:color="auto" w:fill="17365D"/>
            <w:vAlign w:val="center"/>
          </w:tcPr>
          <w:p w14:paraId="19D0F5A2">
            <w:pPr>
              <w:spacing w:after="0" w:line="252" w:lineRule="auto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结论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17365D"/>
            <w:vAlign w:val="center"/>
          </w:tcPr>
          <w:p w14:paraId="3AC2BCE1">
            <w:pPr>
              <w:spacing w:after="0" w:line="252" w:lineRule="auto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确认人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shd w:val="clear" w:color="auto" w:fill="17365D"/>
            <w:vAlign w:val="center"/>
          </w:tcPr>
          <w:p w14:paraId="583D34D5">
            <w:pPr>
              <w:spacing w:after="0" w:line="252" w:lineRule="auto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证据位置</w:t>
            </w:r>
          </w:p>
        </w:tc>
      </w:tr>
      <w:tr w14:paraId="079C1311">
        <w:trPr>
          <w:jc w:val="center"/>
        </w:trPr>
        <w:tc>
          <w:tcPr>
            <w:tcW w:w="1701" w:type="dxa"/>
            <w:tcBorders>
              <w:top w:val="nil"/>
            </w:tcBorders>
            <w:vAlign w:val="center"/>
          </w:tcPr>
          <w:p w14:paraId="7409FCD1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需求</w:t>
            </w:r>
          </w:p>
        </w:tc>
        <w:tc>
          <w:tcPr>
            <w:tcW w:w="6424" w:type="dxa"/>
            <w:tcBorders>
              <w:top w:val="nil"/>
            </w:tcBorders>
            <w:vAlign w:val="center"/>
          </w:tcPr>
          <w:p w14:paraId="0C2FE4B8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P0 P1 P2优先级明确；范</w:t>
            </w:r>
            <w:bookmarkStart w:id="0" w:name="_GoBack"/>
            <w:bookmarkEnd w:id="0"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围边界、验收标准、数据和权限规则确认</w:t>
            </w:r>
          </w:p>
        </w:tc>
        <w:tc>
          <w:tcPr>
            <w:tcW w:w="2647" w:type="dxa"/>
            <w:tcBorders>
              <w:top w:val="nil"/>
            </w:tcBorders>
            <w:vAlign w:val="center"/>
          </w:tcPr>
          <w:p w14:paraId="7DCD9D37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[ ] 通过</w:t>
            </w: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br w:type="textWrapping"/>
            </w: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[ ] 有条件通过</w:t>
            </w: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br w:type="textWrapping"/>
            </w: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[ ] 不通过</w:t>
            </w:r>
          </w:p>
        </w:tc>
        <w:tc>
          <w:tcPr>
            <w:tcW w:w="1701" w:type="dxa"/>
            <w:tcBorders>
              <w:top w:val="nil"/>
            </w:tcBorders>
            <w:vAlign w:val="center"/>
          </w:tcPr>
          <w:p w14:paraId="527D5A82">
            <w:pPr>
              <w:spacing w:after="0" w:line="252" w:lineRule="auto"/>
            </w:pPr>
          </w:p>
        </w:tc>
        <w:tc>
          <w:tcPr>
            <w:tcW w:w="2154" w:type="dxa"/>
            <w:tcBorders>
              <w:top w:val="nil"/>
            </w:tcBorders>
            <w:vAlign w:val="center"/>
          </w:tcPr>
          <w:p w14:paraId="370B111A">
            <w:pPr>
              <w:spacing w:after="0" w:line="252" w:lineRule="auto"/>
            </w:pPr>
          </w:p>
        </w:tc>
      </w:tr>
      <w:tr w14:paraId="045AC887">
        <w:trPr>
          <w:jc w:val="center"/>
        </w:trPr>
        <w:tc>
          <w:tcPr>
            <w:tcW w:w="1701" w:type="dxa"/>
            <w:shd w:val="clear" w:color="auto" w:fill="F4F7FA"/>
            <w:vAlign w:val="center"/>
          </w:tcPr>
          <w:p w14:paraId="7CD2D52C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设计</w:t>
            </w:r>
          </w:p>
        </w:tc>
        <w:tc>
          <w:tcPr>
            <w:tcW w:w="6424" w:type="dxa"/>
            <w:shd w:val="clear" w:color="auto" w:fill="F4F7FA"/>
            <w:vAlign w:val="center"/>
          </w:tcPr>
          <w:p w14:paraId="3E0E7E71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业务流程、状态机、架构、接口、数据字典、安全和异常方案评审通过</w:t>
            </w:r>
          </w:p>
        </w:tc>
        <w:tc>
          <w:tcPr>
            <w:tcW w:w="2647" w:type="dxa"/>
            <w:shd w:val="clear" w:color="auto" w:fill="F4F7FA"/>
            <w:vAlign w:val="center"/>
          </w:tcPr>
          <w:p w14:paraId="32A15704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[ ] 通过</w:t>
            </w: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br w:type="textWrapping"/>
            </w: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[ ] 有条件通过</w:t>
            </w: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br w:type="textWrapping"/>
            </w: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[ ] 不通过</w:t>
            </w:r>
          </w:p>
        </w:tc>
        <w:tc>
          <w:tcPr>
            <w:tcW w:w="1701" w:type="dxa"/>
            <w:shd w:val="clear" w:color="auto" w:fill="F4F7FA"/>
            <w:vAlign w:val="center"/>
          </w:tcPr>
          <w:p w14:paraId="6C795FA4">
            <w:pPr>
              <w:spacing w:after="0" w:line="252" w:lineRule="auto"/>
            </w:pPr>
          </w:p>
        </w:tc>
        <w:tc>
          <w:tcPr>
            <w:tcW w:w="2154" w:type="dxa"/>
            <w:shd w:val="clear" w:color="auto" w:fill="F4F7FA"/>
            <w:vAlign w:val="center"/>
          </w:tcPr>
          <w:p w14:paraId="5C81727B">
            <w:pPr>
              <w:spacing w:after="0" w:line="252" w:lineRule="auto"/>
            </w:pPr>
          </w:p>
        </w:tc>
      </w:tr>
      <w:tr w14:paraId="35816C13">
        <w:trPr>
          <w:jc w:val="center"/>
        </w:trPr>
        <w:tc>
          <w:tcPr>
            <w:tcW w:w="1701" w:type="dxa"/>
            <w:vAlign w:val="center"/>
          </w:tcPr>
          <w:p w14:paraId="2198C179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开发提测</w:t>
            </w:r>
          </w:p>
        </w:tc>
        <w:tc>
          <w:tcPr>
            <w:tcW w:w="6424" w:type="dxa"/>
            <w:vAlign w:val="center"/>
          </w:tcPr>
          <w:p w14:paraId="290C2718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代码评审完成；单元测试通过；接口可用；测试数据和部署说明齐备</w:t>
            </w:r>
          </w:p>
        </w:tc>
        <w:tc>
          <w:tcPr>
            <w:tcW w:w="2647" w:type="dxa"/>
            <w:vAlign w:val="center"/>
          </w:tcPr>
          <w:p w14:paraId="5863F1A5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[ ] 通过</w:t>
            </w: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br w:type="textWrapping"/>
            </w: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[ ] 有条件通过</w:t>
            </w: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br w:type="textWrapping"/>
            </w: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[ ] 不通过</w:t>
            </w:r>
          </w:p>
        </w:tc>
        <w:tc>
          <w:tcPr>
            <w:tcW w:w="1701" w:type="dxa"/>
            <w:vAlign w:val="center"/>
          </w:tcPr>
          <w:p w14:paraId="346E7AAF">
            <w:pPr>
              <w:spacing w:after="0" w:line="252" w:lineRule="auto"/>
            </w:pPr>
          </w:p>
        </w:tc>
        <w:tc>
          <w:tcPr>
            <w:tcW w:w="2154" w:type="dxa"/>
            <w:vAlign w:val="center"/>
          </w:tcPr>
          <w:p w14:paraId="52614869">
            <w:pPr>
              <w:spacing w:after="0" w:line="252" w:lineRule="auto"/>
            </w:pPr>
          </w:p>
        </w:tc>
      </w:tr>
      <w:tr w14:paraId="51A9B087">
        <w:trPr>
          <w:jc w:val="center"/>
        </w:trPr>
        <w:tc>
          <w:tcPr>
            <w:tcW w:w="1701" w:type="dxa"/>
            <w:shd w:val="clear" w:color="auto" w:fill="F4F7FA"/>
            <w:vAlign w:val="center"/>
          </w:tcPr>
          <w:p w14:paraId="744BDD9F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系统测试</w:t>
            </w:r>
          </w:p>
        </w:tc>
        <w:tc>
          <w:tcPr>
            <w:tcW w:w="6424" w:type="dxa"/>
            <w:shd w:val="clear" w:color="auto" w:fill="F4F7FA"/>
            <w:vAlign w:val="center"/>
          </w:tcPr>
          <w:p w14:paraId="5D4F8978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核心流程通过；接口、回归、性能、安全和异常场景达到准出标准</w:t>
            </w:r>
          </w:p>
        </w:tc>
        <w:tc>
          <w:tcPr>
            <w:tcW w:w="2647" w:type="dxa"/>
            <w:shd w:val="clear" w:color="auto" w:fill="F4F7FA"/>
            <w:vAlign w:val="center"/>
          </w:tcPr>
          <w:p w14:paraId="3E700A48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[ ] 通过</w:t>
            </w: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br w:type="textWrapping"/>
            </w: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[ ] 有条件通过</w:t>
            </w: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br w:type="textWrapping"/>
            </w: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[ ] 不通过</w:t>
            </w:r>
          </w:p>
        </w:tc>
        <w:tc>
          <w:tcPr>
            <w:tcW w:w="1701" w:type="dxa"/>
            <w:shd w:val="clear" w:color="auto" w:fill="F4F7FA"/>
            <w:vAlign w:val="center"/>
          </w:tcPr>
          <w:p w14:paraId="535C0101">
            <w:pPr>
              <w:spacing w:after="0" w:line="252" w:lineRule="auto"/>
            </w:pPr>
          </w:p>
        </w:tc>
        <w:tc>
          <w:tcPr>
            <w:tcW w:w="2154" w:type="dxa"/>
            <w:shd w:val="clear" w:color="auto" w:fill="F4F7FA"/>
            <w:vAlign w:val="center"/>
          </w:tcPr>
          <w:p w14:paraId="5002521C">
            <w:pPr>
              <w:spacing w:after="0" w:line="252" w:lineRule="auto"/>
            </w:pPr>
          </w:p>
        </w:tc>
      </w:tr>
      <w:tr w14:paraId="04D63F80">
        <w:trPr>
          <w:jc w:val="center"/>
        </w:trPr>
        <w:tc>
          <w:tcPr>
            <w:tcW w:w="1701" w:type="dxa"/>
            <w:vAlign w:val="center"/>
          </w:tcPr>
          <w:p w14:paraId="52D2F37D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业务验收</w:t>
            </w:r>
          </w:p>
        </w:tc>
        <w:tc>
          <w:tcPr>
            <w:tcW w:w="6424" w:type="dxa"/>
            <w:vAlign w:val="center"/>
          </w:tcPr>
          <w:p w14:paraId="6C03A9E5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真实角色完成端到端场景；遗留问题有审批；验收证据完整</w:t>
            </w:r>
          </w:p>
        </w:tc>
        <w:tc>
          <w:tcPr>
            <w:tcW w:w="2647" w:type="dxa"/>
            <w:vAlign w:val="center"/>
          </w:tcPr>
          <w:p w14:paraId="3314FEAB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[ ] 通过</w:t>
            </w: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br w:type="textWrapping"/>
            </w: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[ ] 有条件通过</w:t>
            </w: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br w:type="textWrapping"/>
            </w: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[ ] 不通过</w:t>
            </w:r>
          </w:p>
        </w:tc>
        <w:tc>
          <w:tcPr>
            <w:tcW w:w="1701" w:type="dxa"/>
            <w:vAlign w:val="center"/>
          </w:tcPr>
          <w:p w14:paraId="13D7490B">
            <w:pPr>
              <w:spacing w:after="0" w:line="252" w:lineRule="auto"/>
            </w:pPr>
          </w:p>
        </w:tc>
        <w:tc>
          <w:tcPr>
            <w:tcW w:w="2154" w:type="dxa"/>
            <w:vAlign w:val="center"/>
          </w:tcPr>
          <w:p w14:paraId="62E90865">
            <w:pPr>
              <w:spacing w:after="0" w:line="252" w:lineRule="auto"/>
            </w:pPr>
          </w:p>
        </w:tc>
      </w:tr>
      <w:tr w14:paraId="4C329236">
        <w:trPr>
          <w:jc w:val="center"/>
        </w:trPr>
        <w:tc>
          <w:tcPr>
            <w:tcW w:w="1701" w:type="dxa"/>
            <w:shd w:val="clear" w:color="auto" w:fill="F4F7FA"/>
            <w:vAlign w:val="center"/>
          </w:tcPr>
          <w:p w14:paraId="29A49F82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上线</w:t>
            </w:r>
          </w:p>
        </w:tc>
        <w:tc>
          <w:tcPr>
            <w:tcW w:w="6424" w:type="dxa"/>
            <w:shd w:val="clear" w:color="auto" w:fill="F4F7FA"/>
            <w:vAlign w:val="center"/>
          </w:tcPr>
          <w:p w14:paraId="1CD60061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上线包、数据脚本、备份、回退、监控、值班、培训和通讯录确认</w:t>
            </w:r>
          </w:p>
        </w:tc>
        <w:tc>
          <w:tcPr>
            <w:tcW w:w="2647" w:type="dxa"/>
            <w:shd w:val="clear" w:color="auto" w:fill="F4F7FA"/>
            <w:vAlign w:val="center"/>
          </w:tcPr>
          <w:p w14:paraId="660FF85A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[ ] 通过</w:t>
            </w: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br w:type="textWrapping"/>
            </w: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[ ] 有条件通过</w:t>
            </w: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br w:type="textWrapping"/>
            </w: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[ ] 不通过</w:t>
            </w:r>
          </w:p>
        </w:tc>
        <w:tc>
          <w:tcPr>
            <w:tcW w:w="1701" w:type="dxa"/>
            <w:shd w:val="clear" w:color="auto" w:fill="F4F7FA"/>
            <w:vAlign w:val="center"/>
          </w:tcPr>
          <w:p w14:paraId="22D6B93F">
            <w:pPr>
              <w:spacing w:after="0" w:line="252" w:lineRule="auto"/>
            </w:pPr>
          </w:p>
        </w:tc>
        <w:tc>
          <w:tcPr>
            <w:tcW w:w="2154" w:type="dxa"/>
            <w:shd w:val="clear" w:color="auto" w:fill="F4F7FA"/>
            <w:vAlign w:val="center"/>
          </w:tcPr>
          <w:p w14:paraId="73E95BE4">
            <w:pPr>
              <w:spacing w:after="0" w:line="252" w:lineRule="auto"/>
            </w:pPr>
          </w:p>
        </w:tc>
      </w:tr>
      <w:tr w14:paraId="2C67A5ED">
        <w:trPr>
          <w:jc w:val="center"/>
        </w:trPr>
        <w:tc>
          <w:tcPr>
            <w:tcW w:w="1701" w:type="dxa"/>
            <w:vAlign w:val="center"/>
          </w:tcPr>
          <w:p w14:paraId="27E404E7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运维交接</w:t>
            </w:r>
          </w:p>
        </w:tc>
        <w:tc>
          <w:tcPr>
            <w:tcW w:w="6424" w:type="dxa"/>
            <w:vAlign w:val="center"/>
          </w:tcPr>
          <w:p w14:paraId="791CBD37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操作手册、监控告警、账号权限、SLA、已知问题和供应商支持移交</w:t>
            </w:r>
          </w:p>
        </w:tc>
        <w:tc>
          <w:tcPr>
            <w:tcW w:w="2647" w:type="dxa"/>
            <w:vAlign w:val="center"/>
          </w:tcPr>
          <w:p w14:paraId="15C16611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[ ] 通过</w:t>
            </w: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br w:type="textWrapping"/>
            </w: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[ ] 有条件通过</w:t>
            </w: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br w:type="textWrapping"/>
            </w: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[ ] 不通过</w:t>
            </w:r>
          </w:p>
        </w:tc>
        <w:tc>
          <w:tcPr>
            <w:tcW w:w="1701" w:type="dxa"/>
            <w:vAlign w:val="center"/>
          </w:tcPr>
          <w:p w14:paraId="5D4DCA5A">
            <w:pPr>
              <w:spacing w:after="0" w:line="252" w:lineRule="auto"/>
            </w:pPr>
          </w:p>
        </w:tc>
        <w:tc>
          <w:tcPr>
            <w:tcW w:w="2154" w:type="dxa"/>
            <w:vAlign w:val="center"/>
          </w:tcPr>
          <w:p w14:paraId="1A651AD2">
            <w:pPr>
              <w:spacing w:after="0" w:line="252" w:lineRule="auto"/>
            </w:pPr>
          </w:p>
        </w:tc>
      </w:tr>
      <w:tr w14:paraId="5726DAC6">
        <w:trPr>
          <w:jc w:val="center"/>
        </w:trPr>
        <w:tc>
          <w:tcPr>
            <w:tcW w:w="1701" w:type="dxa"/>
            <w:shd w:val="clear" w:color="auto" w:fill="F4F7FA"/>
            <w:vAlign w:val="center"/>
          </w:tcPr>
          <w:p w14:paraId="0C696653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价值复盘</w:t>
            </w:r>
          </w:p>
        </w:tc>
        <w:tc>
          <w:tcPr>
            <w:tcW w:w="6424" w:type="dxa"/>
            <w:shd w:val="clear" w:color="auto" w:fill="F4F7FA"/>
            <w:vAlign w:val="center"/>
          </w:tcPr>
          <w:p w14:paraId="0825243E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使用率、效率、差错率、结算准确性和用户反馈得到验证</w:t>
            </w:r>
          </w:p>
        </w:tc>
        <w:tc>
          <w:tcPr>
            <w:tcW w:w="2647" w:type="dxa"/>
            <w:shd w:val="clear" w:color="auto" w:fill="F4F7FA"/>
            <w:vAlign w:val="center"/>
          </w:tcPr>
          <w:p w14:paraId="70C2B244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[ ] 通过</w:t>
            </w: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br w:type="textWrapping"/>
            </w: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[ ] 有条件通过</w:t>
            </w: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br w:type="textWrapping"/>
            </w: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[ ] 不通过</w:t>
            </w:r>
          </w:p>
        </w:tc>
        <w:tc>
          <w:tcPr>
            <w:tcW w:w="1701" w:type="dxa"/>
            <w:shd w:val="clear" w:color="auto" w:fill="F4F7FA"/>
            <w:vAlign w:val="center"/>
          </w:tcPr>
          <w:p w14:paraId="65E63A3E">
            <w:pPr>
              <w:spacing w:after="0" w:line="252" w:lineRule="auto"/>
            </w:pPr>
          </w:p>
        </w:tc>
        <w:tc>
          <w:tcPr>
            <w:tcW w:w="2154" w:type="dxa"/>
            <w:shd w:val="clear" w:color="auto" w:fill="F4F7FA"/>
            <w:vAlign w:val="center"/>
          </w:tcPr>
          <w:p w14:paraId="398311B3">
            <w:pPr>
              <w:spacing w:after="0" w:line="252" w:lineRule="auto"/>
            </w:pPr>
          </w:p>
        </w:tc>
      </w:tr>
    </w:tbl>
    <w:p w14:paraId="3352A9BC">
      <w:pPr>
        <w:pStyle w:val="3"/>
      </w:pPr>
      <w:r>
        <w:t>风险记录最低字段</w:t>
      </w:r>
    </w:p>
    <w:p w14:paraId="21B65D31">
      <w:r>
        <w:t>风险编号、风险事件、原因、可能影响、触发信号、概率、影响、等级、应对策略、具体措施、责任人、目标日期、当前状态、升级记录、关闭证据和复盘结论。</w:t>
      </w:r>
    </w:p>
    <w:p w14:paraId="71B5D6D4">
      <w:pPr>
        <w:pStyle w:val="3"/>
      </w:pPr>
      <w:r>
        <w:t>每周闭环流程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5"/>
        <w:gridCol w:w="2375"/>
        <w:gridCol w:w="2375"/>
        <w:gridCol w:w="2375"/>
        <w:gridCol w:w="2375"/>
        <w:gridCol w:w="2375"/>
      </w:tblGrid>
      <w:tr w14:paraId="48FF8BEF">
        <w:trPr>
          <w:jc w:val="center"/>
        </w:trPr>
        <w:tc>
          <w:tcPr>
            <w:tcW w:w="2375" w:type="dxa"/>
            <w:shd w:val="clear" w:color="auto" w:fill="17365D"/>
            <w:vAlign w:val="center"/>
          </w:tcPr>
          <w:p w14:paraId="4958FC6D">
            <w:pPr>
              <w:spacing w:after="0" w:line="252" w:lineRule="auto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1</w:t>
            </w: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br w:type="textWrapping"/>
            </w: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识别</w:t>
            </w:r>
          </w:p>
        </w:tc>
        <w:tc>
          <w:tcPr>
            <w:tcW w:w="2375" w:type="dxa"/>
            <w:shd w:val="clear" w:color="auto" w:fill="17365D"/>
            <w:vAlign w:val="center"/>
          </w:tcPr>
          <w:p w14:paraId="3D959D6D">
            <w:pPr>
              <w:spacing w:after="0" w:line="252" w:lineRule="auto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2</w:t>
            </w: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br w:type="textWrapping"/>
            </w: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评估</w:t>
            </w:r>
          </w:p>
        </w:tc>
        <w:tc>
          <w:tcPr>
            <w:tcW w:w="2375" w:type="dxa"/>
            <w:shd w:val="clear" w:color="auto" w:fill="17365D"/>
            <w:vAlign w:val="center"/>
          </w:tcPr>
          <w:p w14:paraId="01790086">
            <w:pPr>
              <w:spacing w:after="0" w:line="252" w:lineRule="auto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3</w:t>
            </w: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br w:type="textWrapping"/>
            </w: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分配责任</w:t>
            </w:r>
          </w:p>
        </w:tc>
        <w:tc>
          <w:tcPr>
            <w:tcW w:w="2375" w:type="dxa"/>
            <w:shd w:val="clear" w:color="auto" w:fill="17365D"/>
            <w:vAlign w:val="center"/>
          </w:tcPr>
          <w:p w14:paraId="2A30BEC5">
            <w:pPr>
              <w:spacing w:after="0" w:line="252" w:lineRule="auto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4</w:t>
            </w: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br w:type="textWrapping"/>
            </w: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实施应对</w:t>
            </w:r>
          </w:p>
        </w:tc>
        <w:tc>
          <w:tcPr>
            <w:tcW w:w="2375" w:type="dxa"/>
            <w:shd w:val="clear" w:color="auto" w:fill="17365D"/>
            <w:vAlign w:val="center"/>
          </w:tcPr>
          <w:p w14:paraId="4A55784A">
            <w:pPr>
              <w:spacing w:after="0" w:line="252" w:lineRule="auto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5</w:t>
            </w: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br w:type="textWrapping"/>
            </w: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验证效果</w:t>
            </w:r>
          </w:p>
        </w:tc>
        <w:tc>
          <w:tcPr>
            <w:tcW w:w="2375" w:type="dxa"/>
            <w:shd w:val="clear" w:color="auto" w:fill="17365D"/>
            <w:vAlign w:val="center"/>
          </w:tcPr>
          <w:p w14:paraId="2C3B171D">
            <w:pPr>
              <w:spacing w:after="0" w:line="252" w:lineRule="auto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6</w:t>
            </w: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br w:type="textWrapping"/>
            </w: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关闭或升级</w:t>
            </w:r>
          </w:p>
        </w:tc>
      </w:tr>
    </w:tbl>
    <w:p w14:paraId="6F12AA33"/>
    <w:sectPr>
      <w:footerReference r:id="rId5" w:type="default"/>
      <w:pgSz w:w="15840" w:h="12240" w:orient="landscape"/>
      <w:pgMar w:top="794" w:right="794" w:bottom="737" w:left="79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C01FBE">
    <w:pPr>
      <w:pStyle w:val="24"/>
      <w:jc w:val="center"/>
    </w:pPr>
    <w:r>
      <w:rPr>
        <w:rFonts w:ascii="PingFang SC" w:hAnsi="PingFang SC" w:eastAsia="PingFang SC"/>
        <w:color w:val="646464"/>
        <w:sz w:val="16"/>
      </w:rPr>
      <w:t>港口交易平台项目风险管理工作文件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9DED382"/>
    <w:rsid w:val="BF5F5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PingFang SC" w:hAnsi="PingFang SC" w:eastAsia="PingFang SC" w:cstheme="minorBidi"/>
      <w:color w:val="000000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48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87</TotalTime>
  <ScaleCrop>false</ScaleCrop>
  <LinksUpToDate>false</LinksUpToDate>
  <CharactersWithSpaces>0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项目管理办公室</dc:creator>
  <dc:description>generated by python-docx</dc:description>
  <cp:lastModifiedBy>zlyyh</cp:lastModifiedBy>
  <dcterms:modified xsi:type="dcterms:W3CDTF">2026-09-18T14:02:38Z</dcterms:modified>
  <dc:subject>项目风险管理</dc:subject>
  <dc:title>港口交易平台项目常见风险清单与检查单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909A1996D9A32121D4A1AC6ABF46D0F4_42</vt:lpwstr>
  </property>
</Properties>
</file>