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运输协议中“运输类型”分类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租赁项目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二次发货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货物调转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厂内用车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接送工人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53112"/>
    <w:rsid w:val="223F5BFF"/>
    <w:rsid w:val="6415311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nFangZhe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2018-09-17T03:55:00Z</dcterms:created>
  <dc:creator>Gs - 田芳镇</dc:creator>
  <cp:lastModifiedBy>Gs - 田芳镇</cp:lastModifiedBy>
  <dcterms:modified xsi:type="dcterms:W3CDTF">2018-09-17T06:00:14Z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