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>
      <w:pPr>
        <w:jc w:val="center"/>
        <w:rPr>
          <w:rFonts w:ascii="宋体" w:hAnsi="宋体"/>
          <w:b/>
          <w:color w:val="000000"/>
          <w:sz w:val="44"/>
          <w:u w:val="double"/>
        </w:rPr>
      </w:pPr>
      <w:r>
        <w:rPr>
          <w:rFonts w:ascii="宋体" w:hAnsi="宋体"/>
          <w:b/>
          <w:color w:val="000000"/>
          <w:sz w:val="44"/>
          <w:u w:val="double"/>
        </w:rPr>
        <w:t>销售合同</w:t>
      </w:r>
    </w:p>
    <w:tbl>
      <w:tblPr>
        <w:tblStyle w:val="TableGrid"/>
        <w:tblW w:w="1088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1555"/>
        <w:gridCol w:w="4365"/>
        <w:gridCol w:w="1843"/>
        <w:gridCol w:w="3118"/>
      </w:tblGrid>
      <w:tr>
        <w:tblPrEx>
          <w:tblW w:w="10881" w:type="dxa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A0"/>
        </w:tblPrEx>
        <w:tc>
          <w:tcPr>
            <w:tcW w:w="1555" w:type="dxa"/>
            <w:shd w:val="clear" w:color="auto" w:fill="FFFFFF"/>
            <w:hideMark/>
          </w:tcPr>
          <w:p>
            <w:pPr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4365" w:type="dxa"/>
            <w:shd w:val="clear" w:color="auto" w:fill="FFFFFF"/>
          </w:tcPr>
          <w:p>
            <w:pPr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FFFFF"/>
            <w:hideMark/>
          </w:tcPr>
          <w:p>
            <w:pPr>
              <w:jc w:val="right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color w:val="000000"/>
                <w:sz w:val="18"/>
              </w:rPr>
              <w:t>合同编号：</w:t>
            </w:r>
          </w:p>
        </w:tc>
        <w:tc>
          <w:tcPr>
            <w:tcW w:w="3118" w:type="dxa"/>
            <w:shd w:val="clear" w:color="auto" w:fill="FFFFFF"/>
            <w:hideMark/>
          </w:tcPr>
          <w:p>
            <w:pPr>
              <w:jc w:val="left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color w:val="000000"/>
                <w:sz w:val="18"/>
              </w:rPr>
              <w:t>${001合同编码}</w:t>
            </w:r>
          </w:p>
        </w:tc>
      </w:tr>
      <w:tr>
        <w:tblPrEx>
          <w:tblW w:w="10881" w:type="dxa"/>
          <w:tblInd w:w="0" w:type="dxa"/>
          <w:tblLayout w:type="fixed"/>
          <w:tblLook w:val="04A0"/>
        </w:tblPrEx>
        <w:tc>
          <w:tcPr>
            <w:tcW w:w="1555" w:type="dxa"/>
            <w:shd w:val="clear" w:color="auto" w:fill="FFFFFF"/>
          </w:tcPr>
          <w:p>
            <w:pPr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4365" w:type="dxa"/>
            <w:shd w:val="clear" w:color="auto" w:fill="FFFFFF"/>
          </w:tcPr>
          <w:p>
            <w:pPr>
              <w:rPr>
                <w:rFonts w:ascii="宋体" w:hAnsi="宋体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FFFFF"/>
            <w:hideMark/>
          </w:tcPr>
          <w:p>
            <w:pPr>
              <w:jc w:val="right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color w:val="000000"/>
                <w:sz w:val="18"/>
              </w:rPr>
              <w:t>签订日期：</w:t>
            </w:r>
          </w:p>
        </w:tc>
        <w:tc>
          <w:tcPr>
            <w:tcW w:w="3118" w:type="dxa"/>
            <w:shd w:val="clear" w:color="auto" w:fill="FFFFFF"/>
            <w:hideMark/>
          </w:tcPr>
          <w:p>
            <w:pPr>
              <w:jc w:val="left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color w:val="000000"/>
                <w:sz w:val="18"/>
              </w:rPr>
              <w:t>${002合同日期}</w:t>
            </w:r>
          </w:p>
        </w:tc>
      </w:tr>
      <w:tr>
        <w:tblPrEx>
          <w:tblW w:w="10881" w:type="dxa"/>
          <w:tblInd w:w="0" w:type="dxa"/>
          <w:tblLayout w:type="fixed"/>
          <w:tblLook w:val="04A0"/>
        </w:tblPrEx>
        <w:tc>
          <w:tcPr>
            <w:tcW w:w="1555" w:type="dxa"/>
            <w:shd w:val="clear" w:color="auto" w:fill="FFFFFF"/>
            <w:hideMark/>
          </w:tcPr>
          <w:p>
            <w:pPr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甲方(需方)：</w:t>
            </w:r>
          </w:p>
        </w:tc>
        <w:tc>
          <w:tcPr>
            <w:tcW w:w="9326" w:type="dxa"/>
            <w:gridSpan w:val="3"/>
            <w:shd w:val="clear" w:color="auto" w:fill="FFFFFF"/>
            <w:hideMark/>
          </w:tcPr>
          <w:p>
            <w:pPr>
              <w:rPr>
                <w:rFonts w:ascii="宋体" w:hAnsi="宋体"/>
                <w:b/>
                <w:color w:val="000000"/>
                <w:u w:val="single"/>
              </w:rPr>
            </w:pPr>
            <w:r>
              <w:rPr>
                <w:rFonts w:ascii="宋体" w:hAnsi="宋体"/>
                <w:b/>
                <w:color w:val="000000"/>
                <w:u w:val="single"/>
              </w:rPr>
              <w:t>${101甲方（需方）}</w:t>
            </w:r>
          </w:p>
        </w:tc>
      </w:tr>
      <w:tr>
        <w:tblPrEx>
          <w:tblW w:w="10881" w:type="dxa"/>
          <w:tblInd w:w="0" w:type="dxa"/>
          <w:tblLayout w:type="fixed"/>
          <w:tblLook w:val="04A0"/>
        </w:tblPrEx>
        <w:tc>
          <w:tcPr>
            <w:tcW w:w="1555" w:type="dxa"/>
            <w:shd w:val="clear" w:color="auto" w:fill="FFFFFF"/>
            <w:hideMark/>
          </w:tcPr>
          <w:p>
            <w:pPr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乙方(供方)：</w:t>
            </w:r>
          </w:p>
        </w:tc>
        <w:tc>
          <w:tcPr>
            <w:tcW w:w="9326" w:type="dxa"/>
            <w:gridSpan w:val="3"/>
            <w:shd w:val="clear" w:color="auto" w:fill="FFFFFF"/>
            <w:hideMark/>
          </w:tcPr>
          <w:p>
            <w:pPr>
              <w:rPr>
                <w:rFonts w:ascii="宋体" w:hAnsi="宋体"/>
                <w:b/>
                <w:color w:val="000000"/>
                <w:u w:val="single"/>
              </w:rPr>
            </w:pPr>
            <w:r>
              <w:rPr>
                <w:rFonts w:ascii="宋体" w:hAnsi="宋体"/>
                <w:b/>
                <w:color w:val="000000"/>
                <w:u w:val="single"/>
              </w:rPr>
              <w:t>${201乙方（供方）}</w:t>
            </w:r>
          </w:p>
        </w:tc>
      </w:tr>
    </w:tbl>
    <w:p>
      <w:pPr>
        <w:spacing w:beforeAutospacing="0" w:afterAutospacing="0" w:line="420" w:lineRule="exact"/>
        <w:ind w:right="50" w:firstLine="517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根据《中华人民共和国合同法》有关法律规定，甲、乙双方本着平等、公平、诚实信用的原则，并结合篷房设施的具体情况，经双方友好协商，签订本合同。</w:t>
      </w:r>
    </w:p>
    <w:p>
      <w:pPr>
        <w:spacing w:beforeAutospacing="0" w:afterAutospacing="0" w:line="420" w:lineRule="exact"/>
        <w:ind w:right="50" w:firstLine="517"/>
        <w:jc w:val="center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第一部分 合同概况</w:t>
      </w:r>
    </w:p>
    <w:p>
      <w:pPr>
        <w:spacing w:beforeAutospacing="0" w:afterAutospacing="0" w:line="480" w:lineRule="exac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1.合同概况</w:t>
      </w:r>
    </w:p>
    <w:tbl>
      <w:tblPr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5"/>
        <w:gridCol w:w="4442"/>
        <w:gridCol w:w="1417"/>
        <w:gridCol w:w="3827"/>
      </w:tblGrid>
      <w:tr>
        <w:tblPrEx>
          <w:tblW w:w="10881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产品名称</w:t>
            </w:r>
          </w:p>
        </w:tc>
        <w:tc>
          <w:tcPr>
            <w:tcW w:w="4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${301产品名称}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总面积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</w:rPr>
              <w:t>${302总面积}</w:t>
            </w:r>
            <w:r>
              <w:rPr>
                <w:rFonts w:ascii="宋体" w:hAnsi="宋体"/>
              </w:rPr>
              <w:t>平</w:t>
            </w:r>
            <w:r>
              <w:rPr>
                <w:rFonts w:ascii="宋体" w:hAnsi="宋体"/>
              </w:rPr>
              <w:t>米</w:t>
            </w:r>
          </w:p>
        </w:tc>
      </w:tr>
      <w:tr>
        <w:tblPrEx>
          <w:tblW w:w="10881" w:type="dxa"/>
          <w:tblLayout w:type="fixed"/>
          <w:tblLook w:val="04A0"/>
        </w:tblPrEx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合同总额</w:t>
            </w:r>
          </w:p>
        </w:tc>
        <w:tc>
          <w:tcPr>
            <w:tcW w:w="4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</w:rPr>
              <w:t>${303合同总金额}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用途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</w:rPr>
              <w:t>${304用途}</w:t>
            </w:r>
          </w:p>
        </w:tc>
      </w:tr>
      <w:tr>
        <w:tblPrEx>
          <w:tblW w:w="10881" w:type="dxa"/>
          <w:tblLayout w:type="fixed"/>
          <w:tblLook w:val="04A0"/>
        </w:tblPrEx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运输</w:t>
            </w:r>
          </w:p>
        </w:tc>
        <w:tc>
          <w:tcPr>
            <w:tcW w:w="4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</w:rPr>
              <w:t>${305运输}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联系电话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</w:rPr>
              <w:t>${306场地电话}</w:t>
            </w:r>
          </w:p>
        </w:tc>
      </w:tr>
      <w:tr>
        <w:tblPrEx>
          <w:tblW w:w="10881" w:type="dxa"/>
          <w:tblLayout w:type="fixed"/>
          <w:tblLook w:val="04A0"/>
        </w:tblPrEx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交货时间</w:t>
            </w:r>
          </w:p>
        </w:tc>
        <w:tc>
          <w:tcPr>
            <w:tcW w:w="4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r>
              <w:rPr>
                <w:rFonts w:ascii="宋体" w:hAnsi="宋体"/>
              </w:rPr>
              <w:t>${307交货时间}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交货地点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/>
              </w:rPr>
              <w:t>${308交货地点}</w:t>
            </w:r>
          </w:p>
        </w:tc>
      </w:tr>
      <w:tr>
        <w:tblPrEx>
          <w:tblW w:w="10881" w:type="dxa"/>
          <w:tblLayout w:type="fixed"/>
          <w:tblLook w:val="04A0"/>
        </w:tblPrEx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地面防水</w:t>
            </w:r>
          </w:p>
        </w:tc>
        <w:tc>
          <w:tcPr>
            <w:tcW w:w="4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</w:rPr>
              <w:t>${309地面防水}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固定方式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</w:rPr>
              <w:t>${310固定方式}</w:t>
            </w:r>
          </w:p>
        </w:tc>
      </w:tr>
      <w:tr>
        <w:tblPrEx>
          <w:tblW w:w="10881" w:type="dxa"/>
          <w:tblLayout w:type="fixed"/>
          <w:tblLook w:val="04A0"/>
        </w:tblPrEx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搭建</w:t>
            </w:r>
          </w:p>
        </w:tc>
        <w:tc>
          <w:tcPr>
            <w:tcW w:w="44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FF0000"/>
                <w:u w:val="single"/>
              </w:rPr>
            </w:pPr>
            <w:r>
              <w:rPr>
                <w:rFonts w:ascii="宋体" w:hAnsi="宋体"/>
              </w:rPr>
              <w:t>${311搭建方}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税票</w:t>
            </w:r>
          </w:p>
        </w:tc>
        <w:tc>
          <w:tcPr>
            <w:tcW w:w="38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FF0000"/>
                <w:u w:val="single"/>
              </w:rPr>
            </w:pPr>
            <w:r>
              <w:rPr>
                <w:rFonts w:ascii="宋体" w:hAnsi="宋体"/>
              </w:rPr>
              <w:t>${312税票}</w:t>
            </w:r>
          </w:p>
        </w:tc>
      </w:tr>
    </w:tbl>
    <w:p>
      <w:pPr>
        <w:spacing w:beforeAutospacing="0" w:afterAutospacing="0" w:line="420" w:lineRule="exact"/>
        <w:ind w:right="1340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 xml:space="preserve">2.产品规格、型号、数量： </w:t>
      </w:r>
    </w:p>
    <w:tbl>
      <w:tblPr>
        <w:tblW w:w="1088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2494"/>
        <w:gridCol w:w="3743"/>
        <w:gridCol w:w="2693"/>
      </w:tblGrid>
      <w:tr>
        <w:tblPrEx>
          <w:tblW w:w="10886" w:type="dxa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319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产品名称</w:t>
            </w:r>
          </w:p>
        </w:tc>
        <w:tc>
          <w:tcPr>
            <w:tcW w:w="2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 xml:space="preserve">型号 </w:t>
            </w:r>
          </w:p>
        </w:tc>
        <w:tc>
          <w:tcPr>
            <w:tcW w:w="3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规 格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合计数量</w:t>
            </w:r>
          </w:p>
        </w:tc>
      </w:tr>
      <w:tr>
        <w:tblPrEx>
          <w:tblW w:w="10886" w:type="dxa"/>
          <w:tblInd w:w="-5" w:type="dxa"/>
          <w:tblLayout w:type="fixed"/>
          <w:tblLook w:val="04A0"/>
        </w:tblPrEx>
        <w:trPr>
          <w:trHeight w:val="411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4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3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beforeAutospacing="0" w:afterAutospacing="0" w:line="48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/>
    <w:p>
      <w:pPr>
        <w:spacing w:beforeAutospacing="0" w:afterAutospacing="0" w:line="480" w:lineRule="exac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3．付款及结算方式：</w:t>
      </w:r>
    </w:p>
    <w:p>
      <w:pPr>
        <w:spacing w:beforeAutospacing="0" w:afterAutospacing="0" w:line="420" w:lineRule="exact"/>
        <w:ind w:right="50" w:firstLine="105"/>
        <w:rPr>
          <w:rFonts w:ascii="宋体" w:hAnsi="宋体"/>
        </w:rPr>
      </w:pPr>
      <w:r>
        <w:rPr>
          <w:rFonts w:ascii="宋体" w:hAnsi="宋体"/>
          <w:b/>
        </w:rPr>
        <w:t>3.1</w:t>
      </w:r>
      <w:r>
        <w:rPr>
          <w:rFonts w:ascii="宋体" w:hAnsi="宋体"/>
        </w:rPr>
        <w:t>合同签订后</w:t>
      </w:r>
      <w:r>
        <w:rPr>
          <w:rFonts w:ascii="宋体" w:hAnsi="宋体"/>
          <w:u w:val="single"/>
        </w:rPr>
        <w:t xml:space="preserve"> ${501几日付定金}</w:t>
      </w:r>
      <w:r>
        <w:rPr>
          <w:rFonts w:ascii="宋体" w:hAnsi="宋体"/>
        </w:rPr>
        <w:t>日内，甲方向乙方支付定金人民币</w:t>
      </w:r>
      <w:r>
        <w:rPr>
          <w:rFonts w:ascii="宋体" w:hAnsi="宋体"/>
          <w:u w:val="single"/>
        </w:rPr>
        <w:t>${502定金}</w:t>
      </w:r>
      <w:r>
        <w:rPr>
          <w:rFonts w:ascii="宋体" w:hAnsi="宋体"/>
        </w:rPr>
        <w:t>元（大写：</w:t>
      </w:r>
      <w:r>
        <w:rPr>
          <w:rFonts w:ascii="宋体" w:hAnsi="宋体"/>
          <w:u w:val="single"/>
        </w:rPr>
        <w:t>${503定金大写}</w:t>
      </w:r>
      <w:r>
        <w:rPr>
          <w:rFonts w:ascii="宋体" w:hAnsi="宋体"/>
        </w:rPr>
        <w:t>）。</w:t>
      </w:r>
    </w:p>
    <w:p>
      <w:pPr>
        <w:spacing w:beforeAutospacing="0" w:afterAutospacing="0" w:line="420" w:lineRule="exact"/>
        <w:ind w:left="640" w:right="50" w:hanging="535"/>
        <w:rPr>
          <w:rFonts w:ascii="宋体" w:hAnsi="宋体"/>
        </w:rPr>
      </w:pPr>
      <w:r>
        <w:rPr>
          <w:rFonts w:ascii="宋体" w:hAnsi="宋体"/>
          <w:b/>
        </w:rPr>
        <w:t>3.2</w:t>
      </w:r>
      <w:r>
        <w:rPr>
          <w:rFonts w:ascii="宋体" w:hAnsi="宋体"/>
        </w:rPr>
        <w:t>提货前，即</w:t>
      </w:r>
      <w:r>
        <w:rPr>
          <w:rFonts w:ascii="宋体" w:hAnsi="宋体"/>
          <w:u w:val="single"/>
        </w:rPr>
        <w:t>${504提货前付款日期}</w:t>
      </w:r>
      <w:r>
        <w:rPr>
          <w:rFonts w:ascii="宋体" w:hAnsi="宋体"/>
        </w:rPr>
        <w:t>，甲方向乙方支付部分尾款人民币</w:t>
      </w:r>
      <w:r>
        <w:rPr>
          <w:rFonts w:ascii="宋体" w:hAnsi="宋体"/>
          <w:u w:val="single"/>
        </w:rPr>
        <w:t xml:space="preserve"> ${505提货前付款}</w:t>
      </w:r>
      <w:r>
        <w:rPr>
          <w:rFonts w:ascii="宋体" w:hAnsi="宋体"/>
        </w:rPr>
        <w:t>元（大写：</w:t>
      </w:r>
      <w:r>
        <w:rPr>
          <w:rFonts w:ascii="宋体" w:hAnsi="宋体"/>
          <w:u w:val="single"/>
        </w:rPr>
        <w:t>${506提货前付款大写}</w:t>
      </w:r>
      <w:r>
        <w:rPr>
          <w:rFonts w:ascii="宋体" w:hAnsi="宋体"/>
        </w:rPr>
        <w:t>）。</w:t>
      </w:r>
    </w:p>
    <w:p>
      <w:pPr>
        <w:spacing w:beforeAutospacing="0" w:afterAutospacing="0" w:line="420" w:lineRule="exact"/>
        <w:ind w:left="640" w:right="50" w:hanging="535"/>
        <w:rPr>
          <w:rFonts w:ascii="宋体" w:hAnsi="宋体"/>
        </w:rPr>
      </w:pPr>
      <w:r>
        <w:rPr>
          <w:rFonts w:ascii="宋体" w:hAnsi="宋体"/>
          <w:b/>
        </w:rPr>
        <w:t>3.3</w:t>
      </w:r>
      <w:r>
        <w:rPr>
          <w:rFonts w:ascii="宋体" w:hAnsi="宋体"/>
        </w:rPr>
        <w:t>验收合格，即</w:t>
      </w:r>
      <w:r>
        <w:rPr>
          <w:rFonts w:ascii="宋体" w:hAnsi="宋体"/>
          <w:u w:val="single"/>
        </w:rPr>
        <w:t>${507验收合同日期}</w:t>
      </w:r>
      <w:r>
        <w:rPr>
          <w:rFonts w:ascii="宋体" w:hAnsi="宋体"/>
        </w:rPr>
        <w:t>，甲方向乙方支付剩余尾款人民币</w:t>
      </w:r>
      <w:r>
        <w:rPr>
          <w:rFonts w:ascii="宋体" w:hAnsi="宋体"/>
          <w:u w:val="single"/>
        </w:rPr>
        <w:t xml:space="preserve"> ${508验收款}</w:t>
      </w:r>
      <w:r>
        <w:rPr>
          <w:rFonts w:ascii="宋体" w:hAnsi="宋体"/>
        </w:rPr>
        <w:t>元（大写：</w:t>
      </w:r>
      <w:r>
        <w:rPr>
          <w:rFonts w:ascii="宋体" w:hAnsi="宋体"/>
          <w:u w:val="single"/>
        </w:rPr>
        <w:t>${509验收款大写}</w:t>
      </w:r>
      <w:r>
        <w:rPr>
          <w:rFonts w:ascii="宋体" w:hAnsi="宋体"/>
        </w:rPr>
        <w:t>）。</w:t>
      </w:r>
    </w:p>
    <w:p>
      <w:pPr>
        <w:spacing w:beforeAutospacing="0" w:afterAutospacing="0" w:line="480" w:lineRule="exact"/>
        <w:ind w:left="105"/>
      </w:pPr>
      <w:r>
        <w:rPr>
          <w:rFonts w:ascii="宋体" w:hAnsi="宋体"/>
          <w:b/>
          <w:color w:val="000000"/>
        </w:rPr>
        <w:t>3.4</w:t>
      </w:r>
      <w:r>
        <w:rPr>
          <w:rFonts w:ascii="宋体" w:hAnsi="宋体"/>
          <w:color w:val="000000"/>
        </w:rPr>
        <w:t>合同不含发票的，甲方后期需要开具发票，税款由甲方承担。</w:t>
      </w:r>
    </w:p>
    <w:p>
      <w:pPr>
        <w:spacing w:beforeAutospacing="0" w:afterAutospacing="0" w:line="480" w:lineRule="exact"/>
        <w:jc w:val="center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第二部分 合同条款</w:t>
      </w:r>
    </w:p>
    <w:p>
      <w:pPr>
        <w:spacing w:beforeAutospacing="0" w:afterAutospacing="0" w:line="480" w:lineRule="exac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4.双方责任和义务：</w:t>
      </w:r>
    </w:p>
    <w:p>
      <w:pPr>
        <w:spacing w:beforeAutospacing="0" w:afterAutospacing="0" w:line="420" w:lineRule="exact"/>
        <w:ind w:left="105" w:right="50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4.1</w:t>
      </w:r>
      <w:r>
        <w:rPr>
          <w:rFonts w:ascii="宋体" w:hAnsi="宋体"/>
          <w:color w:val="000000"/>
        </w:rPr>
        <w:t>合同签订后，因甲方原因终止合同，定金不退。甲方未按时支付货款，乙方有权延迟或拒绝发货，所造成的损失由甲方自行承担。甲方超过应付款日期三十日的，乙方有权单方面终止合同，已交付甲方篷房乙方有权视情节收回。</w:t>
      </w:r>
    </w:p>
    <w:p>
      <w:pPr>
        <w:spacing w:beforeAutospacing="0" w:afterAutospacing="0" w:line="480" w:lineRule="exact"/>
        <w:ind w:left="105"/>
        <w:jc w:val="left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4.2</w:t>
      </w:r>
      <w:r>
        <w:rPr>
          <w:rFonts w:ascii="宋体" w:hAnsi="宋体"/>
          <w:color w:val="000000"/>
        </w:rPr>
        <w:t>甲方应保证搭建场地平整（所需地面高低误差范围不可以大于10厘米）、工作间的最小面、正上空无高压线、场地无障障碍物等符合篷房搭建所需的条件，不符合上述条件，搭建中受到损失和影响，一切责任由甲方承担。</w:t>
      </w:r>
    </w:p>
    <w:p>
      <w:pPr>
        <w:spacing w:beforeAutospacing="0" w:afterAutospacing="0" w:line="420" w:lineRule="exact"/>
        <w:ind w:left="105" w:right="50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4.3</w:t>
      </w:r>
      <w:r>
        <w:rPr>
          <w:rFonts w:ascii="宋体" w:hAnsi="宋体"/>
          <w:color w:val="000000"/>
        </w:rPr>
        <w:t>运输由乙方负责的，甲方交货地位置运输车辆无限行禁行限运等，如因上述原因造成车辆不能运输至现场，造成的一切损失，由甲方自行承担；甲方确保施工现场可供载重五十吨的卡车出入，否则将视距离远近加收搬运费用。</w:t>
      </w:r>
    </w:p>
    <w:p>
      <w:pPr>
        <w:spacing w:beforeAutospacing="0" w:afterAutospacing="0" w:line="480" w:lineRule="exact"/>
        <w:ind w:left="105"/>
        <w:jc w:val="left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4.4</w:t>
      </w:r>
      <w:r>
        <w:rPr>
          <w:rFonts w:ascii="宋体" w:hAnsi="宋体"/>
          <w:color w:val="000000"/>
        </w:rPr>
        <w:t>搭建由乙方负责的，甲方获得搭建批准后，由乙方进行篷房的搭建。甲方为乙方提供搭建篷房的场地图纸、220V施工电源，并负责办理进入场地的相关手续及费用，保证场地进出无障碍；乙方按甲方确认场地将实施一次性搭建，搭建后不可移动，如果搭建完成的篷房有变动及因乙方原因导致工期延误，所产生的费用及相关责任均由甲方负责。</w:t>
      </w:r>
    </w:p>
    <w:p>
      <w:pPr>
        <w:spacing w:beforeAutospacing="0" w:afterAutospacing="0" w:line="480" w:lineRule="exact"/>
        <w:ind w:left="105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4.5</w:t>
      </w:r>
      <w:r>
        <w:rPr>
          <w:rFonts w:ascii="宋体" w:hAnsi="宋体"/>
          <w:color w:val="000000"/>
        </w:rPr>
        <w:t>合同如有照明灯的，乙方只负责灯具照明线路，并将控制电源箱安装至篷房内地面，外线至电源箱线路由甲方负责（合同另有约定除外）。</w:t>
      </w:r>
    </w:p>
    <w:p>
      <w:pPr>
        <w:spacing w:beforeAutospacing="0" w:afterAutospacing="0" w:line="480" w:lineRule="exact"/>
        <w:ind w:left="105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4.6</w:t>
      </w:r>
      <w:r>
        <w:rPr>
          <w:rFonts w:ascii="宋体" w:hAnsi="宋体"/>
          <w:color w:val="000000"/>
        </w:rPr>
        <w:t>乙方指导搭建的，乙方派一名技术人员到现场指导搭建及培训（搭建人员及设备由甲方提供），双方配合完成搭建项目，为期一天，甲方负责提供食宿。超过一天，甲方付给乙方技术人员工资每人300元/日，并提供食宿。</w:t>
      </w:r>
    </w:p>
    <w:p>
      <w:pPr>
        <w:spacing w:beforeAutospacing="0" w:afterAutospacing="0" w:line="420" w:lineRule="exact"/>
        <w:ind w:left="122" w:right="50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4.7</w:t>
      </w:r>
      <w:r>
        <w:rPr>
          <w:rFonts w:ascii="宋体" w:hAnsi="宋体"/>
          <w:color w:val="000000"/>
        </w:rPr>
        <w:t>双方约定由乙方搭建的，搭建完成后，甲方签验收篷房交接单，与乙方交接。如因故未能签署篷房交接单，甲方使用期3天内无书面异议(须乙方签收)的视为同意并按受篷房交接单各条款。</w:t>
      </w:r>
    </w:p>
    <w:p>
      <w:pPr>
        <w:spacing w:beforeAutospacing="0" w:afterAutospacing="0" w:line="420" w:lineRule="exact"/>
        <w:ind w:right="1340"/>
        <w:outlineLvl w:val="0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5.违约责任：</w:t>
      </w:r>
    </w:p>
    <w:p>
      <w:pPr>
        <w:spacing w:beforeAutospacing="0" w:afterAutospacing="0" w:line="420" w:lineRule="exact"/>
        <w:ind w:left="34" w:right="50" w:firstLine="42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甲方未按合同约定期限支付货款，乙方有权停止执行合同或终止合同，乙方且</w:t>
      </w:r>
      <w:r>
        <w:rPr>
          <w:rFonts w:ascii="叶根友毛笔行书2.0版" w:hAnsi="叶根友毛笔行书2.0版"/>
          <w:color w:val="000000"/>
        </w:rPr>
        <w:t>不承担甲方的各种损失</w:t>
      </w:r>
      <w:r>
        <w:rPr>
          <w:rFonts w:ascii="宋体" w:hAnsi="宋体"/>
          <w:color w:val="000000"/>
        </w:rPr>
        <w:t>。甲方逾期欠款每日按欠款金额的千分之五支付乙方违约金。</w:t>
      </w:r>
    </w:p>
    <w:p>
      <w:pPr>
        <w:spacing w:beforeAutospacing="0" w:afterAutospacing="0" w:line="480" w:lineRule="exact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6.保密条款：</w:t>
      </w:r>
    </w:p>
    <w:p>
      <w:pPr>
        <w:spacing w:beforeAutospacing="0" w:afterAutospacing="0" w:line="480" w:lineRule="exact"/>
        <w:ind w:firstLine="420"/>
        <w:rPr>
          <w:rFonts w:ascii="宋体" w:hAnsi="宋体"/>
          <w:b/>
          <w:color w:val="000000"/>
        </w:rPr>
      </w:pPr>
      <w:r>
        <w:rPr>
          <w:rFonts w:ascii="宋体" w:hAnsi="宋体"/>
          <w:color w:val="000000"/>
        </w:rPr>
        <w:t>甲乙双方约定本次合约内容不泄露给第三方，如有违反，泄密方应对另一方进行经济赔偿，同时有权通过法律手段追究其违约责任。</w:t>
      </w:r>
    </w:p>
    <w:p>
      <w:pPr>
        <w:spacing w:beforeAutospacing="0" w:afterAutospacing="0" w:line="420" w:lineRule="exact"/>
        <w:ind w:left="316" w:right="1340" w:hanging="356"/>
        <w:rPr>
          <w:rFonts w:ascii="宋体" w:hAnsi="宋体"/>
          <w:b/>
          <w:color w:val="000000"/>
        </w:rPr>
      </w:pPr>
      <w:r>
        <w:rPr>
          <w:rFonts w:ascii="宋体" w:hAnsi="宋体"/>
          <w:b/>
          <w:color w:val="000000"/>
        </w:rPr>
        <w:t>7.</w:t>
      </w:r>
      <w:bookmarkStart w:id="0" w:name="_GoBack"/>
      <w:bookmarkEnd w:id="0"/>
      <w:r>
        <w:rPr>
          <w:rFonts w:ascii="宋体" w:hAnsi="宋体"/>
          <w:b/>
          <w:color w:val="000000"/>
        </w:rPr>
        <w:t>其他约定的事项：</w:t>
      </w:r>
    </w:p>
    <w:p>
      <w:pPr>
        <w:spacing w:beforeAutospacing="0" w:afterAutospacing="0" w:line="420" w:lineRule="exact"/>
        <w:ind w:left="122" w:right="50"/>
        <w:rPr>
          <w:rFonts w:ascii="宋体" w:hAnsi="宋体"/>
        </w:rPr>
      </w:pPr>
      <w:r>
        <w:rPr>
          <w:rFonts w:ascii="宋体" w:hAnsi="宋体"/>
          <w:b/>
          <w:color w:val="000000"/>
        </w:rPr>
        <w:t>7.1</w:t>
      </w:r>
      <w:r>
        <w:rPr>
          <w:rFonts w:ascii="宋体" w:hAnsi="宋体"/>
        </w:rPr>
        <w:t>全新篷房保修期为一年，时间以甲乙双方共同签署的《篷房销售交接单》为准，因故未能签署《篷房交接单》的，按交货期后第十天开始计算质保期；二手篷房或旧篷房、篷房单一配件不提供保修期。在保修期内，正常使用情况下，因产品质量原因导致篷房损坏，乙方应免费提供零配件及维修。如因甲方使用不当造成的损坏，乙方应以成本价格提供零配件及有偿维修。</w:t>
      </w:r>
    </w:p>
    <w:p>
      <w:pPr>
        <w:spacing w:beforeAutospacing="0" w:afterAutospacing="0" w:line="420" w:lineRule="exact"/>
        <w:ind w:left="122" w:right="50"/>
        <w:rPr>
          <w:rFonts w:ascii="宋体" w:hAnsi="宋体"/>
          <w:color w:val="000000"/>
        </w:rPr>
      </w:pPr>
      <w:r>
        <w:rPr>
          <w:rFonts w:ascii="宋体" w:hAnsi="宋体"/>
          <w:b/>
        </w:rPr>
        <w:t>7.2</w:t>
      </w:r>
      <w:r>
        <w:rPr>
          <w:rFonts w:ascii="宋体" w:hAnsi="宋体"/>
        </w:rPr>
        <w:t>乙方对于自然灾害或意外情况造成的损失和延迟交货不承担责任(8级以上大风、暴雨、飓风、海啸、地震、瘟疫、暴动、战争等）。</w:t>
      </w:r>
    </w:p>
    <w:p>
      <w:pPr>
        <w:spacing w:beforeAutospacing="0" w:afterAutospacing="0" w:line="420" w:lineRule="exact"/>
        <w:ind w:left="316" w:right="50" w:hanging="211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7.3</w:t>
      </w:r>
      <w:r>
        <w:rPr>
          <w:rFonts w:ascii="宋体" w:hAnsi="宋体"/>
          <w:color w:val="000000"/>
        </w:rPr>
        <w:t>乙方所提供篷房拥有知识产权，甲方不得仿制，如有违反必须承担相应的法律责任，并给予乙方赔偿。</w:t>
      </w:r>
    </w:p>
    <w:p>
      <w:pPr>
        <w:spacing w:beforeAutospacing="0" w:afterAutospacing="0" w:line="420" w:lineRule="exact"/>
        <w:ind w:left="105" w:right="50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7.4</w:t>
      </w:r>
      <w:r>
        <w:rPr>
          <w:rFonts w:ascii="宋体" w:hAnsi="宋体"/>
          <w:color w:val="000000"/>
        </w:rPr>
        <w:t>凡因本合同引起的，或与本合同有关的争议，双方应当友好协商解决。协商不成时，诉讼解决，由沈阳市辽中区人民法院管辖。</w:t>
      </w:r>
    </w:p>
    <w:p>
      <w:pPr>
        <w:spacing w:beforeAutospacing="0" w:afterAutospacing="0" w:line="420" w:lineRule="exact"/>
        <w:ind w:left="103" w:right="50"/>
        <w:rPr>
          <w:rFonts w:ascii="宋体" w:hAnsi="宋体"/>
          <w:color w:val="000000"/>
        </w:rPr>
      </w:pPr>
      <w:r>
        <w:rPr>
          <w:rFonts w:ascii="宋体" w:hAnsi="宋体"/>
          <w:b/>
          <w:color w:val="000000"/>
        </w:rPr>
        <w:t>7.5</w:t>
      </w:r>
      <w:r>
        <w:rPr>
          <w:rFonts w:ascii="宋体" w:hAnsi="宋体"/>
          <w:color w:val="000000"/>
        </w:rPr>
        <w:t>经双方代表签字，加盖公章或合同专用章后并按期完成定金付款合同生效。超出定金付款期的，此合同自动作废。</w:t>
      </w:r>
    </w:p>
    <w:p>
      <w:pPr>
        <w:spacing w:beforeAutospacing="0" w:afterAutospacing="0" w:line="420" w:lineRule="exact"/>
        <w:ind w:right="50" w:firstLine="103"/>
      </w:pPr>
      <w:r>
        <w:rPr>
          <w:rFonts w:ascii="宋体" w:hAnsi="宋体"/>
          <w:b/>
          <w:color w:val="000000"/>
        </w:rPr>
        <w:t>7.6</w:t>
      </w:r>
      <w:r>
        <w:rPr>
          <w:rFonts w:ascii="宋体" w:hAnsi="宋体"/>
          <w:color w:val="000000"/>
        </w:rPr>
        <w:t>本合同一式三份，甲方持一份，乙方持二份，具有同等法律效力（传真件具有相同法律效力）。</w:t>
      </w:r>
    </w:p>
    <w:tbl>
      <w:tblPr>
        <w:tblStyle w:val="TableGrid"/>
        <w:tblW w:w="1102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1655"/>
        <w:gridCol w:w="3982"/>
        <w:gridCol w:w="1701"/>
        <w:gridCol w:w="3685"/>
      </w:tblGrid>
      <w:tr>
        <w:tblPrEx>
          <w:tblW w:w="11023" w:type="dxa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4A0"/>
        </w:tblPrEx>
        <w:tc>
          <w:tcPr>
            <w:tcW w:w="1655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jc w:val="right"/>
              <w:rPr>
                <w:rFonts w:ascii="Tahoma" w:hAnsi="Tahoma"/>
                <w:sz w:val="24"/>
              </w:rPr>
            </w:pPr>
            <w:r>
              <w:rPr>
                <w:rFonts w:ascii="宋体" w:hAnsi="宋体"/>
                <w:sz w:val="24"/>
              </w:rPr>
              <w:t>甲方（章）：</w:t>
            </w:r>
          </w:p>
        </w:tc>
        <w:tc>
          <w:tcPr>
            <w:tcW w:w="3982" w:type="dxa"/>
            <w:shd w:val="clear" w:color="auto" w:fill="FFFFFF"/>
          </w:tcPr>
          <w:p>
            <w:pPr>
              <w:spacing w:beforeAutospacing="0" w:afterAutospacing="0"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701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jc w:val="right"/>
              <w:rPr>
                <w:rFonts w:ascii="Tahoma" w:hAnsi="Tahoma"/>
                <w:sz w:val="24"/>
              </w:rPr>
            </w:pPr>
            <w:r>
              <w:rPr>
                <w:rFonts w:ascii="宋体" w:hAnsi="宋体"/>
                <w:sz w:val="24"/>
              </w:rPr>
              <w:t>乙方（章）：</w:t>
            </w:r>
          </w:p>
        </w:tc>
        <w:tc>
          <w:tcPr>
            <w:tcW w:w="3685" w:type="dxa"/>
            <w:shd w:val="clear" w:color="auto" w:fill="FFFFFF"/>
          </w:tcPr>
          <w:p>
            <w:pPr>
              <w:spacing w:beforeAutospacing="0" w:afterAutospacing="0" w:line="360" w:lineRule="auto"/>
              <w:rPr>
                <w:rFonts w:ascii="宋体" w:hAnsi="宋体"/>
                <w:sz w:val="24"/>
              </w:rPr>
            </w:pPr>
          </w:p>
        </w:tc>
      </w:tr>
      <w:tr>
        <w:tblPrEx>
          <w:tblW w:w="11023" w:type="dxa"/>
          <w:tblInd w:w="0" w:type="dxa"/>
          <w:tblLayout w:type="fixed"/>
          <w:tblLook w:val="04A0"/>
        </w:tblPrEx>
        <w:tc>
          <w:tcPr>
            <w:tcW w:w="1655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jc w:val="right"/>
              <w:rPr>
                <w:rFonts w:ascii="Tahoma" w:hAnsi="Tahoma"/>
                <w:sz w:val="24"/>
              </w:rPr>
            </w:pPr>
            <w:r>
              <w:rPr>
                <w:rFonts w:ascii="宋体" w:hAnsi="宋体"/>
                <w:sz w:val="24"/>
              </w:rPr>
              <w:t>法人代表人：</w:t>
            </w:r>
          </w:p>
        </w:tc>
        <w:tc>
          <w:tcPr>
            <w:tcW w:w="3982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${102甲方法人代表}</w:t>
            </w:r>
          </w:p>
        </w:tc>
        <w:tc>
          <w:tcPr>
            <w:tcW w:w="1701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jc w:val="right"/>
              <w:rPr>
                <w:rFonts w:ascii="Tahoma" w:hAnsi="Tahoma"/>
                <w:sz w:val="24"/>
              </w:rPr>
            </w:pPr>
            <w:r>
              <w:rPr>
                <w:rFonts w:ascii="宋体" w:hAnsi="宋体"/>
                <w:sz w:val="24"/>
              </w:rPr>
              <w:t>法人代表人：</w:t>
            </w:r>
          </w:p>
        </w:tc>
        <w:tc>
          <w:tcPr>
            <w:tcW w:w="3685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${202乙方法人代表}</w:t>
            </w:r>
          </w:p>
        </w:tc>
      </w:tr>
      <w:tr>
        <w:tblPrEx>
          <w:tblW w:w="11023" w:type="dxa"/>
          <w:tblInd w:w="0" w:type="dxa"/>
          <w:tblLayout w:type="fixed"/>
          <w:tblLook w:val="04A0"/>
        </w:tblPrEx>
        <w:tc>
          <w:tcPr>
            <w:tcW w:w="1655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jc w:val="righ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sz w:val="24"/>
              </w:rPr>
              <w:t>委托代理人：</w:t>
            </w:r>
          </w:p>
        </w:tc>
        <w:tc>
          <w:tcPr>
            <w:tcW w:w="3982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${103甲方代理人}</w:t>
            </w:r>
          </w:p>
        </w:tc>
        <w:tc>
          <w:tcPr>
            <w:tcW w:w="1701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jc w:val="right"/>
              <w:rPr>
                <w:rFonts w:ascii="Tahoma" w:hAnsi="Tahoma"/>
                <w:sz w:val="24"/>
              </w:rPr>
            </w:pPr>
            <w:r>
              <w:rPr>
                <w:rFonts w:ascii="宋体" w:hAnsi="宋体"/>
                <w:sz w:val="24"/>
              </w:rPr>
              <w:t>委托代理人：</w:t>
            </w:r>
          </w:p>
        </w:tc>
        <w:tc>
          <w:tcPr>
            <w:tcW w:w="3685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${203乙方代理人}</w:t>
            </w:r>
          </w:p>
        </w:tc>
      </w:tr>
      <w:tr>
        <w:tblPrEx>
          <w:tblW w:w="11023" w:type="dxa"/>
          <w:tblInd w:w="0" w:type="dxa"/>
          <w:tblLayout w:type="fixed"/>
          <w:tblLook w:val="04A0"/>
        </w:tblPrEx>
        <w:tc>
          <w:tcPr>
            <w:tcW w:w="1655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jc w:val="righ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sz w:val="24"/>
              </w:rPr>
              <w:t>地址：</w:t>
            </w:r>
          </w:p>
        </w:tc>
        <w:tc>
          <w:tcPr>
            <w:tcW w:w="3982" w:type="dxa"/>
            <w:vMerge w:val="restart"/>
            <w:shd w:val="clear" w:color="auto" w:fill="FFFFFF"/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${104甲方地址}</w:t>
            </w:r>
          </w:p>
        </w:tc>
        <w:tc>
          <w:tcPr>
            <w:tcW w:w="1701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jc w:val="righ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sz w:val="24"/>
              </w:rPr>
              <w:t>地址：</w:t>
            </w:r>
          </w:p>
        </w:tc>
        <w:tc>
          <w:tcPr>
            <w:tcW w:w="3685" w:type="dxa"/>
            <w:vMerge w:val="restart"/>
            <w:shd w:val="clear" w:color="auto" w:fill="FFFFFF"/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${204乙方地址}</w:t>
            </w:r>
          </w:p>
        </w:tc>
      </w:tr>
      <w:tr>
        <w:tblPrEx>
          <w:tblW w:w="11023" w:type="dxa"/>
          <w:tblInd w:w="0" w:type="dxa"/>
          <w:tblLayout w:type="fixed"/>
          <w:tblLook w:val="04A0"/>
        </w:tblPrEx>
        <w:tc>
          <w:tcPr>
            <w:tcW w:w="1655" w:type="dxa"/>
            <w:shd w:val="clear" w:color="auto" w:fill="FFFFFF"/>
          </w:tcPr>
          <w:p>
            <w:pPr>
              <w:spacing w:beforeAutospacing="0" w:afterAutospacing="0" w:line="360" w:lineRule="auto"/>
              <w:jc w:val="right"/>
              <w:rPr>
                <w:rFonts w:ascii="Tahoma" w:hAnsi="Tahoma"/>
                <w:sz w:val="24"/>
              </w:rPr>
            </w:pPr>
          </w:p>
        </w:tc>
        <w:tc>
          <w:tcPr>
            <w:tcW w:w="3982" w:type="dxa"/>
            <w:vMerge/>
            <w:shd w:val="clear" w:color="auto" w:fill="FFFFFF"/>
            <w:vAlign w:val="center"/>
            <w:hideMark/>
          </w:tcPr>
          <w:p>
            <w:pPr>
              <w:widowControl/>
              <w:jc w:val="left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1701" w:type="dxa"/>
            <w:shd w:val="clear" w:color="auto" w:fill="FFFFFF"/>
          </w:tcPr>
          <w:p>
            <w:pPr>
              <w:spacing w:beforeAutospacing="0" w:afterAutospacing="0" w:line="360" w:lineRule="auto"/>
              <w:jc w:val="right"/>
              <w:rPr>
                <w:rFonts w:ascii="Tahoma" w:hAnsi="Tahoma"/>
                <w:sz w:val="24"/>
              </w:rPr>
            </w:pPr>
          </w:p>
        </w:tc>
        <w:tc>
          <w:tcPr>
            <w:tcW w:w="3685" w:type="dxa"/>
            <w:vMerge/>
            <w:shd w:val="clear" w:color="auto" w:fill="FFFFFF"/>
            <w:vAlign w:val="center"/>
            <w:hideMark/>
          </w:tcPr>
          <w:p>
            <w:pPr>
              <w:widowControl/>
              <w:jc w:val="left"/>
              <w:rPr>
                <w:rFonts w:ascii="宋体" w:hAnsi="宋体"/>
                <w:sz w:val="24"/>
                <w:u w:val="single"/>
              </w:rPr>
            </w:pPr>
          </w:p>
        </w:tc>
      </w:tr>
      <w:tr>
        <w:tblPrEx>
          <w:tblW w:w="11023" w:type="dxa"/>
          <w:tblInd w:w="0" w:type="dxa"/>
          <w:tblLayout w:type="fixed"/>
          <w:tblLook w:val="04A0"/>
        </w:tblPrEx>
        <w:tc>
          <w:tcPr>
            <w:tcW w:w="1655" w:type="dxa"/>
            <w:shd w:val="clear" w:color="auto" w:fill="FFFFFF"/>
            <w:hideMark/>
          </w:tcPr>
          <w:p>
            <w:pPr>
              <w:pStyle w:val="1"/>
              <w:jc w:val="right"/>
            </w:pPr>
            <w:r>
              <w:rPr>
                <w:rFonts w:ascii="宋体" w:hAnsi="宋体"/>
                <w:sz w:val="24"/>
              </w:rPr>
              <w:t>联系电话：</w:t>
            </w:r>
          </w:p>
        </w:tc>
        <w:tc>
          <w:tcPr>
            <w:tcW w:w="3982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000000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${105甲方电话}</w:t>
            </w:r>
          </w:p>
        </w:tc>
        <w:tc>
          <w:tcPr>
            <w:tcW w:w="1701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jc w:val="righ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sz w:val="24"/>
              </w:rPr>
              <w:t>联系电话：</w:t>
            </w:r>
          </w:p>
        </w:tc>
        <w:tc>
          <w:tcPr>
            <w:tcW w:w="3685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000000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${205乙方联系电话}</w:t>
            </w:r>
          </w:p>
        </w:tc>
      </w:tr>
      <w:tr>
        <w:tblPrEx>
          <w:tblW w:w="11023" w:type="dxa"/>
          <w:tblInd w:w="0" w:type="dxa"/>
          <w:tblLayout w:type="fixed"/>
          <w:tblLook w:val="04A0"/>
        </w:tblPrEx>
        <w:tc>
          <w:tcPr>
            <w:tcW w:w="1655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jc w:val="righ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</w:rPr>
              <w:t>传真：</w:t>
            </w:r>
          </w:p>
        </w:tc>
        <w:tc>
          <w:tcPr>
            <w:tcW w:w="3982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000000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${105甲方传真}</w:t>
            </w:r>
          </w:p>
        </w:tc>
        <w:tc>
          <w:tcPr>
            <w:tcW w:w="1701" w:type="dxa"/>
            <w:shd w:val="clear" w:color="auto" w:fill="FFFFFF"/>
            <w:hideMark/>
          </w:tcPr>
          <w:p>
            <w:pPr>
              <w:pStyle w:val="1"/>
              <w:jc w:val="right"/>
            </w:pPr>
            <w:r>
              <w:rPr>
                <w:rFonts w:ascii="宋体" w:hAnsi="宋体"/>
              </w:rPr>
              <w:t>户名：</w:t>
            </w:r>
          </w:p>
        </w:tc>
        <w:tc>
          <w:tcPr>
            <w:tcW w:w="3685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rPr>
                <w:rFonts w:ascii="Tahoma" w:hAnsi="Tahoma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${206乙方用户名}</w:t>
            </w:r>
          </w:p>
        </w:tc>
      </w:tr>
      <w:tr>
        <w:tblPrEx>
          <w:tblW w:w="11023" w:type="dxa"/>
          <w:tblInd w:w="0" w:type="dxa"/>
          <w:tblLayout w:type="fixed"/>
          <w:tblLook w:val="04A0"/>
        </w:tblPrEx>
        <w:tc>
          <w:tcPr>
            <w:tcW w:w="1655" w:type="dxa"/>
            <w:shd w:val="clear" w:color="auto" w:fill="FFFFFF"/>
          </w:tcPr>
          <w:p>
            <w:pPr>
              <w:spacing w:beforeAutospacing="0" w:afterAutospacing="0" w:line="480" w:lineRule="exact"/>
              <w:jc w:val="right"/>
              <w:rPr>
                <w:rFonts w:ascii="宋体" w:hAnsi="宋体"/>
                <w:color w:val="000000"/>
              </w:rPr>
            </w:pPr>
          </w:p>
        </w:tc>
        <w:tc>
          <w:tcPr>
            <w:tcW w:w="3982" w:type="dxa"/>
            <w:shd w:val="clear" w:color="auto" w:fill="FFFFFF"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701" w:type="dxa"/>
            <w:shd w:val="clear" w:color="auto" w:fill="FFFFFF"/>
            <w:hideMark/>
          </w:tcPr>
          <w:p>
            <w:pPr>
              <w:pStyle w:val="1"/>
              <w:jc w:val="right"/>
            </w:pPr>
            <w:r>
              <w:rPr>
                <w:rFonts w:ascii="宋体" w:hAnsi="宋体"/>
              </w:rPr>
              <w:t>开户行：</w:t>
            </w:r>
          </w:p>
        </w:tc>
        <w:tc>
          <w:tcPr>
            <w:tcW w:w="3685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rPr>
                <w:rFonts w:ascii="Tahoma" w:hAnsi="Tahoma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${207乙方开户行}</w:t>
            </w:r>
          </w:p>
        </w:tc>
      </w:tr>
      <w:tr>
        <w:tblPrEx>
          <w:tblW w:w="11023" w:type="dxa"/>
          <w:tblInd w:w="0" w:type="dxa"/>
          <w:tblLayout w:type="fixed"/>
          <w:tblLook w:val="04A0"/>
        </w:tblPrEx>
        <w:tc>
          <w:tcPr>
            <w:tcW w:w="1655" w:type="dxa"/>
            <w:shd w:val="clear" w:color="auto" w:fill="FFFFFF"/>
          </w:tcPr>
          <w:p>
            <w:pPr>
              <w:spacing w:beforeAutospacing="0" w:afterAutospacing="0" w:line="480" w:lineRule="exact"/>
              <w:jc w:val="right"/>
              <w:rPr>
                <w:rFonts w:ascii="宋体" w:hAnsi="宋体"/>
                <w:color w:val="000000"/>
              </w:rPr>
            </w:pPr>
          </w:p>
        </w:tc>
        <w:tc>
          <w:tcPr>
            <w:tcW w:w="3982" w:type="dxa"/>
            <w:shd w:val="clear" w:color="auto" w:fill="FFFFFF"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701" w:type="dxa"/>
            <w:shd w:val="clear" w:color="auto" w:fill="FFFFFF"/>
            <w:hideMark/>
          </w:tcPr>
          <w:p>
            <w:pPr>
              <w:pStyle w:val="1"/>
              <w:jc w:val="right"/>
            </w:pPr>
            <w:r>
              <w:rPr>
                <w:rFonts w:ascii="宋体" w:hAnsi="宋体"/>
              </w:rPr>
              <w:t>账号：</w:t>
            </w:r>
          </w:p>
        </w:tc>
        <w:tc>
          <w:tcPr>
            <w:tcW w:w="3685" w:type="dxa"/>
            <w:shd w:val="clear" w:color="auto" w:fill="FFFFFF"/>
            <w:hideMark/>
          </w:tcPr>
          <w:p>
            <w:pPr>
              <w:spacing w:beforeAutospacing="0" w:afterAutospacing="0" w:line="360" w:lineRule="auto"/>
              <w:rPr>
                <w:rFonts w:ascii="Tahoma" w:hAnsi="Tahoma"/>
                <w:sz w:val="24"/>
                <w:u w:val="single"/>
              </w:rPr>
            </w:pPr>
            <w:r>
              <w:rPr>
                <w:rFonts w:ascii="宋体" w:hAnsi="宋体"/>
                <w:sz w:val="24"/>
                <w:u w:val="single"/>
              </w:rPr>
              <w:t>${208乙方账户}</w:t>
            </w:r>
          </w:p>
        </w:tc>
      </w:tr>
      <w:tr>
        <w:tblPrEx>
          <w:tblW w:w="11023" w:type="dxa"/>
          <w:tblInd w:w="0" w:type="dxa"/>
          <w:tblLayout w:type="fixed"/>
          <w:tblLook w:val="04A0"/>
        </w:tblPrEx>
        <w:tc>
          <w:tcPr>
            <w:tcW w:w="1655" w:type="dxa"/>
            <w:shd w:val="clear" w:color="auto" w:fill="FFFFFF"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3982" w:type="dxa"/>
            <w:shd w:val="clear" w:color="auto" w:fill="FFFFFF"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000000"/>
              </w:rPr>
            </w:pPr>
          </w:p>
        </w:tc>
        <w:tc>
          <w:tcPr>
            <w:tcW w:w="1701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jc w:val="righ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纳税人识别码：</w:t>
            </w:r>
          </w:p>
        </w:tc>
        <w:tc>
          <w:tcPr>
            <w:tcW w:w="3685" w:type="dxa"/>
            <w:shd w:val="clear" w:color="auto" w:fill="FFFFFF"/>
            <w:hideMark/>
          </w:tcPr>
          <w:p>
            <w:pPr>
              <w:spacing w:beforeAutospacing="0" w:afterAutospacing="0" w:line="480" w:lineRule="exact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sz w:val="24"/>
                <w:u w:val="single"/>
              </w:rPr>
              <w:t>${209乙方纳税人识别码}</w:t>
            </w:r>
          </w:p>
        </w:tc>
      </w:tr>
    </w:tbl>
    <w:p/>
    <w:sectPr w:rsidSect="00FC302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type w:val="continuous"/>
      <w:pgSz w:w="11900" w:h="16840" w:code="0"/>
      <w:pgMar w:top="680" w:right="560" w:bottom="560" w:left="560" w:header="567" w:footer="283" w:gutter="0"/>
      <w:cols w:space="425" w:equalWidth="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/>
  <w:p>
    <w:pPr>
      <w:jc w:val="center"/>
    </w:pPr>
    <w:r>
      <w:rPr>
        <w:lang w:val="zh-CN"/>
      </w:rPr>
      <w:t>__________________________________________________________________________________</w:t>
    </w:r>
  </w:p>
  <w:p>
    <w:pPr>
      <w:jc w:val="center"/>
    </w:pPr>
    <w:r>
      <w:t>监督电话：15712307900</w:t>
    </w:r>
    <w:r>
      <w:t xml:space="preserve">                                                    </w:t>
    </w:r>
    <w:r>
      <w:t>合同版本号：20180101</w:t>
    </w:r>
  </w:p>
  <w:p>
    <w:pPr>
      <w:jc w:val="center"/>
    </w:pPr>
    <w:r>
      <w:rPr>
        <w:lang w:val="zh-CN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1D0226">
      <w:rPr>
        <w:noProof/>
      </w:rPr>
      <w:t>1</w:t>
    </w:r>
    <w:r w:rsidR="001D0226">
      <w:rPr>
        <w:noProof/>
      </w:rPr>
      <w:fldChar w:fldCharType="end"/>
    </w:r>
    <w:r>
      <w:t>页,共</w:t>
    </w:r>
    <w:r>
      <w:fldChar w:fldCharType="begin"/>
    </w:r>
    <w:r>
      <w:instrText xml:space="preserve"> NUMPAGES   \* MERGEFORMAT </w:instrText>
    </w:r>
    <w:r>
      <w:fldChar w:fldCharType="separate"/>
    </w:r>
    <w:r w:rsidR="001D0226">
      <w:rPr>
        <w:noProof/>
      </w:rPr>
      <w:t>1</w:t>
    </w:r>
    <w:r w:rsidR="001D0226">
      <w:rPr>
        <w:noProof/>
      </w:rPr>
      <w:fldChar w:fldCharType="end"/>
    </w:r>
    <w:r>
      <w:t>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/>
  <w:p>
    <w:pPr>
      <w:jc w:val="center"/>
    </w:pPr>
    <w:r>
      <w:rPr>
        <w:lang w:val="zh-CN"/>
      </w:rPr>
      <w:t>__________________________________________________________________________________</w:t>
    </w:r>
  </w:p>
  <w:p>
    <w:pPr>
      <w:jc w:val="center"/>
    </w:pPr>
    <w:r>
      <w:t>监督电话：15712307900</w:t>
    </w:r>
    <w:r>
      <w:t xml:space="preserve">                                                    </w:t>
    </w:r>
    <w:r>
      <w:t>合同版本号：20180101</w:t>
    </w:r>
  </w:p>
  <w:p>
    <w:pPr>
      <w:jc w:val="center"/>
    </w:pPr>
    <w:r>
      <w:rPr>
        <w:lang w:val="zh-CN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1D0226">
      <w:rPr>
        <w:noProof/>
      </w:rPr>
      <w:t>1</w:t>
    </w:r>
    <w:r w:rsidR="001D0226">
      <w:rPr>
        <w:noProof/>
      </w:rPr>
      <w:fldChar w:fldCharType="end"/>
    </w:r>
    <w:r>
      <w:t>页,共</w:t>
    </w:r>
    <w:r>
      <w:fldChar w:fldCharType="begin"/>
    </w:r>
    <w:r>
      <w:instrText xml:space="preserve"> NUMPAGES   \* MERGEFORMAT </w:instrText>
    </w:r>
    <w:r>
      <w:fldChar w:fldCharType="separate"/>
    </w:r>
    <w:r w:rsidR="001D0226">
      <w:rPr>
        <w:noProof/>
      </w:rPr>
      <w:t>1</w:t>
    </w:r>
    <w:r w:rsidR="001D0226">
      <w:rPr>
        <w:noProof/>
      </w:rPr>
      <w:fldChar w:fldCharType="end"/>
    </w:r>
    <w: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/>
  <w:p>
    <w:pPr>
      <w:jc w:val="center"/>
    </w:pPr>
    <w:r>
      <w:rPr>
        <w:lang w:val="zh-CN"/>
      </w:rPr>
      <w:t>__________________________________________________________________________________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/>
  <w:p>
    <w:pPr>
      <w:jc w:val="center"/>
    </w:pPr>
    <w:r>
      <w:rPr>
        <w:lang w:val="zh-CN"/>
      </w:rPr>
      <w:t>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m:mathPr>
    <m:mathFont m:val="Cambria Math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rmal0">
    <w:name w:val="Normal_0"/>
    <w:qFormat/>
    <w:pPr>
      <w:widowControl w:val="0"/>
      <w:jc w:val="both"/>
    </w:pPr>
    <w:rPr>
      <w:rFonts w:ascii="Times New Roman" w:hAnsi="Times New Roman"/>
    </w:rPr>
  </w:style>
  <w:style w:type="paragraph" w:customStyle="1" w:styleId="Heading10">
    <w:name w:val="Heading 1_0"/>
    <w:basedOn w:val="Normal3"/>
    <w:next w:val="Normal3"/>
    <w:link w:val="121"/>
    <w:qFormat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styleId="Header">
    <w:name w:val="header"/>
    <w:basedOn w:val="Normal3"/>
    <w:link w:val="2"/>
    <w:pPr>
      <w:pBdr>
        <w:top w:val="nil"/>
        <w:left w:val="nil"/>
        <w:bottom w:val="single" w:sz="6" w:space="1" w:color="000000"/>
        <w:right w:val="nil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Footer">
    <w:name w:val="footer"/>
    <w:basedOn w:val="Normal3"/>
    <w:link w:val="2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BalloonText">
    <w:name w:val="Balloon Text"/>
    <w:basedOn w:val="Normal3"/>
    <w:link w:val="21"/>
    <w:semiHidden/>
    <w:rPr>
      <w:sz w:val="18"/>
    </w:rPr>
  </w:style>
  <w:style w:type="paragraph" w:styleId="ListParagraph">
    <w:name w:val="List Paragraph"/>
    <w:basedOn w:val="Normal3"/>
    <w:qFormat/>
    <w:pPr>
      <w:ind w:firstLine="420"/>
    </w:pPr>
  </w:style>
  <w:style w:type="paragraph" w:customStyle="1" w:styleId="1">
    <w:name w:val="正文1"/>
    <w:basedOn w:val="Normal3"/>
    <w:pPr>
      <w:widowControl/>
    </w:pPr>
  </w:style>
  <w:style w:type="character" w:customStyle="1" w:styleId="DefaultParagraphFont0">
    <w:name w:val="Default Paragraph Font_0"/>
    <w:semiHidden/>
  </w:style>
  <w:style w:type="character" w:customStyle="1" w:styleId="LineNumber">
    <w:name w:val="Line Number"/>
    <w:basedOn w:val="DefaultParagraphFont3"/>
    <w:semiHidden/>
  </w:style>
  <w:style w:type="character" w:styleId="Hyperlink">
    <w:name w:val="Hyperlink"/>
    <w:rPr>
      <w:color w:val="0000FF"/>
      <w:u w:val="single"/>
    </w:rPr>
  </w:style>
  <w:style w:type="character" w:customStyle="1" w:styleId="a">
    <w:name w:val="页眉 字符"/>
    <w:basedOn w:val="DefaultParagraphFont3"/>
    <w:link w:val="Header2"/>
    <w:rPr>
      <w:sz w:val="18"/>
    </w:rPr>
  </w:style>
  <w:style w:type="character" w:customStyle="1" w:styleId="a0">
    <w:name w:val="页脚 字符"/>
    <w:basedOn w:val="DefaultParagraphFont3"/>
    <w:link w:val="Footer2"/>
    <w:rPr>
      <w:sz w:val="18"/>
    </w:rPr>
  </w:style>
  <w:style w:type="character" w:customStyle="1" w:styleId="10">
    <w:name w:val="标题 1 字符"/>
    <w:basedOn w:val="DefaultParagraphFont3"/>
    <w:link w:val="Heading13"/>
    <w:rPr>
      <w:b/>
      <w:sz w:val="44"/>
    </w:rPr>
  </w:style>
  <w:style w:type="character" w:styleId="PlaceholderText">
    <w:name w:val="Placeholder Text"/>
    <w:basedOn w:val="DefaultParagraphFont3"/>
    <w:semiHidden/>
    <w:rPr>
      <w:color w:val="808080"/>
    </w:rPr>
  </w:style>
  <w:style w:type="character" w:customStyle="1" w:styleId="a1">
    <w:name w:val="批注框文本 字符"/>
    <w:basedOn w:val="DefaultParagraphFont3"/>
    <w:link w:val="BalloonText2"/>
    <w:semiHidden/>
    <w:rPr>
      <w:sz w:val="18"/>
    </w:rPr>
  </w:style>
  <w:style w:type="table" w:customStyle="1" w:styleId="TableNormal0">
    <w:name w:val="Table Normal_0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table" w:styleId="TableGrid">
    <w:name w:val="Table Grid"/>
    <w:basedOn w:val="TableNormal3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1">
    <w:name w:val="Normal_1"/>
    <w:qFormat/>
    <w:pPr>
      <w:widowControl w:val="0"/>
      <w:jc w:val="both"/>
    </w:pPr>
    <w:rPr>
      <w:rFonts w:ascii="Times New Roman" w:hAnsi="Times New Roman"/>
    </w:rPr>
  </w:style>
  <w:style w:type="paragraph" w:customStyle="1" w:styleId="Heading11">
    <w:name w:val="Heading 1_1"/>
    <w:basedOn w:val="Normal3"/>
    <w:next w:val="Normal3"/>
    <w:link w:val="121"/>
    <w:qFormat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customStyle="1" w:styleId="Header0">
    <w:name w:val="Header_0"/>
    <w:basedOn w:val="Normal3"/>
    <w:link w:val="2"/>
    <w:pPr>
      <w:pBdr>
        <w:top w:val="nil"/>
        <w:left w:val="nil"/>
        <w:bottom w:val="single" w:sz="6" w:space="1" w:color="000000"/>
        <w:right w:val="nil"/>
      </w:pBd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Footer0">
    <w:name w:val="Footer_0"/>
    <w:basedOn w:val="Normal3"/>
    <w:link w:val="20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BalloonText0">
    <w:name w:val="Balloon Text_0"/>
    <w:basedOn w:val="Normal3"/>
    <w:link w:val="21"/>
    <w:semiHidden/>
    <w:rPr>
      <w:sz w:val="18"/>
    </w:rPr>
  </w:style>
  <w:style w:type="paragraph" w:customStyle="1" w:styleId="ListParagraph0">
    <w:name w:val="List Paragraph_0"/>
    <w:basedOn w:val="Normal3"/>
    <w:qFormat/>
    <w:pPr>
      <w:ind w:firstLine="420"/>
    </w:pPr>
  </w:style>
  <w:style w:type="paragraph" w:customStyle="1" w:styleId="100">
    <w:name w:val="正文1_0"/>
    <w:basedOn w:val="Normal3"/>
    <w:pPr>
      <w:widowControl/>
    </w:pPr>
  </w:style>
  <w:style w:type="character" w:customStyle="1" w:styleId="DefaultParagraphFont1">
    <w:name w:val="Default Paragraph Font_1"/>
    <w:semiHidden/>
    <w:rPr>
      <w:rFonts w:ascii="Tahoma" w:hAnsi="Tahoma"/>
      <w:b w:val="0"/>
      <w:i w:val="0"/>
      <w:strike w:val="0"/>
      <w:sz w:val="24"/>
      <w:u w:val="none"/>
    </w:rPr>
  </w:style>
  <w:style w:type="character" w:customStyle="1" w:styleId="LineNumber0">
    <w:name w:val="Line Number_0"/>
    <w:basedOn w:val="DefaultParagraphFont3"/>
    <w:semiHidden/>
  </w:style>
  <w:style w:type="character" w:customStyle="1" w:styleId="Hyperlink0">
    <w:name w:val="Hyperlink_0"/>
    <w:rPr>
      <w:color w:val="0000FF"/>
      <w:u w:val="single"/>
    </w:rPr>
  </w:style>
  <w:style w:type="character" w:customStyle="1" w:styleId="0">
    <w:name w:val="页眉 字符_0"/>
    <w:basedOn w:val="DefaultParagraphFont3"/>
    <w:link w:val="Header2"/>
    <w:rPr>
      <w:sz w:val="18"/>
    </w:rPr>
  </w:style>
  <w:style w:type="character" w:customStyle="1" w:styleId="00">
    <w:name w:val="页脚 字符_0"/>
    <w:basedOn w:val="DefaultParagraphFont3"/>
    <w:link w:val="Footer2"/>
    <w:rPr>
      <w:sz w:val="18"/>
    </w:rPr>
  </w:style>
  <w:style w:type="character" w:customStyle="1" w:styleId="101">
    <w:name w:val="标题 1 字符_0"/>
    <w:basedOn w:val="DefaultParagraphFont3"/>
    <w:link w:val="Heading13"/>
    <w:rPr>
      <w:b/>
      <w:sz w:val="44"/>
    </w:rPr>
  </w:style>
  <w:style w:type="character" w:customStyle="1" w:styleId="PlaceholderText0">
    <w:name w:val="Placeholder Text_0"/>
    <w:basedOn w:val="DefaultParagraphFont3"/>
    <w:semiHidden/>
    <w:rPr>
      <w:color w:val="808080"/>
    </w:rPr>
  </w:style>
  <w:style w:type="character" w:customStyle="1" w:styleId="01">
    <w:name w:val="批注框文本 字符_0"/>
    <w:basedOn w:val="DefaultParagraphFont3"/>
    <w:link w:val="BalloonText2"/>
    <w:semiHidden/>
    <w:rPr>
      <w:sz w:val="18"/>
    </w:rPr>
  </w:style>
  <w:style w:type="table" w:customStyle="1" w:styleId="TableNormal1">
    <w:name w:val="Table Normal_1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imple10">
    <w:name w:val="Table Simple 1_0"/>
    <w:basedOn w:val="TableNormal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table" w:customStyle="1" w:styleId="TableGrid0">
    <w:name w:val="Table Grid_0"/>
    <w:basedOn w:val="TableNormal3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2">
    <w:name w:val="Normal_2"/>
    <w:qFormat/>
    <w:pPr>
      <w:widowControl w:val="0"/>
      <w:jc w:val="both"/>
    </w:pPr>
    <w:rPr>
      <w:rFonts w:ascii="Times New Roman" w:hAnsi="Times New Roman"/>
    </w:rPr>
  </w:style>
  <w:style w:type="paragraph" w:customStyle="1" w:styleId="Heading12">
    <w:name w:val="Heading 1_2"/>
    <w:basedOn w:val="Normal3"/>
    <w:next w:val="Normal3"/>
    <w:link w:val="121"/>
    <w:qFormat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customStyle="1" w:styleId="Header1">
    <w:name w:val="Header_1"/>
    <w:basedOn w:val="Normal3"/>
    <w:link w:val="2"/>
    <w:pPr>
      <w:pBdr>
        <w:top w:val="nil"/>
        <w:left w:val="nil"/>
        <w:bottom w:val="single" w:sz="6" w:space="1" w:color="000000"/>
        <w:right w:val="nil"/>
      </w:pBd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Footer1">
    <w:name w:val="Footer_1"/>
    <w:basedOn w:val="Normal3"/>
    <w:link w:val="20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BalloonText1">
    <w:name w:val="Balloon Text_1"/>
    <w:basedOn w:val="Normal3"/>
    <w:link w:val="21"/>
    <w:semiHidden/>
    <w:rPr>
      <w:sz w:val="18"/>
    </w:rPr>
  </w:style>
  <w:style w:type="paragraph" w:customStyle="1" w:styleId="ListParagraph1">
    <w:name w:val="List Paragraph_1"/>
    <w:basedOn w:val="Normal3"/>
    <w:qFormat/>
    <w:pPr>
      <w:ind w:firstLine="420"/>
    </w:pPr>
  </w:style>
  <w:style w:type="paragraph" w:customStyle="1" w:styleId="11">
    <w:name w:val="正文1_1"/>
    <w:basedOn w:val="Normal3"/>
    <w:pPr>
      <w:widowControl/>
    </w:pPr>
  </w:style>
  <w:style w:type="character" w:customStyle="1" w:styleId="DefaultParagraphFont2">
    <w:name w:val="Default Paragraph Font_2"/>
    <w:semiHidden/>
    <w:rPr>
      <w:rFonts w:ascii="Tahoma" w:hAnsi="Tahoma"/>
      <w:b w:val="0"/>
      <w:i w:val="0"/>
      <w:strike w:val="0"/>
      <w:sz w:val="24"/>
      <w:u w:val="none"/>
    </w:rPr>
  </w:style>
  <w:style w:type="character" w:customStyle="1" w:styleId="LineNumber1">
    <w:name w:val="Line Number_1"/>
    <w:basedOn w:val="DefaultParagraphFont3"/>
    <w:semiHidden/>
  </w:style>
  <w:style w:type="character" w:customStyle="1" w:styleId="Hyperlink1">
    <w:name w:val="Hyperlink_1"/>
    <w:rPr>
      <w:color w:val="0000FF"/>
      <w:u w:val="single"/>
    </w:rPr>
  </w:style>
  <w:style w:type="character" w:customStyle="1" w:styleId="12">
    <w:name w:val="页眉 字符_1"/>
    <w:basedOn w:val="DefaultParagraphFont3"/>
    <w:link w:val="Header2"/>
    <w:rPr>
      <w:sz w:val="18"/>
    </w:rPr>
  </w:style>
  <w:style w:type="character" w:customStyle="1" w:styleId="13">
    <w:name w:val="页脚 字符_1"/>
    <w:basedOn w:val="DefaultParagraphFont3"/>
    <w:link w:val="Footer2"/>
    <w:rPr>
      <w:sz w:val="18"/>
    </w:rPr>
  </w:style>
  <w:style w:type="character" w:customStyle="1" w:styleId="110">
    <w:name w:val="标题 1 字符_1"/>
    <w:basedOn w:val="DefaultParagraphFont3"/>
    <w:link w:val="Heading13"/>
    <w:rPr>
      <w:b/>
      <w:sz w:val="44"/>
    </w:rPr>
  </w:style>
  <w:style w:type="character" w:customStyle="1" w:styleId="PlaceholderText1">
    <w:name w:val="Placeholder Text_1"/>
    <w:basedOn w:val="DefaultParagraphFont3"/>
    <w:semiHidden/>
    <w:rPr>
      <w:color w:val="808080"/>
    </w:rPr>
  </w:style>
  <w:style w:type="character" w:customStyle="1" w:styleId="14">
    <w:name w:val="批注框文本 字符_1"/>
    <w:basedOn w:val="DefaultParagraphFont3"/>
    <w:link w:val="BalloonText2"/>
    <w:semiHidden/>
    <w:rPr>
      <w:sz w:val="18"/>
    </w:rPr>
  </w:style>
  <w:style w:type="table" w:customStyle="1" w:styleId="TableNormal2">
    <w:name w:val="Table Normal_2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imple11">
    <w:name w:val="Table Simple 1_1"/>
    <w:basedOn w:val="TableNormal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table" w:customStyle="1" w:styleId="TableGrid1">
    <w:name w:val="Table Grid_1"/>
    <w:basedOn w:val="TableNormal3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3">
    <w:name w:val="Normal_3"/>
    <w:qFormat/>
    <w:pPr>
      <w:widowControl w:val="0"/>
      <w:jc w:val="both"/>
    </w:pPr>
    <w:rPr>
      <w:rFonts w:ascii="Times New Roman" w:hAnsi="Times New Roman"/>
    </w:rPr>
  </w:style>
  <w:style w:type="paragraph" w:customStyle="1" w:styleId="Heading13">
    <w:name w:val="Heading 1_3"/>
    <w:basedOn w:val="Normal3"/>
    <w:next w:val="Normal3"/>
    <w:link w:val="121"/>
    <w:qFormat/>
    <w:pPr>
      <w:keepNext/>
      <w:keepLines/>
      <w:spacing w:before="340" w:beforeAutospacing="0" w:after="330" w:afterAutospacing="0" w:line="576" w:lineRule="auto"/>
      <w:outlineLvl w:val="0"/>
    </w:pPr>
    <w:rPr>
      <w:b/>
      <w:sz w:val="44"/>
    </w:rPr>
  </w:style>
  <w:style w:type="paragraph" w:customStyle="1" w:styleId="Header2">
    <w:name w:val="Header_2"/>
    <w:basedOn w:val="Normal3"/>
    <w:link w:val="2"/>
    <w:pPr>
      <w:pBdr>
        <w:top w:val="nil"/>
        <w:left w:val="nil"/>
        <w:bottom w:val="single" w:sz="6" w:space="1" w:color="000000"/>
        <w:right w:val="nil"/>
      </w:pBdr>
      <w:tabs>
        <w:tab w:val="center" w:pos="4153"/>
        <w:tab w:val="right" w:pos="8306"/>
      </w:tabs>
      <w:jc w:val="center"/>
    </w:pPr>
    <w:rPr>
      <w:sz w:val="18"/>
    </w:rPr>
  </w:style>
  <w:style w:type="paragraph" w:customStyle="1" w:styleId="Footer2">
    <w:name w:val="Footer_2"/>
    <w:basedOn w:val="Normal3"/>
    <w:link w:val="20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BalloonText2">
    <w:name w:val="Balloon Text_2"/>
    <w:basedOn w:val="Normal3"/>
    <w:link w:val="21"/>
    <w:semiHidden/>
    <w:rPr>
      <w:sz w:val="18"/>
    </w:rPr>
  </w:style>
  <w:style w:type="paragraph" w:customStyle="1" w:styleId="ListParagraph2">
    <w:name w:val="List Paragraph_2"/>
    <w:basedOn w:val="Normal3"/>
    <w:qFormat/>
    <w:pPr>
      <w:ind w:firstLine="420"/>
    </w:pPr>
  </w:style>
  <w:style w:type="paragraph" w:customStyle="1" w:styleId="120">
    <w:name w:val="正文1_2"/>
    <w:basedOn w:val="Normal3"/>
    <w:pPr>
      <w:widowControl/>
    </w:pPr>
  </w:style>
  <w:style w:type="character" w:customStyle="1" w:styleId="DefaultParagraphFont3">
    <w:name w:val="Default Paragraph Font_3"/>
    <w:semiHidden/>
    <w:rPr>
      <w:rFonts w:ascii="Tahoma" w:hAnsi="Tahoma"/>
      <w:b w:val="0"/>
      <w:i w:val="0"/>
      <w:strike w:val="0"/>
      <w:sz w:val="24"/>
      <w:u w:val="none"/>
    </w:rPr>
  </w:style>
  <w:style w:type="character" w:customStyle="1" w:styleId="LineNumber2">
    <w:name w:val="Line Number_2"/>
    <w:basedOn w:val="DefaultParagraphFont3"/>
    <w:semiHidden/>
  </w:style>
  <w:style w:type="character" w:customStyle="1" w:styleId="Hyperlink2">
    <w:name w:val="Hyperlink_2"/>
    <w:rPr>
      <w:color w:val="0000FF"/>
      <w:u w:val="single"/>
    </w:rPr>
  </w:style>
  <w:style w:type="character" w:customStyle="1" w:styleId="2">
    <w:name w:val="页眉 字符_2"/>
    <w:basedOn w:val="DefaultParagraphFont3"/>
    <w:link w:val="Header2"/>
    <w:rPr>
      <w:sz w:val="18"/>
    </w:rPr>
  </w:style>
  <w:style w:type="character" w:customStyle="1" w:styleId="20">
    <w:name w:val="页脚 字符_2"/>
    <w:basedOn w:val="DefaultParagraphFont3"/>
    <w:link w:val="Footer2"/>
    <w:rPr>
      <w:sz w:val="18"/>
    </w:rPr>
  </w:style>
  <w:style w:type="character" w:customStyle="1" w:styleId="121">
    <w:name w:val="标题 1 字符_2"/>
    <w:basedOn w:val="DefaultParagraphFont3"/>
    <w:link w:val="Heading13"/>
    <w:rPr>
      <w:b/>
      <w:sz w:val="44"/>
    </w:rPr>
  </w:style>
  <w:style w:type="character" w:customStyle="1" w:styleId="PlaceholderText2">
    <w:name w:val="Placeholder Text_2"/>
    <w:basedOn w:val="DefaultParagraphFont3"/>
    <w:semiHidden/>
    <w:rPr>
      <w:color w:val="808080"/>
    </w:rPr>
  </w:style>
  <w:style w:type="character" w:customStyle="1" w:styleId="21">
    <w:name w:val="批注框文本 字符_2"/>
    <w:basedOn w:val="DefaultParagraphFont3"/>
    <w:link w:val="BalloonText2"/>
    <w:semiHidden/>
    <w:rPr>
      <w:sz w:val="18"/>
    </w:rPr>
  </w:style>
  <w:style w:type="table" w:customStyle="1" w:styleId="TableNormal3">
    <w:name w:val="Table Normal_3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imple12">
    <w:name w:val="Table Simple 1_2"/>
    <w:basedOn w:val="TableNormal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108" w:type="dxa"/>
        <w:right w:w="108" w:type="dxa"/>
      </w:tblCellMar>
    </w:tblPr>
  </w:style>
  <w:style w:type="table" w:customStyle="1" w:styleId="TableGrid2">
    <w:name w:val="Table Grid_2"/>
    <w:basedOn w:val="TableNormal3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