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18BB7356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1C250531" w14:textId="77777777" w:rsidR="00A93808" w:rsidRPr="00B41C1A" w:rsidRDefault="00A93808" w:rsidP="00A93808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77777777" w:rsidR="00A93808" w:rsidRDefault="00A93808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2373D643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A93808">
        <w:rPr>
          <w:rFonts w:hint="eastAsia"/>
          <w:sz w:val="32"/>
          <w:szCs w:val="32"/>
        </w:rPr>
        <w:t>干线路口运行指数排名</w:t>
      </w:r>
    </w:p>
    <w:p w14:paraId="277867F7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513933F7" w14:textId="77777777" w:rsidR="00A93808" w:rsidRPr="00A44631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4AA660FB" wp14:editId="6BE364BB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FAC9192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4A598EB1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lastRenderedPageBreak/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3D7DBDBB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bookmarkStart w:id="0" w:name="_GoBack"/>
      <w:bookmarkEnd w:id="0"/>
      <w:r w:rsidR="00A93808">
        <w:rPr>
          <w:rFonts w:hint="eastAsia"/>
          <w:sz w:val="32"/>
          <w:szCs w:val="32"/>
        </w:rPr>
        <w:t>重点路口运行指数分析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3BCD7DA6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${I_BLOCK}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4004C"/>
    <w:rsid w:val="0017455D"/>
    <w:rsid w:val="00181CE5"/>
    <w:rsid w:val="0018599E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65EF3"/>
    <w:rsid w:val="004B2133"/>
    <w:rsid w:val="004B759C"/>
    <w:rsid w:val="00505A82"/>
    <w:rsid w:val="00560305"/>
    <w:rsid w:val="00565E85"/>
    <w:rsid w:val="005762F4"/>
    <w:rsid w:val="00593CBF"/>
    <w:rsid w:val="005C7E8C"/>
    <w:rsid w:val="00666729"/>
    <w:rsid w:val="006A2242"/>
    <w:rsid w:val="0070005A"/>
    <w:rsid w:val="007041EC"/>
    <w:rsid w:val="007063BC"/>
    <w:rsid w:val="00713EA3"/>
    <w:rsid w:val="0074770C"/>
    <w:rsid w:val="007733CF"/>
    <w:rsid w:val="007C6C3A"/>
    <w:rsid w:val="008068CF"/>
    <w:rsid w:val="00840B60"/>
    <w:rsid w:val="008E0179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A4E50"/>
    <w:rsid w:val="00DB2530"/>
    <w:rsid w:val="00DB7372"/>
    <w:rsid w:val="00DE7D75"/>
    <w:rsid w:val="00E4641D"/>
    <w:rsid w:val="00E9481D"/>
    <w:rsid w:val="00EA71FB"/>
    <w:rsid w:val="00F047F6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1214</Words>
  <Characters>6921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62</cp:revision>
  <dcterms:created xsi:type="dcterms:W3CDTF">2020-02-04T09:48:00Z</dcterms:created>
  <dcterms:modified xsi:type="dcterms:W3CDTF">2020-02-26T06:20:00Z</dcterms:modified>
  <cp:category/>
</cp:coreProperties>
</file>