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Times New Roman" w:hAnsi="Times New Roman" w:cs="Times New Roman" w:eastAsia="宋体"/>
          <w:b/>
          <w:color w:val="8C0015"/>
          <w:sz w:val="20"/>
        </w:rPr>
        <w:t>互联网软件课程  小组项目</w:t>
      </w:r>
    </w:p>
    <w:p>
      <w:pPr>
        <w:pStyle w:val="Title"/>
      </w:pPr>
      <w:r>
        <w:rPr>
          <w:rFonts w:ascii="Times New Roman" w:hAnsi="Times New Roman" w:cs="Times New Roman" w:eastAsia="宋体"/>
        </w:rPr>
        <w:t>CampusClaw</w:t>
      </w:r>
    </w:p>
    <w:p>
      <w:pPr>
        <w:pStyle w:val="Title"/>
      </w:pPr>
      <w:r>
        <w:rPr>
          <w:rFonts w:ascii="Times New Roman" w:hAnsi="Times New Roman" w:cs="Times New Roman" w:eastAsia="宋体"/>
        </w:rPr>
        <w:t>课程学习任务与个性化辅学平台</w:t>
      </w:r>
    </w:p>
    <w:p>
      <w:pPr>
        <w:pStyle w:val="Subtitle"/>
      </w:pPr>
      <w:r>
        <w:rPr>
          <w:rFonts w:ascii="Times New Roman" w:hAnsi="Times New Roman" w:cs="Times New Roman" w:eastAsia="宋体"/>
        </w:rPr>
        <w:t>小组项目选题说明</w:t>
      </w:r>
    </w:p>
    <w:p>
      <w:pPr>
        <w:spacing w:after="240"/>
      </w:pPr>
      <w:r>
        <w:rPr>
          <w:rFonts w:ascii="Times New Roman" w:hAnsi="Times New Roman" w:cs="Times New Roman" w:eastAsia="宋体"/>
          <w:b w:val="0"/>
          <w:color w:val="000000"/>
          <w:sz w:val="20"/>
        </w:rPr>
        <w:t>小组成员  李非凡  陈志康    日期  2026年10月14日</w:t>
      </w:r>
    </w:p>
    <w:p>
      <w:pPr>
        <w:pStyle w:val="Heading2"/>
      </w:pPr>
      <w:r>
        <w:rPr>
          <w:rFonts w:ascii="Times New Roman" w:hAnsi="Times New Roman" w:cs="Times New Roman" w:eastAsia="宋体"/>
        </w:rPr>
        <w:t>1 项目题目</w:t>
      </w:r>
    </w:p>
    <w:p>
      <w:pPr>
        <w:spacing w:after="120"/>
      </w:pPr>
      <w:r>
        <w:rPr>
          <w:rFonts w:ascii="Times New Roman" w:hAnsi="Times New Roman" w:cs="Times New Roman" w:eastAsia="宋体"/>
          <w:b w:val="0"/>
          <w:color w:val="000000"/>
          <w:sz w:val="22"/>
        </w:rPr>
        <w:t>CampusClaw 课程学习任务与个性化辅学平台。基于现有 CampusClaw 教学平台，面向大学课程的课前预习、课中练习和课后巩固，建设“课程学习单 → 引导式答疑 → 自主测评 → 错题复练 → 学习反馈”的完整教学流程。</w:t>
      </w:r>
    </w:p>
    <w:p>
      <w:pPr>
        <w:pStyle w:val="Heading2"/>
      </w:pPr>
      <w:r>
        <w:rPr>
          <w:rFonts w:ascii="Times New Roman" w:hAnsi="Times New Roman" w:cs="Times New Roman" w:eastAsia="宋体"/>
        </w:rPr>
        <w:t>解决的具体问题</w:t>
      </w:r>
    </w:p>
    <w:p>
      <w:pPr>
        <w:spacing w:after="120"/>
      </w:pPr>
      <w:r>
        <w:rPr>
          <w:rFonts w:ascii="Times New Roman" w:hAnsi="Times New Roman" w:cs="Times New Roman" w:eastAsia="宋体"/>
          <w:b w:val="0"/>
          <w:color w:val="000000"/>
          <w:sz w:val="22"/>
        </w:rPr>
        <w:t>资料上传和聊天答疑已有基础，但学生仍需要自己判断先学什么、遇到困难该看哪段资料、做错后怎样补练；教师也难以从分散的问答与作答记录中及时了解本次教学的共性问题。项目把学习活动与具体教学单元、知识点和实际作答关联起来。</w:t>
      </w:r>
    </w:p>
    <w:p>
      <w:pPr>
        <w:pStyle w:val="Heading2"/>
      </w:pPr>
      <w:r>
        <w:rPr>
          <w:rFonts w:ascii="Times New Roman" w:hAnsi="Times New Roman" w:cs="Times New Roman" w:eastAsia="宋体"/>
        </w:rPr>
        <w:t>产品借鉴与本组取舍</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0" w:type="dxa"/>
          <w:bottom w:w="95" w:type="dxa"/>
          <w:right w:w="110" w:type="dxa"/>
        </w:tblCellMar>
      </w:tblPr>
      <w:tblGrid>
        <w:gridCol w:w="1440"/>
        <w:gridCol w:w="3456"/>
        <w:gridCol w:w="5155"/>
      </w:tblGrid>
      <w:tr>
        <w:trPr>
          <w:cantSplit/>
          <w:tblHeader/>
        </w:trPr>
        <w:tc>
          <w:tcPr>
            <w:tcW w:type="dxa" w:w="1440"/>
            <w:vAlign w:val="center"/>
            <w:shd w:fill="8C0015"/>
          </w:tcPr>
          <w:p>
            <w:pPr>
              <w:spacing w:after="0" w:line="286" w:lineRule="exact"/>
              <w:jc w:val="center"/>
            </w:pPr>
            <w:r>
              <w:rPr>
                <w:rFonts w:ascii="Times New Roman" w:hAnsi="Times New Roman" w:cs="Times New Roman" w:eastAsia="宋体"/>
                <w:b/>
                <w:color w:val="FFFFFF"/>
                <w:sz w:val="20"/>
              </w:rPr>
              <w:t>成熟平台</w:t>
            </w:r>
          </w:p>
        </w:tc>
        <w:tc>
          <w:tcPr>
            <w:tcW w:type="dxa" w:w="3456"/>
            <w:vAlign w:val="center"/>
            <w:shd w:fill="8C0015"/>
          </w:tcPr>
          <w:p>
            <w:pPr>
              <w:spacing w:after="0" w:line="286" w:lineRule="exact"/>
              <w:jc w:val="left"/>
            </w:pPr>
            <w:r>
              <w:rPr>
                <w:rFonts w:ascii="Times New Roman" w:hAnsi="Times New Roman" w:cs="Times New Roman" w:eastAsia="宋体"/>
                <w:b/>
                <w:color w:val="FFFFFF"/>
                <w:sz w:val="20"/>
              </w:rPr>
              <w:t>借鉴能力</w:t>
            </w:r>
          </w:p>
        </w:tc>
        <w:tc>
          <w:tcPr>
            <w:tcW w:type="dxa" w:w="5155"/>
            <w:vAlign w:val="center"/>
            <w:shd w:fill="8C0015"/>
          </w:tcPr>
          <w:p>
            <w:pPr>
              <w:spacing w:after="0" w:line="286" w:lineRule="exact"/>
              <w:jc w:val="left"/>
            </w:pPr>
            <w:r>
              <w:rPr>
                <w:rFonts w:ascii="Times New Roman" w:hAnsi="Times New Roman" w:cs="Times New Roman" w:eastAsia="宋体"/>
                <w:b/>
                <w:color w:val="FFFFFF"/>
                <w:sz w:val="20"/>
              </w:rPr>
              <w:t>本项目落地</w:t>
            </w:r>
          </w:p>
        </w:tc>
      </w:tr>
      <w:tr>
        <w:trPr>
          <w:cantSplit/>
        </w:trPr>
        <w:tc>
          <w:tcPr>
            <w:tcW w:type="dxa" w:w="1440"/>
            <w:vAlign w:val="center"/>
            <w:shd w:fill="FCF6F7"/>
          </w:tcPr>
          <w:p>
            <w:pPr>
              <w:spacing w:after="0" w:line="286" w:lineRule="exact"/>
              <w:jc w:val="center"/>
            </w:pPr>
            <w:r>
              <w:rPr>
                <w:rFonts w:ascii="Times New Roman" w:hAnsi="Times New Roman" w:cs="Times New Roman" w:eastAsia="宋体"/>
                <w:b w:val="0"/>
                <w:color w:val="000000"/>
                <w:sz w:val="20"/>
              </w:rPr>
              <w:t>Moodle</w:t>
            </w:r>
          </w:p>
        </w:tc>
        <w:tc>
          <w:tcPr>
            <w:tcW w:type="dxa" w:w="3456"/>
            <w:vAlign w:val="center"/>
            <w:shd w:fill="FCF6F7"/>
          </w:tcPr>
          <w:p>
            <w:pPr>
              <w:spacing w:after="0" w:line="286" w:lineRule="exact"/>
              <w:jc w:val="left"/>
            </w:pPr>
            <w:r>
              <w:rPr>
                <w:rFonts w:ascii="Times New Roman" w:hAnsi="Times New Roman" w:cs="Times New Roman" w:eastAsia="宋体"/>
                <w:b w:val="0"/>
                <w:color w:val="000000"/>
                <w:sz w:val="20"/>
              </w:rPr>
              <w:t>活动完成记录、测验及反馈。</w:t>
            </w:r>
          </w:p>
        </w:tc>
        <w:tc>
          <w:tcPr>
            <w:tcW w:type="dxa" w:w="5155"/>
            <w:vAlign w:val="center"/>
            <w:shd w:fill="FCF6F7"/>
          </w:tcPr>
          <w:p>
            <w:pPr>
              <w:spacing w:after="0" w:line="286" w:lineRule="exact"/>
              <w:jc w:val="left"/>
            </w:pPr>
            <w:r>
              <w:rPr>
                <w:rFonts w:ascii="Times New Roman" w:hAnsi="Times New Roman" w:cs="Times New Roman" w:eastAsia="宋体"/>
                <w:b w:val="0"/>
                <w:color w:val="000000"/>
                <w:sz w:val="20"/>
              </w:rPr>
              <w:t>课程学习单、学生完成状态、自主测评与反馈。</w:t>
            </w:r>
          </w:p>
        </w:tc>
      </w:tr>
      <w:tr>
        <w:trPr>
          <w:cantSplit/>
        </w:trPr>
        <w:tc>
          <w:tcPr>
            <w:tcW w:type="dxa" w:w="1440"/>
            <w:vAlign w:val="center"/>
            <w:shd w:fill="FFFFFF"/>
          </w:tcPr>
          <w:p>
            <w:pPr>
              <w:spacing w:after="0" w:line="286" w:lineRule="exact"/>
              <w:jc w:val="center"/>
            </w:pPr>
            <w:r>
              <w:rPr>
                <w:rFonts w:ascii="Times New Roman" w:hAnsi="Times New Roman" w:cs="Times New Roman" w:eastAsia="宋体"/>
                <w:b w:val="0"/>
                <w:color w:val="000000"/>
                <w:sz w:val="20"/>
              </w:rPr>
              <w:t>Canvas</w:t>
            </w:r>
          </w:p>
        </w:tc>
        <w:tc>
          <w:tcPr>
            <w:tcW w:type="dxa" w:w="3456"/>
            <w:vAlign w:val="center"/>
            <w:shd w:fill="FFFFFF"/>
          </w:tcPr>
          <w:p>
            <w:pPr>
              <w:spacing w:after="0" w:line="286" w:lineRule="exact"/>
              <w:jc w:val="left"/>
            </w:pPr>
            <w:r>
              <w:rPr>
                <w:rFonts w:ascii="Times New Roman" w:hAnsi="Times New Roman" w:cs="Times New Roman" w:eastAsia="宋体"/>
                <w:b w:val="0"/>
                <w:color w:val="000000"/>
                <w:sz w:val="20"/>
              </w:rPr>
              <w:t>按学习结果安排不同学习路径。</w:t>
            </w:r>
          </w:p>
        </w:tc>
        <w:tc>
          <w:tcPr>
            <w:tcW w:type="dxa" w:w="5155"/>
            <w:vAlign w:val="center"/>
            <w:shd w:fill="FFFFFF"/>
          </w:tcPr>
          <w:p>
            <w:pPr>
              <w:spacing w:after="0" w:line="286" w:lineRule="exact"/>
              <w:jc w:val="left"/>
            </w:pPr>
            <w:r>
              <w:rPr>
                <w:rFonts w:ascii="Times New Roman" w:hAnsi="Times New Roman" w:cs="Times New Roman" w:eastAsia="宋体"/>
                <w:b w:val="0"/>
                <w:color w:val="000000"/>
                <w:sz w:val="20"/>
              </w:rPr>
              <w:t>依据本次自测结果，推荐复习材料、基础练习或拓展练习。</w:t>
            </w:r>
          </w:p>
        </w:tc>
      </w:tr>
      <w:tr>
        <w:trPr>
          <w:cantSplit/>
        </w:trPr>
        <w:tc>
          <w:tcPr>
            <w:tcW w:type="dxa" w:w="1440"/>
            <w:vAlign w:val="center"/>
            <w:shd w:fill="FCF6F7"/>
          </w:tcPr>
          <w:p>
            <w:pPr>
              <w:spacing w:after="0" w:line="286" w:lineRule="exact"/>
              <w:jc w:val="center"/>
            </w:pPr>
            <w:r>
              <w:rPr>
                <w:rFonts w:ascii="Times New Roman" w:hAnsi="Times New Roman" w:cs="Times New Roman" w:eastAsia="宋体"/>
                <w:b w:val="0"/>
                <w:color w:val="000000"/>
                <w:sz w:val="20"/>
              </w:rPr>
              <w:t>Khanmigo</w:t>
            </w:r>
          </w:p>
        </w:tc>
        <w:tc>
          <w:tcPr>
            <w:tcW w:type="dxa" w:w="3456"/>
            <w:vAlign w:val="center"/>
            <w:shd w:fill="FCF6F7"/>
          </w:tcPr>
          <w:p>
            <w:pPr>
              <w:spacing w:after="0" w:line="286" w:lineRule="exact"/>
              <w:jc w:val="left"/>
            </w:pPr>
            <w:r>
              <w:rPr>
                <w:rFonts w:ascii="Times New Roman" w:hAnsi="Times New Roman" w:cs="Times New Roman" w:eastAsia="宋体"/>
                <w:b w:val="0"/>
                <w:color w:val="000000"/>
                <w:sz w:val="20"/>
              </w:rPr>
              <w:t>通过提问与提示引导学生思考。</w:t>
            </w:r>
          </w:p>
        </w:tc>
        <w:tc>
          <w:tcPr>
            <w:tcW w:type="dxa" w:w="5155"/>
            <w:vAlign w:val="center"/>
            <w:shd w:fill="FCF6F7"/>
          </w:tcPr>
          <w:p>
            <w:pPr>
              <w:spacing w:after="0" w:line="286" w:lineRule="exact"/>
              <w:jc w:val="left"/>
            </w:pPr>
            <w:r>
              <w:rPr>
                <w:rFonts w:ascii="Times New Roman" w:hAnsi="Times New Roman" w:cs="Times New Roman" w:eastAsia="宋体"/>
                <w:b w:val="0"/>
                <w:color w:val="000000"/>
                <w:sz w:val="20"/>
              </w:rPr>
              <w:t>提供分层提示和资料定位，结合学生已尝试的步骤继续辅导。</w:t>
            </w:r>
          </w:p>
        </w:tc>
      </w:tr>
    </w:tbl>
    <w:p>
      <w:pPr>
        <w:spacing w:after="40"/>
      </w:pPr>
      <w:r>
        <w:rPr>
          <w:rFonts w:ascii="Times New Roman" w:hAnsi="Times New Roman" w:cs="Times New Roman" w:eastAsia="宋体"/>
          <w:b w:val="0"/>
          <w:color w:val="000000"/>
          <w:sz w:val="22"/>
        </w:rPr>
      </w:r>
    </w:p>
    <w:p>
      <w:pPr>
        <w:pStyle w:val="Heading2"/>
      </w:pPr>
      <w:r>
        <w:rPr>
          <w:rFonts w:ascii="Times New Roman" w:hAnsi="Times New Roman" w:cs="Times New Roman" w:eastAsia="宋体"/>
        </w:rPr>
        <w:t>相对个人项目的新增价值</w:t>
      </w:r>
    </w:p>
    <w:p>
      <w:pPr>
        <w:spacing w:after="120"/>
      </w:pPr>
      <w:r>
        <w:rPr>
          <w:rFonts w:ascii="Times New Roman" w:hAnsi="Times New Roman" w:cs="Times New Roman" w:eastAsia="宋体"/>
          <w:b w:val="0"/>
          <w:color w:val="000000"/>
          <w:sz w:val="22"/>
        </w:rPr>
        <w:t>复用已有账号、课程权限、资料知识库、流式会话和文件预览；小组新增教学单元与学习单、学习活动记录、引导式辅学、自主测评题目与作答、错题复练和学习反馈。个人课程后续要求的作业批改等基础能力不重复计算为本组创新。</w:t>
      </w:r>
    </w:p>
    <w:p>
      <w:pPr>
        <w:pStyle w:val="Heading1"/>
        <w:pageBreakBefore/>
      </w:pPr>
      <w:r>
        <w:rPr>
          <w:rFonts w:ascii="Times New Roman" w:hAnsi="Times New Roman" w:cs="Times New Roman" w:eastAsia="宋体"/>
          <w:b/>
          <w:color w:val="8C0015"/>
          <w:sz w:val="36"/>
        </w:rPr>
        <w:t xml:space="preserve">2  </w:t>
      </w:r>
      <w:r>
        <w:rPr>
          <w:rFonts w:ascii="Times New Roman" w:hAnsi="Times New Roman" w:cs="Times New Roman" w:eastAsia="宋体"/>
          <w:b/>
          <w:color w:val="000000"/>
          <w:sz w:val="36"/>
        </w:rPr>
        <w:t>主要功能</w:t>
      </w:r>
    </w:p>
    <w:p>
      <w:pPr>
        <w:pStyle w:val="Heading2"/>
      </w:pPr>
      <w:r>
        <w:rPr>
          <w:rFonts w:ascii="Times New Roman" w:hAnsi="Times New Roman" w:cs="Times New Roman" w:eastAsia="宋体"/>
        </w:rPr>
        <w:t>课程学习单与任务导航</w:t>
      </w:r>
    </w:p>
    <w:p>
      <w:pPr>
        <w:spacing w:after="120"/>
      </w:pPr>
      <w:r>
        <w:rPr>
          <w:rFonts w:ascii="Times New Roman" w:hAnsi="Times New Roman" w:cs="Times New Roman" w:eastAsia="宋体"/>
          <w:b w:val="0"/>
          <w:color w:val="000000"/>
          <w:sz w:val="22"/>
        </w:rPr>
        <w:t>教师按章节或教学单元组织学习目标、讲义片段、学习活动与自测题，形成可发布的课程学习单。学生进入课程后能看到本单元的推荐顺序、已完成活动及下一步建议；阅读记录与测评结果分别展示，不把打开文件视为掌握知识。</w:t>
      </w:r>
    </w:p>
    <w:p>
      <w:pPr>
        <w:pStyle w:val="Heading2"/>
      </w:pPr>
      <w:r>
        <w:rPr>
          <w:rFonts w:ascii="Times New Roman" w:hAnsi="Times New Roman" w:cs="Times New Roman" w:eastAsia="宋体"/>
        </w:rPr>
        <w:t>有出处的引导式 AI 辅学</w:t>
      </w:r>
    </w:p>
    <w:p>
      <w:pPr>
        <w:spacing w:after="120"/>
      </w:pPr>
      <w:r>
        <w:rPr>
          <w:rFonts w:ascii="Times New Roman" w:hAnsi="Times New Roman" w:cs="Times New Roman" w:eastAsia="宋体"/>
          <w:b w:val="0"/>
          <w:color w:val="000000"/>
          <w:sz w:val="22"/>
        </w:rPr>
        <w:t>学生从当前学习活动进入答疑，AI 自动带上该单元的知识点、可访问资料及学生已提交的解题尝试。支持“概念提示—关键步骤—完整解释”分层展开，引用可定位到原文；资料不足时说明依据边界，不编造出处。</w:t>
      </w:r>
    </w:p>
    <w:p>
      <w:pPr>
        <w:pStyle w:val="Heading2"/>
      </w:pPr>
      <w:r>
        <w:rPr>
          <w:rFonts w:ascii="Times New Roman" w:hAnsi="Times New Roman" w:cs="Times New Roman" w:eastAsia="宋体"/>
        </w:rPr>
        <w:t>自主测评与学习路径建议</w:t>
      </w:r>
    </w:p>
    <w:p>
      <w:pPr>
        <w:spacing w:after="120"/>
      </w:pPr>
      <w:r>
        <w:rPr>
          <w:rFonts w:ascii="Times New Roman" w:hAnsi="Times New Roman" w:cs="Times New Roman" w:eastAsia="宋体"/>
          <w:b w:val="0"/>
          <w:color w:val="000000"/>
          <w:sz w:val="22"/>
        </w:rPr>
        <w:t>首期采用教师录入或确认的小型题库，以单选、多选、判断题为主。学生完成自测后，服务端依据答案规则给出结果；AI 解释错误原因，并从本课程已发布的材料和题目中生成下一步建议。测评用于学习反馈，不替代正式考试评分。</w:t>
      </w:r>
    </w:p>
    <w:p>
      <w:pPr>
        <w:pStyle w:val="Heading2"/>
      </w:pPr>
      <w:r>
        <w:rPr>
          <w:rFonts w:ascii="Times New Roman" w:hAnsi="Times New Roman" w:cs="Times New Roman" w:eastAsia="宋体"/>
        </w:rPr>
        <w:t>错题复练与个人学习记录</w:t>
      </w:r>
    </w:p>
    <w:p>
      <w:pPr>
        <w:spacing w:after="120"/>
      </w:pPr>
      <w:r>
        <w:rPr>
          <w:rFonts w:ascii="Times New Roman" w:hAnsi="Times New Roman" w:cs="Times New Roman" w:eastAsia="宋体"/>
          <w:b w:val="0"/>
          <w:color w:val="000000"/>
          <w:sz w:val="22"/>
        </w:rPr>
        <w:t>答错题目进入个人错题集，关联知识点、作答和讲义依据。学生可再次尝试或进行同知识点练习；系统对比不同尝试的结果，展示复练情况。题量不足时提示没有合适练习，不凭空生成已发布题目。</w:t>
      </w:r>
    </w:p>
    <w:p>
      <w:pPr>
        <w:pStyle w:val="Heading2"/>
      </w:pPr>
      <w:r>
        <w:rPr>
          <w:rFonts w:ascii="Times New Roman" w:hAnsi="Times New Roman" w:cs="Times New Roman" w:eastAsia="宋体"/>
        </w:rPr>
        <w:t>学习进展与教学反馈</w:t>
      </w:r>
    </w:p>
    <w:p>
      <w:pPr>
        <w:spacing w:after="120"/>
      </w:pPr>
      <w:r>
        <w:rPr>
          <w:rFonts w:ascii="Times New Roman" w:hAnsi="Times New Roman" w:cs="Times New Roman" w:eastAsia="宋体"/>
          <w:b w:val="0"/>
          <w:color w:val="000000"/>
          <w:sz w:val="22"/>
        </w:rPr>
        <w:t>学生查看自己的学习单进度、测评结果和待复习内容。教师查看任教课程的活动完成情况、题目正确率和共性疑问摘要，用于调整讲解内容。统计显示样本数与时间范围，不用少量答题记录给学生贴确定性的能力标签。</w:t>
      </w:r>
    </w:p>
    <w:p>
      <w:pPr>
        <w:pStyle w:val="Heading2"/>
      </w:pPr>
      <w:r>
        <w:rPr>
          <w:rFonts w:ascii="Times New Roman" w:hAnsi="Times New Roman" w:cs="Times New Roman" w:eastAsia="宋体"/>
        </w:rPr>
        <w:t>首期范围与完整演示</w:t>
      </w:r>
    </w:p>
    <w:p>
      <w:pPr>
        <w:spacing w:after="120"/>
      </w:pPr>
      <w:r>
        <w:rPr>
          <w:rFonts w:ascii="Times New Roman" w:hAnsi="Times New Roman" w:cs="Times New Roman" w:eastAsia="宋体"/>
          <w:b w:val="0"/>
          <w:color w:val="000000"/>
          <w:sz w:val="22"/>
        </w:rPr>
        <w:t>首期覆盖一门课程、一个教学单元、约三个知识点和一组可人工核对的小型题库。教师发布学习单；两名学生分别完成活动、请求提示并作答；系统根据实际结果给出不同建议，学生复练后可查看变化，教师能看到本单元的共性问题。</w:t>
      </w:r>
    </w:p>
    <w:p>
      <w:pPr>
        <w:spacing w:after="120"/>
      </w:pPr>
      <w:r>
        <w:rPr>
          <w:rFonts w:ascii="Times New Roman" w:hAnsi="Times New Roman" w:cs="Times New Roman" w:eastAsia="宋体"/>
          <w:b w:val="0"/>
          <w:color w:val="000000"/>
          <w:sz w:val="20"/>
        </w:rPr>
        <w:t>首期不建设全校知识图谱、自动命题与正式考试评分、视频监考、复杂排课或完整 LMS 迁移。AI 自动生成教案与题目可作为后续扩展，先把学生真实使用的学习流程做完整。</w:t>
      </w:r>
    </w:p>
    <w:p>
      <w:pPr>
        <w:pStyle w:val="Heading1"/>
        <w:pageBreakBefore/>
      </w:pPr>
      <w:r>
        <w:rPr>
          <w:rFonts w:ascii="Times New Roman" w:hAnsi="Times New Roman" w:cs="Times New Roman" w:eastAsia="宋体"/>
          <w:b/>
          <w:color w:val="8C0015"/>
          <w:sz w:val="36"/>
        </w:rPr>
        <w:t xml:space="preserve">3  </w:t>
      </w:r>
      <w:r>
        <w:rPr>
          <w:rFonts w:ascii="Times New Roman" w:hAnsi="Times New Roman" w:cs="Times New Roman" w:eastAsia="宋体"/>
          <w:b/>
          <w:color w:val="000000"/>
          <w:sz w:val="36"/>
        </w:rPr>
        <w:t>技术方案与工程实现</w:t>
      </w:r>
    </w:p>
    <w:p>
      <w:pPr>
        <w:spacing w:after="120"/>
      </w:pPr>
      <w:r>
        <w:rPr>
          <w:rFonts w:ascii="Times New Roman" w:hAnsi="Times New Roman" w:cs="Times New Roman" w:eastAsia="宋体"/>
          <w:b w:val="0"/>
          <w:color w:val="000000"/>
          <w:sz w:val="22"/>
        </w:rPr>
        <w:t>在现有 Vue 3、TypeScript、Django、PostgreSQL 与 pgvector 基础上扩展，采用模块化单体架构。教学活动、作答和统计使用明确的业务规则，AI 用于解释与建议，两人可在同一仓库持续集成。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0" w:type="dxa"/>
          <w:bottom w:w="95" w:type="dxa"/>
          <w:right w:w="110" w:type="dxa"/>
        </w:tblCellMar>
      </w:tblPr>
      <w:tblGrid>
        <w:gridCol w:w="1584"/>
        <w:gridCol w:w="8467"/>
      </w:tblGrid>
      <w:tr>
        <w:trPr>
          <w:cantSplit/>
          <w:tblHeader/>
        </w:trPr>
        <w:tc>
          <w:tcPr>
            <w:tcW w:type="dxa" w:w="1584"/>
            <w:vAlign w:val="center"/>
            <w:shd w:fill="8C0015"/>
          </w:tcPr>
          <w:p>
            <w:pPr>
              <w:spacing w:after="0" w:line="286" w:lineRule="exact"/>
              <w:jc w:val="center"/>
            </w:pPr>
            <w:r>
              <w:rPr>
                <w:rFonts w:ascii="Times New Roman" w:hAnsi="Times New Roman" w:cs="Times New Roman" w:eastAsia="宋体"/>
                <w:b/>
                <w:color w:val="FFFFFF"/>
                <w:sz w:val="20"/>
              </w:rPr>
              <w:t>模块</w:t>
            </w:r>
          </w:p>
        </w:tc>
        <w:tc>
          <w:tcPr>
            <w:tcW w:type="dxa" w:w="8467"/>
            <w:vAlign w:val="center"/>
            <w:shd w:fill="8C0015"/>
          </w:tcPr>
          <w:p>
            <w:pPr>
              <w:spacing w:after="0" w:line="286" w:lineRule="exact"/>
              <w:jc w:val="left"/>
            </w:pPr>
            <w:r>
              <w:rPr>
                <w:rFonts w:ascii="Times New Roman" w:hAnsi="Times New Roman" w:cs="Times New Roman" w:eastAsia="宋体"/>
                <w:b/>
                <w:color w:val="FFFFFF"/>
                <w:sz w:val="20"/>
              </w:rPr>
              <w:t>实现方案</w:t>
            </w:r>
          </w:p>
        </w:tc>
      </w:tr>
      <w:tr>
        <w:trPr>
          <w:cantSplit/>
        </w:trPr>
        <w:tc>
          <w:tcPr>
            <w:tcW w:type="dxa" w:w="1584"/>
            <w:vAlign w:val="center"/>
            <w:shd w:fill="FCF6F7"/>
          </w:tcPr>
          <w:p>
            <w:pPr>
              <w:spacing w:after="0" w:line="286" w:lineRule="exact"/>
              <w:jc w:val="center"/>
            </w:pPr>
            <w:r>
              <w:rPr>
                <w:rFonts w:ascii="Times New Roman" w:hAnsi="Times New Roman" w:cs="Times New Roman" w:eastAsia="宋体"/>
                <w:b w:val="0"/>
                <w:color w:val="000000"/>
                <w:sz w:val="20"/>
              </w:rPr>
              <w:t>学习活动</w:t>
            </w:r>
          </w:p>
        </w:tc>
        <w:tc>
          <w:tcPr>
            <w:tcW w:type="dxa" w:w="8467"/>
            <w:vAlign w:val="center"/>
            <w:shd w:fill="FCF6F7"/>
          </w:tcPr>
          <w:p>
            <w:pPr>
              <w:spacing w:after="0" w:line="286" w:lineRule="exact"/>
              <w:jc w:val="left"/>
            </w:pPr>
            <w:r>
              <w:rPr>
                <w:rFonts w:ascii="Times New Roman" w:hAnsi="Times New Roman" w:cs="Times New Roman" w:eastAsia="宋体"/>
                <w:b w:val="0"/>
                <w:color w:val="000000"/>
                <w:sz w:val="20"/>
              </w:rPr>
              <w:t>新增教学单元、知识点、学习单与活动、学生进度；支持草稿与发布状态，已发生的作答绑定当时题目版本。</w:t>
            </w:r>
          </w:p>
        </w:tc>
      </w:tr>
      <w:tr>
        <w:trPr>
          <w:cantSplit/>
        </w:trPr>
        <w:tc>
          <w:tcPr>
            <w:tcW w:type="dxa" w:w="1584"/>
            <w:vAlign w:val="center"/>
            <w:shd w:fill="FFFFFF"/>
          </w:tcPr>
          <w:p>
            <w:pPr>
              <w:spacing w:after="0" w:line="286" w:lineRule="exact"/>
              <w:jc w:val="center"/>
            </w:pPr>
            <w:r>
              <w:rPr>
                <w:rFonts w:ascii="Times New Roman" w:hAnsi="Times New Roman" w:cs="Times New Roman" w:eastAsia="宋体"/>
                <w:b w:val="0"/>
                <w:color w:val="000000"/>
                <w:sz w:val="20"/>
              </w:rPr>
              <w:t>自主测评</w:t>
            </w:r>
          </w:p>
        </w:tc>
        <w:tc>
          <w:tcPr>
            <w:tcW w:type="dxa" w:w="8467"/>
            <w:vAlign w:val="center"/>
            <w:shd w:fill="FFFFFF"/>
          </w:tcPr>
          <w:p>
            <w:pPr>
              <w:spacing w:after="0" w:line="286" w:lineRule="exact"/>
              <w:jc w:val="left"/>
            </w:pPr>
            <w:r>
              <w:rPr>
                <w:rFonts w:ascii="Times New Roman" w:hAnsi="Times New Roman" w:cs="Times New Roman" w:eastAsia="宋体"/>
                <w:b w:val="0"/>
                <w:color w:val="000000"/>
                <w:sz w:val="20"/>
              </w:rPr>
              <w:t>新增题目、选项、答案规则、测评尝试与作答记录。客观题由服务端判定；答案在提交前不返回客户端。</w:t>
            </w:r>
          </w:p>
        </w:tc>
      </w:tr>
      <w:tr>
        <w:trPr>
          <w:cantSplit/>
        </w:trPr>
        <w:tc>
          <w:tcPr>
            <w:tcW w:type="dxa" w:w="1584"/>
            <w:vAlign w:val="center"/>
            <w:shd w:fill="FCF6F7"/>
          </w:tcPr>
          <w:p>
            <w:pPr>
              <w:spacing w:after="0" w:line="286" w:lineRule="exact"/>
              <w:jc w:val="center"/>
            </w:pPr>
            <w:r>
              <w:rPr>
                <w:rFonts w:ascii="Times New Roman" w:hAnsi="Times New Roman" w:cs="Times New Roman" w:eastAsia="宋体"/>
                <w:b w:val="0"/>
                <w:color w:val="000000"/>
                <w:sz w:val="20"/>
              </w:rPr>
              <w:t>错题与推荐</w:t>
            </w:r>
          </w:p>
        </w:tc>
        <w:tc>
          <w:tcPr>
            <w:tcW w:type="dxa" w:w="8467"/>
            <w:vAlign w:val="center"/>
            <w:shd w:fill="FCF6F7"/>
          </w:tcPr>
          <w:p>
            <w:pPr>
              <w:spacing w:after="0" w:line="286" w:lineRule="exact"/>
              <w:jc w:val="left"/>
            </w:pPr>
            <w:r>
              <w:rPr>
                <w:rFonts w:ascii="Times New Roman" w:hAnsi="Times New Roman" w:cs="Times New Roman" w:eastAsia="宋体"/>
                <w:b w:val="0"/>
                <w:color w:val="000000"/>
                <w:sz w:val="20"/>
              </w:rPr>
              <w:t>按学生和知识点关联错题、复练与资料；先按规则选择已发布资源，再由模型解释推荐理由。</w:t>
            </w:r>
          </w:p>
        </w:tc>
      </w:tr>
      <w:tr>
        <w:trPr>
          <w:cantSplit/>
        </w:trPr>
        <w:tc>
          <w:tcPr>
            <w:tcW w:type="dxa" w:w="1584"/>
            <w:vAlign w:val="center"/>
            <w:shd w:fill="FFFFFF"/>
          </w:tcPr>
          <w:p>
            <w:pPr>
              <w:spacing w:after="0" w:line="286" w:lineRule="exact"/>
              <w:jc w:val="center"/>
            </w:pPr>
            <w:r>
              <w:rPr>
                <w:rFonts w:ascii="Times New Roman" w:hAnsi="Times New Roman" w:cs="Times New Roman" w:eastAsia="宋体"/>
                <w:b w:val="0"/>
                <w:color w:val="000000"/>
                <w:sz w:val="20"/>
              </w:rPr>
              <w:t>引导式 AI</w:t>
            </w:r>
          </w:p>
        </w:tc>
        <w:tc>
          <w:tcPr>
            <w:tcW w:type="dxa" w:w="8467"/>
            <w:vAlign w:val="center"/>
            <w:shd w:fill="FFFFFF"/>
          </w:tcPr>
          <w:p>
            <w:pPr>
              <w:spacing w:after="0" w:line="286" w:lineRule="exact"/>
              <w:jc w:val="left"/>
            </w:pPr>
            <w:r>
              <w:rPr>
                <w:rFonts w:ascii="Times New Roman" w:hAnsi="Times New Roman" w:cs="Times New Roman" w:eastAsia="宋体"/>
                <w:b w:val="0"/>
                <w:color w:val="000000"/>
                <w:sz w:val="20"/>
              </w:rPr>
              <w:t>复用 RAG 与 SSE，新增概念解释、分层提示、错题复盘三个技能；保留资料引用、提示级别和本轮上下文。</w:t>
            </w:r>
          </w:p>
        </w:tc>
      </w:tr>
      <w:tr>
        <w:trPr>
          <w:cantSplit/>
        </w:trPr>
        <w:tc>
          <w:tcPr>
            <w:tcW w:type="dxa" w:w="1584"/>
            <w:vAlign w:val="center"/>
            <w:shd w:fill="FCF6F7"/>
          </w:tcPr>
          <w:p>
            <w:pPr>
              <w:spacing w:after="0" w:line="286" w:lineRule="exact"/>
              <w:jc w:val="center"/>
            </w:pPr>
            <w:r>
              <w:rPr>
                <w:rFonts w:ascii="Times New Roman" w:hAnsi="Times New Roman" w:cs="Times New Roman" w:eastAsia="宋体"/>
                <w:b w:val="0"/>
                <w:color w:val="000000"/>
                <w:sz w:val="20"/>
              </w:rPr>
              <w:t>工具接入</w:t>
            </w:r>
          </w:p>
        </w:tc>
        <w:tc>
          <w:tcPr>
            <w:tcW w:type="dxa" w:w="8467"/>
            <w:vAlign w:val="center"/>
            <w:shd w:fill="FCF6F7"/>
          </w:tcPr>
          <w:p>
            <w:pPr>
              <w:spacing w:after="0" w:line="286" w:lineRule="exact"/>
              <w:jc w:val="left"/>
            </w:pPr>
            <w:r>
              <w:rPr>
                <w:rFonts w:ascii="Times New Roman" w:hAnsi="Times New Roman" w:cs="Times New Roman" w:eastAsia="宋体"/>
                <w:b w:val="0"/>
                <w:color w:val="000000"/>
                <w:sz w:val="20"/>
              </w:rPr>
              <w:t>通过受限 MCP 工具读取当前单元、本人学习记录与课程资料；每次调用重新检查课程成员资格和数据归属。</w:t>
            </w:r>
          </w:p>
        </w:tc>
      </w:tr>
      <w:tr>
        <w:trPr>
          <w:cantSplit/>
        </w:trPr>
        <w:tc>
          <w:tcPr>
            <w:tcW w:type="dxa" w:w="1584"/>
            <w:vAlign w:val="center"/>
            <w:shd w:fill="FFFFFF"/>
          </w:tcPr>
          <w:p>
            <w:pPr>
              <w:spacing w:after="0" w:line="286" w:lineRule="exact"/>
              <w:jc w:val="center"/>
            </w:pPr>
            <w:r>
              <w:rPr>
                <w:rFonts w:ascii="Times New Roman" w:hAnsi="Times New Roman" w:cs="Times New Roman" w:eastAsia="宋体"/>
                <w:b w:val="0"/>
                <w:color w:val="000000"/>
                <w:sz w:val="20"/>
              </w:rPr>
              <w:t>异步与统计</w:t>
            </w:r>
          </w:p>
        </w:tc>
        <w:tc>
          <w:tcPr>
            <w:tcW w:type="dxa" w:w="8467"/>
            <w:vAlign w:val="center"/>
            <w:shd w:fill="FFFFFF"/>
          </w:tcPr>
          <w:p>
            <w:pPr>
              <w:spacing w:after="0" w:line="286" w:lineRule="exact"/>
              <w:jc w:val="left"/>
            </w:pPr>
            <w:r>
              <w:rPr>
                <w:rFonts w:ascii="Times New Roman" w:hAnsi="Times New Roman" w:cs="Times New Roman" w:eastAsia="宋体"/>
                <w:b w:val="0"/>
                <w:color w:val="000000"/>
                <w:sz w:val="20"/>
              </w:rPr>
              <w:t>Celery + Redis 处理资料索引和教学反馈摘要；作答先可靠保存，统计任务幂等执行，失败可重试。</w:t>
            </w:r>
          </w:p>
        </w:tc>
      </w:tr>
      <w:tr>
        <w:trPr>
          <w:cantSplit/>
        </w:trPr>
        <w:tc>
          <w:tcPr>
            <w:tcW w:type="dxa" w:w="1584"/>
            <w:vAlign w:val="center"/>
            <w:shd w:fill="FCF6F7"/>
          </w:tcPr>
          <w:p>
            <w:pPr>
              <w:spacing w:after="0" w:line="286" w:lineRule="exact"/>
              <w:jc w:val="center"/>
            </w:pPr>
            <w:r>
              <w:rPr>
                <w:rFonts w:ascii="Times New Roman" w:hAnsi="Times New Roman" w:cs="Times New Roman" w:eastAsia="宋体"/>
                <w:b w:val="0"/>
                <w:color w:val="000000"/>
                <w:sz w:val="20"/>
              </w:rPr>
              <w:t>界面与部署</w:t>
            </w:r>
          </w:p>
        </w:tc>
        <w:tc>
          <w:tcPr>
            <w:tcW w:type="dxa" w:w="8467"/>
            <w:vAlign w:val="center"/>
            <w:shd w:fill="FCF6F7"/>
          </w:tcPr>
          <w:p>
            <w:pPr>
              <w:spacing w:after="0" w:line="286" w:lineRule="exact"/>
              <w:jc w:val="left"/>
            </w:pPr>
            <w:r>
              <w:rPr>
                <w:rFonts w:ascii="Times New Roman" w:hAnsi="Times New Roman" w:cs="Times New Roman" w:eastAsia="宋体"/>
                <w:b w:val="0"/>
                <w:color w:val="000000"/>
                <w:sz w:val="20"/>
              </w:rPr>
              <w:t>学生学习页、教师单元管理与学习反馈页；复用现有文档和 HTML 互动图示预览；Docker Compose 部署。</w:t>
            </w:r>
          </w:p>
        </w:tc>
      </w:tr>
    </w:tbl>
    <w:p>
      <w:pPr>
        <w:spacing w:after="40"/>
      </w:pPr>
      <w:r>
        <w:rPr>
          <w:rFonts w:ascii="Times New Roman" w:hAnsi="Times New Roman" w:cs="Times New Roman" w:eastAsia="宋体"/>
          <w:b w:val="0"/>
          <w:color w:val="000000"/>
          <w:sz w:val="22"/>
        </w:rPr>
      </w:r>
    </w:p>
    <w:p>
      <w:pPr>
        <w:pStyle w:val="Heading2"/>
      </w:pPr>
      <w:r>
        <w:rPr>
          <w:rFonts w:ascii="Times New Roman" w:hAnsi="Times New Roman" w:cs="Times New Roman" w:eastAsia="宋体"/>
        </w:rPr>
        <w:t>业务数据与 AI 结果的关系</w:t>
      </w:r>
    </w:p>
    <w:p>
      <w:pPr>
        <w:spacing w:after="120"/>
      </w:pPr>
      <w:r>
        <w:rPr>
          <w:rFonts w:ascii="Times New Roman" w:hAnsi="Times New Roman" w:cs="Times New Roman" w:eastAsia="宋体"/>
          <w:b w:val="0"/>
          <w:color w:val="000000"/>
          <w:sz w:val="22"/>
        </w:rPr>
        <w:t>新增 LearningUnit、LearningPlan、LearningActivity、ActivityProgress、QuizItem、QuizAttempt、PracticeRecord 等实体。学习状态来自活动完成和有效作答；AI 输出以建议形式保存，不直接改写客观题得分或宣告学习任务完成。</w:t>
      </w:r>
    </w:p>
    <w:p>
      <w:pPr>
        <w:pStyle w:val="Heading2"/>
      </w:pPr>
      <w:r>
        <w:rPr>
          <w:rFonts w:ascii="Times New Roman" w:hAnsi="Times New Roman" w:cs="Times New Roman" w:eastAsia="宋体"/>
        </w:rPr>
        <w:t>权限与失败路径</w:t>
      </w:r>
    </w:p>
    <w:p>
      <w:pPr>
        <w:spacing w:after="120"/>
      </w:pPr>
      <w:r>
        <w:rPr>
          <w:rFonts w:ascii="Times New Roman" w:hAnsi="Times New Roman" w:cs="Times New Roman" w:eastAsia="宋体"/>
          <w:b w:val="0"/>
          <w:color w:val="000000"/>
          <w:sz w:val="22"/>
        </w:rPr>
        <w:t>教师管理任教课程；学生仅访问已发布学习内容及本人记录。课程范围由服务端确认。无资料、题库为空、模型超时和索引失败均有明确状态；模型不可用时仍能阅读、作答和查看规则判定结果。重复提交不重复计分，重算统计不重复累加。</w:t>
      </w:r>
    </w:p>
    <w:p>
      <w:pPr>
        <w:pStyle w:val="Heading1"/>
        <w:pageBreakBefore/>
      </w:pPr>
      <w:r>
        <w:rPr>
          <w:rFonts w:ascii="Times New Roman" w:hAnsi="Times New Roman" w:cs="Times New Roman" w:eastAsia="宋体"/>
          <w:b/>
          <w:color w:val="8C0015"/>
          <w:sz w:val="36"/>
        </w:rPr>
        <w:t xml:space="preserve">4  </w:t>
      </w:r>
      <w:r>
        <w:rPr>
          <w:rFonts w:ascii="Times New Roman" w:hAnsi="Times New Roman" w:cs="Times New Roman" w:eastAsia="宋体"/>
          <w:b/>
          <w:color w:val="000000"/>
          <w:sz w:val="36"/>
        </w:rPr>
        <w:t>小组成员与交叉验收</w:t>
      </w:r>
    </w:p>
    <w:p>
      <w:pPr>
        <w:spacing w:after="120"/>
      </w:pPr>
      <w:r>
        <w:rPr>
          <w:rFonts w:ascii="Times New Roman" w:hAnsi="Times New Roman" w:cs="Times New Roman" w:eastAsia="宋体"/>
          <w:b w:val="0"/>
          <w:color w:val="000000"/>
          <w:sz w:val="22"/>
        </w:rPr>
        <w:t>小组由李非凡、陈志康两人组成。两人兼任制定规约、开发系统与项目验收，按功能方向交叉验收。项目验收由组员依据同一份规约完成，核对功能、失败路径、权限和证据，不以模型的完成声明作为通过依据。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0" w:type="dxa"/>
          <w:bottom w:w="95" w:type="dxa"/>
          <w:right w:w="110" w:type="dxa"/>
        </w:tblCellMar>
      </w:tblPr>
      <w:tblGrid>
        <w:gridCol w:w="1152"/>
        <w:gridCol w:w="4752"/>
        <w:gridCol w:w="4147"/>
      </w:tblGrid>
      <w:tr>
        <w:trPr>
          <w:cantSplit/>
          <w:tblHeader/>
        </w:trPr>
        <w:tc>
          <w:tcPr>
            <w:tcW w:type="dxa" w:w="1152"/>
            <w:vAlign w:val="center"/>
            <w:shd w:fill="8C0015"/>
          </w:tcPr>
          <w:p>
            <w:pPr>
              <w:spacing w:after="0" w:line="286" w:lineRule="exact"/>
              <w:jc w:val="center"/>
            </w:pPr>
            <w:r>
              <w:rPr>
                <w:rFonts w:ascii="Times New Roman" w:hAnsi="Times New Roman" w:cs="Times New Roman" w:eastAsia="宋体"/>
                <w:b/>
                <w:color w:val="FFFFFF"/>
                <w:sz w:val="20"/>
              </w:rPr>
              <w:t>成员</w:t>
            </w:r>
          </w:p>
        </w:tc>
        <w:tc>
          <w:tcPr>
            <w:tcW w:type="dxa" w:w="4752"/>
            <w:vAlign w:val="center"/>
            <w:shd w:fill="8C0015"/>
          </w:tcPr>
          <w:p>
            <w:pPr>
              <w:spacing w:after="0" w:line="286" w:lineRule="exact"/>
              <w:jc w:val="left"/>
            </w:pPr>
            <w:r>
              <w:rPr>
                <w:rFonts w:ascii="Times New Roman" w:hAnsi="Times New Roman" w:cs="Times New Roman" w:eastAsia="宋体"/>
                <w:b/>
                <w:color w:val="FFFFFF"/>
                <w:sz w:val="20"/>
              </w:rPr>
              <w:t>规约与开发职责</w:t>
            </w:r>
          </w:p>
        </w:tc>
        <w:tc>
          <w:tcPr>
            <w:tcW w:type="dxa" w:w="4147"/>
            <w:vAlign w:val="center"/>
            <w:shd w:fill="8C0015"/>
          </w:tcPr>
          <w:p>
            <w:pPr>
              <w:spacing w:after="0" w:line="286" w:lineRule="exact"/>
              <w:jc w:val="left"/>
            </w:pPr>
            <w:r>
              <w:rPr>
                <w:rFonts w:ascii="Times New Roman" w:hAnsi="Times New Roman" w:cs="Times New Roman" w:eastAsia="宋体"/>
                <w:b/>
                <w:color w:val="FFFFFF"/>
                <w:sz w:val="20"/>
              </w:rPr>
              <w:t>交叉验收职责</w:t>
            </w:r>
          </w:p>
        </w:tc>
      </w:tr>
      <w:tr>
        <w:trPr>
          <w:cantSplit/>
        </w:trPr>
        <w:tc>
          <w:tcPr>
            <w:tcW w:type="dxa" w:w="1152"/>
            <w:vAlign w:val="center"/>
            <w:shd w:fill="FCF6F7"/>
          </w:tcPr>
          <w:p>
            <w:pPr>
              <w:spacing w:after="0" w:line="286" w:lineRule="exact"/>
              <w:jc w:val="center"/>
            </w:pPr>
            <w:r>
              <w:rPr>
                <w:rFonts w:ascii="Times New Roman" w:hAnsi="Times New Roman" w:cs="Times New Roman" w:eastAsia="宋体"/>
                <w:b w:val="0"/>
                <w:color w:val="000000"/>
                <w:sz w:val="20"/>
              </w:rPr>
              <w:t>李非凡</w:t>
            </w:r>
          </w:p>
        </w:tc>
        <w:tc>
          <w:tcPr>
            <w:tcW w:type="dxa" w:w="4752"/>
            <w:vAlign w:val="center"/>
            <w:shd w:fill="FCF6F7"/>
          </w:tcPr>
          <w:p>
            <w:pPr>
              <w:spacing w:after="0" w:line="286" w:lineRule="exact"/>
              <w:jc w:val="left"/>
            </w:pPr>
            <w:r>
              <w:rPr>
                <w:rFonts w:ascii="Times New Roman" w:hAnsi="Times New Roman" w:cs="Times New Roman" w:eastAsia="宋体"/>
                <w:b w:val="0"/>
                <w:color w:val="000000"/>
                <w:sz w:val="20"/>
              </w:rPr>
              <w:t>负责课程学习单与引导式辅学：教学单元、学习活动、进度导航、资料定位、分层提示及对应界面。</w:t>
            </w:r>
          </w:p>
        </w:tc>
        <w:tc>
          <w:tcPr>
            <w:tcW w:type="dxa" w:w="4147"/>
            <w:vAlign w:val="center"/>
            <w:shd w:fill="FCF6F7"/>
          </w:tcPr>
          <w:p>
            <w:pPr>
              <w:spacing w:after="0" w:line="286" w:lineRule="exact"/>
              <w:jc w:val="left"/>
            </w:pPr>
            <w:r>
              <w:rPr>
                <w:rFonts w:ascii="Times New Roman" w:hAnsi="Times New Roman" w:cs="Times New Roman" w:eastAsia="宋体"/>
                <w:b w:val="0"/>
                <w:color w:val="000000"/>
                <w:sz w:val="20"/>
              </w:rPr>
              <w:t>验收陈志康负责的测评、错题、推荐和统计；核对判分、重复提交、样本数与本人数据隔离。</w:t>
            </w:r>
          </w:p>
        </w:tc>
      </w:tr>
      <w:tr>
        <w:trPr>
          <w:cantSplit/>
        </w:trPr>
        <w:tc>
          <w:tcPr>
            <w:tcW w:type="dxa" w:w="1152"/>
            <w:vAlign w:val="center"/>
            <w:shd w:fill="FFFFFF"/>
          </w:tcPr>
          <w:p>
            <w:pPr>
              <w:spacing w:after="0" w:line="286" w:lineRule="exact"/>
              <w:jc w:val="center"/>
            </w:pPr>
            <w:r>
              <w:rPr>
                <w:rFonts w:ascii="Times New Roman" w:hAnsi="Times New Roman" w:cs="Times New Roman" w:eastAsia="宋体"/>
                <w:b w:val="0"/>
                <w:color w:val="000000"/>
                <w:sz w:val="20"/>
              </w:rPr>
              <w:t>陈志康</w:t>
            </w:r>
          </w:p>
        </w:tc>
        <w:tc>
          <w:tcPr>
            <w:tcW w:type="dxa" w:w="4752"/>
            <w:vAlign w:val="center"/>
            <w:shd w:fill="FFFFFF"/>
          </w:tcPr>
          <w:p>
            <w:pPr>
              <w:spacing w:after="0" w:line="286" w:lineRule="exact"/>
              <w:jc w:val="left"/>
            </w:pPr>
            <w:r>
              <w:rPr>
                <w:rFonts w:ascii="Times New Roman" w:hAnsi="Times New Roman" w:cs="Times New Roman" w:eastAsia="宋体"/>
                <w:b w:val="0"/>
                <w:color w:val="000000"/>
                <w:sz w:val="20"/>
              </w:rPr>
              <w:t>负责自主测评与学习反馈：题库与作答、错题复练、规则推荐、个人记录及课程反馈视图。</w:t>
            </w:r>
          </w:p>
        </w:tc>
        <w:tc>
          <w:tcPr>
            <w:tcW w:type="dxa" w:w="4147"/>
            <w:vAlign w:val="center"/>
            <w:shd w:fill="FFFFFF"/>
          </w:tcPr>
          <w:p>
            <w:pPr>
              <w:spacing w:after="0" w:line="286" w:lineRule="exact"/>
              <w:jc w:val="left"/>
            </w:pPr>
            <w:r>
              <w:rPr>
                <w:rFonts w:ascii="Times New Roman" w:hAnsi="Times New Roman" w:cs="Times New Roman" w:eastAsia="宋体"/>
                <w:b w:val="0"/>
                <w:color w:val="000000"/>
                <w:sz w:val="20"/>
              </w:rPr>
              <w:t>验收李非凡负责的学习单与辅学；核对发布权限、学习状态、提示级别、引用和无依据回答。</w:t>
            </w:r>
          </w:p>
        </w:tc>
      </w:tr>
      <w:tr>
        <w:trPr>
          <w:cantSplit/>
        </w:trPr>
        <w:tc>
          <w:tcPr>
            <w:tcW w:type="dxa" w:w="1152"/>
            <w:vAlign w:val="center"/>
            <w:shd w:fill="FCF6F7"/>
          </w:tcPr>
          <w:p>
            <w:pPr>
              <w:spacing w:after="0" w:line="286" w:lineRule="exact"/>
              <w:jc w:val="center"/>
            </w:pPr>
            <w:r>
              <w:rPr>
                <w:rFonts w:ascii="Times New Roman" w:hAnsi="Times New Roman" w:cs="Times New Roman" w:eastAsia="宋体"/>
                <w:b w:val="0"/>
                <w:color w:val="000000"/>
                <w:sz w:val="20"/>
              </w:rPr>
              <w:t>共同承担</w:t>
            </w:r>
          </w:p>
        </w:tc>
        <w:tc>
          <w:tcPr>
            <w:tcW w:type="dxa" w:w="4752"/>
            <w:vAlign w:val="center"/>
            <w:shd w:fill="FCF6F7"/>
          </w:tcPr>
          <w:p>
            <w:pPr>
              <w:spacing w:after="0" w:line="286" w:lineRule="exact"/>
              <w:jc w:val="left"/>
            </w:pPr>
            <w:r>
              <w:rPr>
                <w:rFonts w:ascii="Times New Roman" w:hAnsi="Times New Roman" w:cs="Times New Roman" w:eastAsia="宋体"/>
                <w:b w:val="0"/>
                <w:color w:val="000000"/>
                <w:sz w:val="20"/>
              </w:rPr>
              <w:t>共同确定数据接口，集成 MCP、异步任务与部署，整理试用反馈、演示和贡献记录。</w:t>
            </w:r>
          </w:p>
        </w:tc>
        <w:tc>
          <w:tcPr>
            <w:tcW w:type="dxa" w:w="4147"/>
            <w:vAlign w:val="center"/>
            <w:shd w:fill="FCF6F7"/>
          </w:tcPr>
          <w:p>
            <w:pPr>
              <w:spacing w:after="0" w:line="286" w:lineRule="exact"/>
              <w:jc w:val="left"/>
            </w:pPr>
            <w:r>
              <w:rPr>
                <w:rFonts w:ascii="Times New Roman" w:hAnsi="Times New Roman" w:cs="Times New Roman" w:eastAsia="宋体"/>
                <w:b w:val="0"/>
                <w:color w:val="000000"/>
                <w:sz w:val="20"/>
              </w:rPr>
              <w:t>使用两个学生账号、一个教师账号及另一课程账号完成端到端与越权测试。</w:t>
            </w:r>
          </w:p>
        </w:tc>
      </w:tr>
    </w:tbl>
    <w:p>
      <w:pPr>
        <w:spacing w:after="40"/>
      </w:pPr>
      <w:r>
        <w:rPr>
          <w:rFonts w:ascii="Times New Roman" w:hAnsi="Times New Roman" w:cs="Times New Roman" w:eastAsia="宋体"/>
          <w:b w:val="0"/>
          <w:color w:val="000000"/>
          <w:sz w:val="22"/>
        </w:rPr>
      </w:r>
    </w:p>
    <w:p>
      <w:pPr>
        <w:pStyle w:val="Heading2"/>
      </w:pPr>
      <w:r>
        <w:rPr>
          <w:rFonts w:ascii="Times New Roman" w:hAnsi="Times New Roman" w:cs="Times New Roman" w:eastAsia="宋体"/>
        </w:rPr>
        <w:t>规约与验收证据</w:t>
      </w:r>
    </w:p>
    <w:p>
      <w:pPr>
        <w:spacing w:after="120"/>
      </w:pPr>
      <w:r>
        <w:rPr>
          <w:rFonts w:ascii="Times New Roman" w:hAnsi="Times New Roman" w:cs="Times New Roman" w:eastAsia="宋体"/>
          <w:b w:val="0"/>
          <w:color w:val="000000"/>
          <w:sz w:val="22"/>
        </w:rPr>
        <w:t>每个功能分别形成 proposal、design、spec 和 tasks，写明使用者、输入、正常结果、范围边界、失败行为和验证方法。开发者完成实现与自测后，由另一位成员独立执行场景并记录通过或不通过。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0" w:type="dxa"/>
          <w:bottom w:w="95" w:type="dxa"/>
          <w:right w:w="110" w:type="dxa"/>
        </w:tblCellMar>
      </w:tblPr>
      <w:tblGrid>
        <w:gridCol w:w="1872"/>
        <w:gridCol w:w="8179"/>
      </w:tblGrid>
      <w:tr>
        <w:trPr>
          <w:cantSplit/>
          <w:tblHeader/>
        </w:trPr>
        <w:tc>
          <w:tcPr>
            <w:tcW w:type="dxa" w:w="1872"/>
            <w:vAlign w:val="center"/>
            <w:shd w:fill="8C0015"/>
          </w:tcPr>
          <w:p>
            <w:pPr>
              <w:spacing w:after="0" w:line="286" w:lineRule="exact"/>
              <w:jc w:val="center"/>
            </w:pPr>
            <w:r>
              <w:rPr>
                <w:rFonts w:ascii="Times New Roman" w:hAnsi="Times New Roman" w:cs="Times New Roman" w:eastAsia="宋体"/>
                <w:b/>
                <w:color w:val="FFFFFF"/>
                <w:sz w:val="20"/>
              </w:rPr>
              <w:t>重点场景</w:t>
            </w:r>
          </w:p>
        </w:tc>
        <w:tc>
          <w:tcPr>
            <w:tcW w:type="dxa" w:w="8179"/>
            <w:vAlign w:val="center"/>
            <w:shd w:fill="8C0015"/>
          </w:tcPr>
          <w:p>
            <w:pPr>
              <w:spacing w:after="0" w:line="286" w:lineRule="exact"/>
              <w:jc w:val="left"/>
            </w:pPr>
            <w:r>
              <w:rPr>
                <w:rFonts w:ascii="Times New Roman" w:hAnsi="Times New Roman" w:cs="Times New Roman" w:eastAsia="宋体"/>
                <w:b/>
                <w:color w:val="FFFFFF"/>
                <w:sz w:val="20"/>
              </w:rPr>
              <w:t>验收证据</w:t>
            </w:r>
          </w:p>
        </w:tc>
      </w:tr>
      <w:tr>
        <w:trPr>
          <w:cantSplit/>
        </w:trPr>
        <w:tc>
          <w:tcPr>
            <w:tcW w:type="dxa" w:w="1872"/>
            <w:vAlign w:val="center"/>
            <w:shd w:fill="FCF6F7"/>
          </w:tcPr>
          <w:p>
            <w:pPr>
              <w:spacing w:after="0" w:line="286" w:lineRule="exact"/>
              <w:jc w:val="center"/>
            </w:pPr>
            <w:r>
              <w:rPr>
                <w:rFonts w:ascii="Times New Roman" w:hAnsi="Times New Roman" w:cs="Times New Roman" w:eastAsia="宋体"/>
                <w:b w:val="0"/>
                <w:color w:val="000000"/>
                <w:sz w:val="20"/>
              </w:rPr>
              <w:t>学习单发布与完成</w:t>
            </w:r>
          </w:p>
        </w:tc>
        <w:tc>
          <w:tcPr>
            <w:tcW w:type="dxa" w:w="8179"/>
            <w:vAlign w:val="center"/>
            <w:shd w:fill="FCF6F7"/>
          </w:tcPr>
          <w:p>
            <w:pPr>
              <w:spacing w:after="0" w:line="286" w:lineRule="exact"/>
              <w:jc w:val="left"/>
            </w:pPr>
            <w:r>
              <w:rPr>
                <w:rFonts w:ascii="Times New Roman" w:hAnsi="Times New Roman" w:cs="Times New Roman" w:eastAsia="宋体"/>
                <w:b w:val="0"/>
                <w:color w:val="000000"/>
                <w:sz w:val="20"/>
              </w:rPr>
              <w:t>未发布内容不可读；阅读与作答状态可核对；两名学生的进度互不影响。</w:t>
            </w:r>
          </w:p>
        </w:tc>
      </w:tr>
      <w:tr>
        <w:trPr>
          <w:cantSplit/>
        </w:trPr>
        <w:tc>
          <w:tcPr>
            <w:tcW w:type="dxa" w:w="1872"/>
            <w:vAlign w:val="center"/>
            <w:shd w:fill="FFFFFF"/>
          </w:tcPr>
          <w:p>
            <w:pPr>
              <w:spacing w:after="0" w:line="286" w:lineRule="exact"/>
              <w:jc w:val="center"/>
            </w:pPr>
            <w:r>
              <w:rPr>
                <w:rFonts w:ascii="Times New Roman" w:hAnsi="Times New Roman" w:cs="Times New Roman" w:eastAsia="宋体"/>
                <w:b w:val="0"/>
                <w:color w:val="000000"/>
                <w:sz w:val="20"/>
              </w:rPr>
              <w:t>辅学提示与引用</w:t>
            </w:r>
          </w:p>
        </w:tc>
        <w:tc>
          <w:tcPr>
            <w:tcW w:type="dxa" w:w="8179"/>
            <w:vAlign w:val="center"/>
            <w:shd w:fill="FFFFFF"/>
          </w:tcPr>
          <w:p>
            <w:pPr>
              <w:spacing w:after="0" w:line="286" w:lineRule="exact"/>
              <w:jc w:val="left"/>
            </w:pPr>
            <w:r>
              <w:rPr>
                <w:rFonts w:ascii="Times New Roman" w:hAnsi="Times New Roman" w:cs="Times New Roman" w:eastAsia="宋体"/>
                <w:b w:val="0"/>
                <w:color w:val="000000"/>
                <w:sz w:val="20"/>
              </w:rPr>
              <w:t>相同问题可逐层展开提示；引用对应本课原文；无资料或故障时明确提示。</w:t>
            </w:r>
          </w:p>
        </w:tc>
      </w:tr>
      <w:tr>
        <w:trPr>
          <w:cantSplit/>
        </w:trPr>
        <w:tc>
          <w:tcPr>
            <w:tcW w:type="dxa" w:w="1872"/>
            <w:vAlign w:val="center"/>
            <w:shd w:fill="FCF6F7"/>
          </w:tcPr>
          <w:p>
            <w:pPr>
              <w:spacing w:after="0" w:line="286" w:lineRule="exact"/>
              <w:jc w:val="center"/>
            </w:pPr>
            <w:r>
              <w:rPr>
                <w:rFonts w:ascii="Times New Roman" w:hAnsi="Times New Roman" w:cs="Times New Roman" w:eastAsia="宋体"/>
                <w:b w:val="0"/>
                <w:color w:val="000000"/>
                <w:sz w:val="20"/>
              </w:rPr>
              <w:t>测评与错题复练</w:t>
            </w:r>
          </w:p>
        </w:tc>
        <w:tc>
          <w:tcPr>
            <w:tcW w:type="dxa" w:w="8179"/>
            <w:vAlign w:val="center"/>
            <w:shd w:fill="FCF6F7"/>
          </w:tcPr>
          <w:p>
            <w:pPr>
              <w:spacing w:after="0" w:line="286" w:lineRule="exact"/>
              <w:jc w:val="left"/>
            </w:pPr>
            <w:r>
              <w:rPr>
                <w:rFonts w:ascii="Times New Roman" w:hAnsi="Times New Roman" w:cs="Times New Roman" w:eastAsia="宋体"/>
                <w:b w:val="0"/>
                <w:color w:val="000000"/>
                <w:sz w:val="20"/>
              </w:rPr>
              <w:t>使用人工核对的标准答案验证判分；错误进入本人错题集；复练生成新记录。</w:t>
            </w:r>
          </w:p>
        </w:tc>
      </w:tr>
      <w:tr>
        <w:trPr>
          <w:cantSplit/>
        </w:trPr>
        <w:tc>
          <w:tcPr>
            <w:tcW w:type="dxa" w:w="1872"/>
            <w:vAlign w:val="center"/>
            <w:shd w:fill="FFFFFF"/>
          </w:tcPr>
          <w:p>
            <w:pPr>
              <w:spacing w:after="0" w:line="286" w:lineRule="exact"/>
              <w:jc w:val="center"/>
            </w:pPr>
            <w:r>
              <w:rPr>
                <w:rFonts w:ascii="Times New Roman" w:hAnsi="Times New Roman" w:cs="Times New Roman" w:eastAsia="宋体"/>
                <w:b w:val="0"/>
                <w:color w:val="000000"/>
                <w:sz w:val="20"/>
              </w:rPr>
              <w:t>推荐与统计</w:t>
            </w:r>
          </w:p>
        </w:tc>
        <w:tc>
          <w:tcPr>
            <w:tcW w:type="dxa" w:w="8179"/>
            <w:vAlign w:val="center"/>
            <w:shd w:fill="FFFFFF"/>
          </w:tcPr>
          <w:p>
            <w:pPr>
              <w:spacing w:after="0" w:line="286" w:lineRule="exact"/>
              <w:jc w:val="left"/>
            </w:pPr>
            <w:r>
              <w:rPr>
                <w:rFonts w:ascii="Times New Roman" w:hAnsi="Times New Roman" w:cs="Times New Roman" w:eastAsia="宋体"/>
                <w:b w:val="0"/>
                <w:color w:val="000000"/>
                <w:sz w:val="20"/>
              </w:rPr>
              <w:t>不同自测结果得到对应资源；无题可推荐时显示空状态；汇总与实际作答一致。</w:t>
            </w:r>
          </w:p>
        </w:tc>
      </w:tr>
    </w:tbl>
    <w:p>
      <w:pPr>
        <w:spacing w:after="40"/>
      </w:pPr>
      <w:r>
        <w:rPr>
          <w:rFonts w:ascii="Times New Roman" w:hAnsi="Times New Roman" w:cs="Times New Roman" w:eastAsia="宋体"/>
          <w:b w:val="0"/>
          <w:color w:val="000000"/>
          <w:sz w:val="22"/>
        </w:rPr>
      </w:r>
    </w:p>
    <w:p>
      <w:pPr>
        <w:pStyle w:val="Heading2"/>
      </w:pPr>
      <w:r>
        <w:rPr>
          <w:rFonts w:ascii="Times New Roman" w:hAnsi="Times New Roman" w:cs="Times New Roman" w:eastAsia="宋体"/>
        </w:rPr>
        <w:t>实施顺序</w:t>
      </w:r>
    </w:p>
    <w:p>
      <w:pPr>
        <w:spacing w:after="120"/>
      </w:pPr>
      <w:r>
        <w:rPr>
          <w:rFonts w:ascii="Times New Roman" w:hAnsi="Times New Roman" w:cs="Times New Roman" w:eastAsia="宋体"/>
          <w:b w:val="0"/>
          <w:color w:val="000000"/>
          <w:sz w:val="22"/>
        </w:rPr>
        <w:t>先完成学习单与学生自主测评，再接入分层辅学、错题复练和反馈统计，最后完成交叉验收与试用。优先保证“进入学习单—学习与答疑—作答—反馈—复练”的主路径可运行，再增加展示效果。</w:t>
      </w:r>
    </w:p>
    <w:p>
      <w:pPr>
        <w:pStyle w:val="Heading1"/>
        <w:pageBreakBefore/>
      </w:pPr>
      <w:r>
        <w:rPr>
          <w:rFonts w:ascii="Times New Roman" w:hAnsi="Times New Roman" w:cs="Times New Roman" w:eastAsia="宋体"/>
          <w:b/>
          <w:color w:val="8C0015"/>
          <w:sz w:val="36"/>
        </w:rPr>
        <w:t xml:space="preserve">附录  </w:t>
      </w:r>
      <w:r>
        <w:rPr>
          <w:rFonts w:ascii="Times New Roman" w:hAnsi="Times New Roman" w:cs="Times New Roman" w:eastAsia="宋体"/>
          <w:b/>
          <w:color w:val="000000"/>
          <w:sz w:val="36"/>
        </w:rPr>
        <w:t>选题依据与产品参考</w:t>
      </w:r>
    </w:p>
    <w:p>
      <w:pPr>
        <w:pStyle w:val="Heading2"/>
      </w:pPr>
      <w:r>
        <w:rPr>
          <w:rFonts w:ascii="Times New Roman" w:hAnsi="Times New Roman" w:cs="Times New Roman" w:eastAsia="宋体"/>
        </w:rPr>
        <w:t>为何从原方案收敛到这一方向</w:t>
      </w:r>
    </w:p>
    <w:p>
      <w:pPr>
        <w:spacing w:after="120"/>
      </w:pPr>
      <w:r>
        <w:rPr>
          <w:rFonts w:ascii="Times New Roman" w:hAnsi="Times New Roman" w:cs="Times New Roman" w:eastAsia="宋体"/>
          <w:b w:val="0"/>
          <w:color w:val="000000"/>
          <w:sz w:val="22"/>
        </w:rPr>
        <w:t>原稿同时涵盖备课、命题和学情诊断，依赖较多题库、批改与知识标注能力。本方案保留课程资料和学习诊断的价值，把首期收敛到可实际使用的教学单元：学习任务明确、学生有操作结果、反馈可用真实作答验证。</w:t>
      </w:r>
    </w:p>
    <w:p>
      <w:pPr>
        <w:pStyle w:val="Heading2"/>
      </w:pPr>
      <w:r>
        <w:rPr>
          <w:rFonts w:ascii="Times New Roman" w:hAnsi="Times New Roman" w:cs="Times New Roman" w:eastAsia="宋体"/>
        </w:rPr>
        <w:t>成熟产品能力如何落地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5" w:type="dxa"/>
          <w:left w:w="110" w:type="dxa"/>
          <w:bottom w:w="95" w:type="dxa"/>
          <w:right w:w="110" w:type="dxa"/>
        </w:tblCellMar>
      </w:tblPr>
      <w:tblGrid>
        <w:gridCol w:w="1440"/>
        <w:gridCol w:w="3888"/>
        <w:gridCol w:w="4723"/>
      </w:tblGrid>
      <w:tr>
        <w:trPr>
          <w:cantSplit/>
          <w:tblHeader/>
        </w:trPr>
        <w:tc>
          <w:tcPr>
            <w:tcW w:type="dxa" w:w="1440"/>
            <w:vAlign w:val="center"/>
            <w:shd w:fill="8C0015"/>
          </w:tcPr>
          <w:p>
            <w:pPr>
              <w:spacing w:after="0" w:line="286" w:lineRule="exact"/>
              <w:jc w:val="center"/>
            </w:pPr>
            <w:r>
              <w:rPr>
                <w:rFonts w:ascii="Times New Roman" w:hAnsi="Times New Roman" w:cs="Times New Roman" w:eastAsia="宋体"/>
                <w:b/>
                <w:color w:val="FFFFFF"/>
                <w:sz w:val="20"/>
              </w:rPr>
              <w:t>产品</w:t>
            </w:r>
          </w:p>
        </w:tc>
        <w:tc>
          <w:tcPr>
            <w:tcW w:type="dxa" w:w="3888"/>
            <w:vAlign w:val="center"/>
            <w:shd w:fill="8C0015"/>
          </w:tcPr>
          <w:p>
            <w:pPr>
              <w:spacing w:after="0" w:line="286" w:lineRule="exact"/>
              <w:jc w:val="left"/>
            </w:pPr>
            <w:r>
              <w:rPr>
                <w:rFonts w:ascii="Times New Roman" w:hAnsi="Times New Roman" w:cs="Times New Roman" w:eastAsia="宋体"/>
                <w:b/>
                <w:color w:val="FFFFFF"/>
                <w:sz w:val="20"/>
              </w:rPr>
              <w:t>已公开的相关能力</w:t>
            </w:r>
          </w:p>
        </w:tc>
        <w:tc>
          <w:tcPr>
            <w:tcW w:type="dxa" w:w="4723"/>
            <w:vAlign w:val="center"/>
            <w:shd w:fill="8C0015"/>
          </w:tcPr>
          <w:p>
            <w:pPr>
              <w:spacing w:after="0" w:line="286" w:lineRule="exact"/>
              <w:jc w:val="left"/>
            </w:pPr>
            <w:r>
              <w:rPr>
                <w:rFonts w:ascii="Times New Roman" w:hAnsi="Times New Roman" w:cs="Times New Roman" w:eastAsia="宋体"/>
                <w:b/>
                <w:color w:val="FFFFFF"/>
                <w:sz w:val="20"/>
              </w:rPr>
              <w:t>本组采用方式</w:t>
            </w:r>
          </w:p>
        </w:tc>
      </w:tr>
      <w:tr>
        <w:trPr>
          <w:cantSplit/>
        </w:trPr>
        <w:tc>
          <w:tcPr>
            <w:tcW w:type="dxa" w:w="1440"/>
            <w:vAlign w:val="center"/>
            <w:shd w:fill="FCF6F7"/>
          </w:tcPr>
          <w:p>
            <w:pPr>
              <w:spacing w:after="0" w:line="286" w:lineRule="exact"/>
              <w:jc w:val="center"/>
            </w:pPr>
            <w:r>
              <w:rPr>
                <w:rFonts w:ascii="Times New Roman" w:hAnsi="Times New Roman" w:cs="Times New Roman" w:eastAsia="宋体"/>
                <w:b w:val="0"/>
                <w:color w:val="000000"/>
                <w:sz w:val="20"/>
              </w:rPr>
              <w:t>Moodle</w:t>
            </w:r>
          </w:p>
        </w:tc>
        <w:tc>
          <w:tcPr>
            <w:tcW w:type="dxa" w:w="3888"/>
            <w:vAlign w:val="center"/>
            <w:shd w:fill="FCF6F7"/>
          </w:tcPr>
          <w:p>
            <w:pPr>
              <w:spacing w:after="0" w:line="286" w:lineRule="exact"/>
              <w:jc w:val="left"/>
            </w:pPr>
            <w:r>
              <w:rPr>
                <w:rFonts w:ascii="Times New Roman" w:hAnsi="Times New Roman" w:cs="Times New Roman" w:eastAsia="宋体"/>
                <w:b w:val="0"/>
                <w:color w:val="000000"/>
                <w:sz w:val="20"/>
              </w:rPr>
              <w:t>活动完成情况、测验及答题反馈。</w:t>
            </w:r>
          </w:p>
        </w:tc>
        <w:tc>
          <w:tcPr>
            <w:tcW w:type="dxa" w:w="4723"/>
            <w:vAlign w:val="center"/>
            <w:shd w:fill="FCF6F7"/>
          </w:tcPr>
          <w:p>
            <w:pPr>
              <w:spacing w:after="0" w:line="286" w:lineRule="exact"/>
              <w:jc w:val="left"/>
            </w:pPr>
            <w:r>
              <w:rPr>
                <w:rFonts w:ascii="Times New Roman" w:hAnsi="Times New Roman" w:cs="Times New Roman" w:eastAsia="宋体"/>
                <w:b w:val="0"/>
                <w:color w:val="000000"/>
                <w:sz w:val="20"/>
              </w:rPr>
              <w:t>围绕学习单串联活动，分别记录参与情况和测评结果。</w:t>
            </w:r>
          </w:p>
        </w:tc>
      </w:tr>
      <w:tr>
        <w:trPr>
          <w:cantSplit/>
        </w:trPr>
        <w:tc>
          <w:tcPr>
            <w:tcW w:type="dxa" w:w="1440"/>
            <w:vAlign w:val="center"/>
            <w:shd w:fill="FFFFFF"/>
          </w:tcPr>
          <w:p>
            <w:pPr>
              <w:spacing w:after="0" w:line="286" w:lineRule="exact"/>
              <w:jc w:val="center"/>
            </w:pPr>
            <w:r>
              <w:rPr>
                <w:rFonts w:ascii="Times New Roman" w:hAnsi="Times New Roman" w:cs="Times New Roman" w:eastAsia="宋体"/>
                <w:b w:val="0"/>
                <w:color w:val="000000"/>
                <w:sz w:val="20"/>
              </w:rPr>
              <w:t>Canvas</w:t>
            </w:r>
          </w:p>
        </w:tc>
        <w:tc>
          <w:tcPr>
            <w:tcW w:type="dxa" w:w="3888"/>
            <w:vAlign w:val="center"/>
            <w:shd w:fill="FFFFFF"/>
          </w:tcPr>
          <w:p>
            <w:pPr>
              <w:spacing w:after="0" w:line="286" w:lineRule="exact"/>
              <w:jc w:val="left"/>
            </w:pPr>
            <w:r>
              <w:rPr>
                <w:rFonts w:ascii="Times New Roman" w:hAnsi="Times New Roman" w:cs="Times New Roman" w:eastAsia="宋体"/>
                <w:b w:val="0"/>
                <w:color w:val="000000"/>
                <w:sz w:val="20"/>
              </w:rPr>
              <w:t>Mastery Paths 按成绩条件分配学习内容。</w:t>
            </w:r>
          </w:p>
        </w:tc>
        <w:tc>
          <w:tcPr>
            <w:tcW w:type="dxa" w:w="4723"/>
            <w:vAlign w:val="center"/>
            <w:shd w:fill="FFFFFF"/>
          </w:tcPr>
          <w:p>
            <w:pPr>
              <w:spacing w:after="0" w:line="286" w:lineRule="exact"/>
              <w:jc w:val="left"/>
            </w:pPr>
            <w:r>
              <w:rPr>
                <w:rFonts w:ascii="Times New Roman" w:hAnsi="Times New Roman" w:cs="Times New Roman" w:eastAsia="宋体"/>
                <w:b w:val="0"/>
                <w:color w:val="000000"/>
                <w:sz w:val="20"/>
              </w:rPr>
              <w:t>采用可解释的规则，推荐基础复习或拓展内容，先支持有限分支。</w:t>
            </w:r>
          </w:p>
        </w:tc>
      </w:tr>
      <w:tr>
        <w:trPr>
          <w:cantSplit/>
        </w:trPr>
        <w:tc>
          <w:tcPr>
            <w:tcW w:type="dxa" w:w="1440"/>
            <w:vAlign w:val="center"/>
            <w:shd w:fill="FCF6F7"/>
          </w:tcPr>
          <w:p>
            <w:pPr>
              <w:spacing w:after="0" w:line="286" w:lineRule="exact"/>
              <w:jc w:val="center"/>
            </w:pPr>
            <w:r>
              <w:rPr>
                <w:rFonts w:ascii="Times New Roman" w:hAnsi="Times New Roman" w:cs="Times New Roman" w:eastAsia="宋体"/>
                <w:b w:val="0"/>
                <w:color w:val="000000"/>
                <w:sz w:val="20"/>
              </w:rPr>
              <w:t>Khanmigo</w:t>
            </w:r>
          </w:p>
        </w:tc>
        <w:tc>
          <w:tcPr>
            <w:tcW w:type="dxa" w:w="3888"/>
            <w:vAlign w:val="center"/>
            <w:shd w:fill="FCF6F7"/>
          </w:tcPr>
          <w:p>
            <w:pPr>
              <w:spacing w:after="0" w:line="286" w:lineRule="exact"/>
              <w:jc w:val="left"/>
            </w:pPr>
            <w:r>
              <w:rPr>
                <w:rFonts w:ascii="Times New Roman" w:hAnsi="Times New Roman" w:cs="Times New Roman" w:eastAsia="宋体"/>
                <w:b w:val="0"/>
                <w:color w:val="000000"/>
                <w:sz w:val="20"/>
              </w:rPr>
              <w:t>用提问与提示引导学习者逐步思考。</w:t>
            </w:r>
          </w:p>
        </w:tc>
        <w:tc>
          <w:tcPr>
            <w:tcW w:type="dxa" w:w="4723"/>
            <w:vAlign w:val="center"/>
            <w:shd w:fill="FCF6F7"/>
          </w:tcPr>
          <w:p>
            <w:pPr>
              <w:spacing w:after="0" w:line="286" w:lineRule="exact"/>
              <w:jc w:val="left"/>
            </w:pPr>
            <w:r>
              <w:rPr>
                <w:rFonts w:ascii="Times New Roman" w:hAnsi="Times New Roman" w:cs="Times New Roman" w:eastAsia="宋体"/>
                <w:b w:val="0"/>
                <w:color w:val="000000"/>
                <w:sz w:val="20"/>
              </w:rPr>
              <w:t>在当前单元和学生已有尝试的上下文中辅导，保留资料出处与提示层级。</w:t>
            </w:r>
          </w:p>
        </w:tc>
      </w:tr>
    </w:tbl>
    <w:p>
      <w:pPr>
        <w:spacing w:after="40"/>
      </w:pPr>
      <w:r>
        <w:rPr>
          <w:rFonts w:ascii="Times New Roman" w:hAnsi="Times New Roman" w:cs="Times New Roman" w:eastAsia="宋体"/>
          <w:b w:val="0"/>
          <w:color w:val="000000"/>
          <w:sz w:val="22"/>
        </w:rPr>
      </w:r>
    </w:p>
    <w:p>
      <w:pPr>
        <w:pStyle w:val="Heading2"/>
      </w:pPr>
      <w:r>
        <w:rPr>
          <w:rFonts w:ascii="Times New Roman" w:hAnsi="Times New Roman" w:cs="Times New Roman" w:eastAsia="宋体"/>
        </w:rPr>
        <w:t>工程化重点</w:t>
      </w:r>
    </w:p>
    <w:p>
      <w:pPr>
        <w:spacing w:after="120"/>
      </w:pPr>
      <w:r>
        <w:rPr>
          <w:rFonts w:ascii="Times New Roman" w:hAnsi="Times New Roman" w:cs="Times New Roman" w:eastAsia="宋体"/>
          <w:b w:val="0"/>
          <w:color w:val="000000"/>
          <w:sz w:val="22"/>
        </w:rPr>
        <w:t>业务规则与 AI 生成分开，避免模型直接决定得分；学习材料、题目与作答保留关联，便于解释反馈；权限、重复提交和故障路径纳入规约。小组工程活动中的代码、测试与版本管理用于实现教学平台，不作为平台面向学生的教学业务。</w:t>
      </w:r>
    </w:p>
    <w:p>
      <w:pPr>
        <w:pStyle w:val="Heading2"/>
      </w:pPr>
      <w:r>
        <w:rPr>
          <w:rFonts w:ascii="Times New Roman" w:hAnsi="Times New Roman" w:cs="Times New Roman" w:eastAsia="宋体"/>
        </w:rPr>
        <w:t>参考资料</w:t>
      </w:r>
    </w:p>
    <w:p>
      <w:pPr>
        <w:spacing w:after="100" w:line="276" w:lineRule="auto"/>
      </w:pPr>
      <w:hyperlink r:id="rId10">
        <w:r>
          <w:rPr>
            <w:color w:val="8C0015"/>
            <w:sz w:val="20"/>
            <w:rFonts w:eastAsia="宋体" w:ascii="Times New Roman" w:hAnsi="Times New Roman" w:cs="Times New Roman"/>
          </w:rPr>
          <w:t>[1] 互联网软件课程 分组要求与课程安排</w:t>
        </w:r>
      </w:hyperlink>
    </w:p>
    <w:p>
      <w:pPr>
        <w:spacing w:after="100" w:line="276" w:lineRule="auto"/>
      </w:pPr>
      <w:hyperlink r:id="rId11">
        <w:r>
          <w:rPr>
            <w:color w:val="8C0015"/>
            <w:sz w:val="20"/>
            <w:rFonts w:eastAsia="宋体" w:ascii="Times New Roman" w:hAnsi="Times New Roman" w:cs="Times New Roman"/>
          </w:rPr>
          <w:t>[2] Moodle Activity completion</w:t>
        </w:r>
      </w:hyperlink>
    </w:p>
    <w:p>
      <w:pPr>
        <w:spacing w:after="100" w:line="276" w:lineRule="auto"/>
      </w:pPr>
      <w:hyperlink r:id="rId12">
        <w:r>
          <w:rPr>
            <w:color w:val="8C0015"/>
            <w:sz w:val="20"/>
            <w:rFonts w:eastAsia="宋体" w:ascii="Times New Roman" w:hAnsi="Times New Roman" w:cs="Times New Roman"/>
          </w:rPr>
          <w:t>[3] Moodle Quiz activity</w:t>
        </w:r>
      </w:hyperlink>
    </w:p>
    <w:p>
      <w:pPr>
        <w:spacing w:after="100" w:line="276" w:lineRule="auto"/>
      </w:pPr>
      <w:hyperlink r:id="rId13">
        <w:r>
          <w:rPr>
            <w:color w:val="8C0015"/>
            <w:sz w:val="20"/>
            <w:rFonts w:eastAsia="宋体" w:ascii="Times New Roman" w:hAnsi="Times New Roman" w:cs="Times New Roman"/>
          </w:rPr>
          <w:t>[4] Canvas How do I use Mastery Paths in course modules</w:t>
        </w:r>
      </w:hyperlink>
    </w:p>
    <w:p>
      <w:pPr>
        <w:spacing w:after="100" w:line="276" w:lineRule="auto"/>
      </w:pPr>
      <w:hyperlink r:id="rId14">
        <w:r>
          <w:rPr>
            <w:color w:val="8C0015"/>
            <w:sz w:val="20"/>
            <w:rFonts w:eastAsia="宋体" w:ascii="Times New Roman" w:hAnsi="Times New Roman" w:cs="Times New Roman"/>
          </w:rPr>
          <w:t>[5] Khanmigo for learners</w:t>
        </w:r>
      </w:hyperlink>
    </w:p>
    <w:p>
      <w:pPr>
        <w:spacing w:after="120"/>
      </w:pPr>
      <w:r>
        <w:rPr>
          <w:rFonts w:ascii="Times New Roman" w:hAnsi="Times New Roman" w:cs="Times New Roman" w:eastAsia="宋体"/>
          <w:b w:val="0"/>
          <w:color w:val="555555"/>
          <w:sz w:val="18"/>
        </w:rPr>
        <w:t>资料核对日期  2026年10月14日。行业产品用于借鉴教学设计，本项目基于现有 CampusClaw 独立实现。</w:t>
      </w:r>
    </w:p>
    <w:sectPr w:rsidR="00FC693F" w:rsidRPr="0006063C" w:rsidSect="00034616">
      <w:footerReference w:type="default" r:id="rId9"/>
      <w:pgSz w:w="12240" w:h="15840"/>
      <w:pgMar w:top="1008" w:right="1094" w:bottom="936" w:left="1094" w:header="432" w:footer="432" w:gutter="0"/>
      <w:cols w:space="720"/>
      <w:docGrid w:linePitch="360"/>
    </w:sectPr>
  </w:body>
</w:document>
</file>

<file path=word/fontTable.xml><?xml version="1.0" encoding="utf-8"?>
<w:fonts xmlns:w="http://schemas.openxmlformats.org/wordprocessingml/2006/main" xmlns:r="http://schemas.openxmlformats.org/officeDocument/2006/relationships">
  <w:font w:name="Times New Roman">
    <w:family w:val="roman"/>
    <w:embedRegular r:id="rIdFont1" w:fontKey="{863DEA3B-8134-42A6-B107-AE71FA5E2FBC}"/>
    <w:embedBold r:id="rIdFont2" w:fontKey="{4938832B-2EA6-489A-9808-4EED84C84DEC}"/>
  </w:font>
  <w:font w:name="宋体">
    <w:family w:val="roman"/>
    <w:embedRegular r:id="rIdFont3" w:fontKey="{BF98A473-2370-4CCE-B538-4B55C8DAD9B0}"/>
  </w:font>
  <w:font w:name="Cambria Math">
    <w:family w:val="roman"/>
    <w:embedRegular r:id="rIdFont4" w:fontKey="{DCA82A7C-6CC2-4D12-83DB-0BC0C78FACC7}"/>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s="Times New Roman" w:eastAsia="宋体"/>
        <w:b w:val="0"/>
        <w:color w:val="000000"/>
        <w:sz w:val="17"/>
      </w:rPr>
      <w:t xml:space="preserve">CampusClaw   小组项目选题说明   </w:t>
    </w:r>
    <w:r>
      <w:rPr>
        <w:rFonts w:ascii="Times New Roman" w:hAnsi="Times New Roman" w:cs="Times New Roman" w:eastAsia="宋体"/>
        <w:b w:val="0"/>
        <w:color w:val="000000"/>
        <w:sz w:val="17"/>
      </w:rPr>
    </w:r>
    <w:fldSimple w:instr="PAGE">
      <w:r>
        <w:rPr>
          <w:rFonts w:ascii="Times New Roman" w:hAnsi="Times New Roman" w:cs="Times New Roman" w:eastAsia="宋体"/>
        </w:rPr>
        <w:t>1</w:t>
      </w:r>
    </w:fldSimple>
    <w:r>
      <w:rPr>
        <w:rFonts w:ascii="Times New Roman" w:hAnsi="Times New Roman" w:cs="Times New Roman" w:eastAsia="宋体"/>
        <w:b w:val="0"/>
        <w:color w:val="000000"/>
        <w:sz w:val="17"/>
      </w:rPr>
      <w:t xml:space="preserve"> / </w:t>
    </w:r>
    <w:r>
      <w:rPr>
        <w:rFonts w:ascii="Times New Roman" w:hAnsi="Times New Roman" w:cs="Times New Roman" w:eastAsia="宋体"/>
        <w:b w:val="0"/>
        <w:color w:val="000000"/>
        <w:sz w:val="17"/>
      </w:rPr>
    </w:r>
    <w:fldSimple w:instr="NUMPAGES">
      <w:r>
        <w:rPr>
          <w:rFonts w:ascii="Times New Roman" w:hAnsi="Times New Roman" w:cs="Times New Roman" w:eastAsia="宋体"/>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hint="default" w:cs="Times New Roman" w:eastAsia="宋体"/>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hint="default" w:cs="Times New Roman" w:eastAsia="宋体"/>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hint="default" w:cs="Times New Roman" w:eastAsia="宋体"/>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hint="default" w:cs="Times New Roman" w:eastAsia="宋体"/>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embedTrueTypeFonts/>
  <w:saveSubsetFont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cs="Times New Roman"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20" w:lineRule="exact" w:after="100"/>
      <w:snapToGrid w:val="0"/>
    </w:pPr>
    <w:rPr>
      <w:rFonts w:ascii="Times New Roman" w:hAnsi="Times New Roman" w:cs="Times New Roman"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80" w:line="500" w:lineRule="exact"/>
      <w:outlineLvl w:val="0"/>
      <w:snapToGrid w:val="0"/>
    </w:pPr>
    <w:rPr>
      <w:rFonts w:ascii="Times New Roman" w:hAnsi="Times New Roman" w:cs="Times New Roman" w:eastAsia="宋体"/>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80" w:after="100" w:line="360" w:lineRule="exact"/>
      <w:outlineLvl w:val="1"/>
      <w:snapToGrid w:val="0"/>
    </w:pPr>
    <w:rPr>
      <w:rFonts w:ascii="Times New Roman" w:hAnsi="Times New Roman" w:cs="Times New Roman" w:eastAsia="宋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200" w:after="100" w:line="320" w:lineRule="exact"/>
      <w:outlineLvl w:val="2"/>
      <w:snapToGrid w:val="0"/>
    </w:pPr>
    <w:rPr>
      <w:rFonts w:ascii="Times New Roman" w:hAnsi="Times New Roman" w:cs="Times New Roman" w:eastAsia="宋体"/>
      <w:b w:val="0"/>
      <w:bCs/>
      <w:i w:val="0"/>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宋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宋体"/>
      <w:b/>
      <w:bCs/>
      <w:color w:val="4F81BD" w:themeColor="accent1"/>
    </w:rPr>
  </w:style>
  <w:style w:type="paragraph" w:styleId="Title">
    <w:name w:val="Title"/>
    <w:basedOn w:val="Normal"/>
    <w:next w:val="Normal"/>
    <w:link w:val="TitleChar"/>
    <w:uiPriority w:val="10"/>
    <w:qFormat/>
    <w:rsid w:val="00FC693F"/>
    <w:pPr>
      <w:widowControl/>
      <w:spacing w:after="160" w:line="660" w:lineRule="exact"/>
      <w:contextualSpacing/>
      <w:snapToGrid w:val="0"/>
    </w:pPr>
    <w:rPr>
      <w:rFonts w:ascii="Times New Roman" w:hAnsi="Times New Roman" w:cs="Times New Roman" w:eastAsia="宋体"/>
      <w:b/>
      <w:i w:val="0"/>
      <w:color w:val="000000"/>
      <w:spacing w:val="5"/>
      <w:kern w:val="28"/>
      <w:sz w:val="50"/>
      <w:szCs w:val="52"/>
    </w:rPr>
  </w:style>
  <w:style w:type="character" w:customStyle="1" w:styleId="TitleChar">
    <w:name w:val="Title Char"/>
    <w:basedOn w:val="DefaultParagraphFont"/>
    <w:link w:val="Title"/>
    <w:uiPriority w:val="10"/>
    <w:rsid w:val="00FC693F"/>
    <w:rPr>
      <w:rFonts w:ascii="Times New Roman" w:hAnsi="Times New Roman" w:cs="Times New Roman" w:eastAsia="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line="320" w:lineRule="exact" w:after="100"/>
      <w:snapToGrid w:val="0"/>
    </w:pPr>
    <w:rPr>
      <w:rFonts w:ascii="Times New Roman" w:hAnsi="Times New Roman" w:cs="Times New Roman" w:eastAsia="宋体"/>
      <w:b w:val="0"/>
      <w:i w:val="0"/>
      <w:iCs/>
      <w:color w:val="000000"/>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00" w:line="320" w:lineRule="exact"/>
      <w:snapToGrid w:val="0"/>
    </w:pPr>
    <w:rPr>
      <w:rFonts w:ascii="Times New Roman" w:hAnsi="Times New Roman" w:cs="Times New Roman" w:eastAsia="宋体"/>
      <w:b w:val="0"/>
      <w:i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宋体"/>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宋体"/>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宋体"/>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宋体"/>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宋体"/>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cs="Times New Roman" w:eastAsia="宋体"/>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cs="Times New Roman" w:eastAsia="宋体"/>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cs="Times New Roman" w:eastAsia="宋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cs="Times New Roman" w:eastAsia="宋体"/>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cs="Times New Roman" w:eastAsia="宋体"/>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s="Times New Roman" w:eastAsia="宋体"/>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cs="Times New Roman" w:eastAsia="宋体"/>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cs="Times New Roman" w:eastAsia="宋体"/>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s="Times New Roman" w:eastAsia="宋体"/>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cs="Times New Roman" w:eastAsia="宋体"/>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cs="Times New Roman" w:eastAsia="宋体"/>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cs="Times New Roman" w:eastAsia="宋体"/>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cs="Times New Roman" w:eastAsia="宋体"/>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cs="Times New Roman" w:eastAsia="宋体"/>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cs="Times New Roman" w:eastAsia="宋体"/>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cs="Times New Roman" w:eastAsia="宋体"/>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cs="Times New Roman" w:eastAsia="宋体"/>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s="Times New Roman" w:eastAsia="宋体"/>
      <w:sz w:val="20"/>
      <w:szCs w:val="20"/>
    </w:rPr>
  </w:style>
  <w:style w:type="character" w:customStyle="1" w:styleId="MacroTextChar">
    <w:name w:val="Macro Text Char"/>
    <w:basedOn w:val="DefaultParagraphFont"/>
    <w:link w:val="MacroText"/>
    <w:uiPriority w:val="99"/>
    <w:rsid w:val="0029639D"/>
    <w:rPr>
      <w:rFonts w:ascii="Times New Roman" w:hAnsi="Times New Roman" w:cs="Times New Roman" w:eastAsia="宋体"/>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cs="Times New Roman" w:eastAsia="宋体"/>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s="Times New Roman" w:eastAsia="宋体"/>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cs="Times New Roman" w:eastAsia="宋体"/>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cs="Times New Roman" w:eastAsia="宋体"/>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s="Times New Roman" w:eastAsia="宋体"/>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cs="Times New Roman" w:eastAsia="宋体"/>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cs="Times New Roman" w:eastAsia="宋体"/>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cs="Times New Roman" w:eastAsia="宋体"/>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cs="Times New Roman" w:eastAsia="宋体"/>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cs="Times New Roman" w:eastAsia="宋体"/>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cs="Times New Roman" w:eastAsia="宋体"/>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cs="Times New Roman" w:eastAsia="宋体"/>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cs="Times New Roman" w:eastAsia="宋体"/>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cs="Times New Roman" w:eastAsia="宋体"/>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cs="Times New Roman" w:eastAsia="宋体"/>
        <w:b/>
        <w:bCs/>
      </w:rPr>
    </w:tblStylePr>
    <w:tblStylePr w:type="lastCol">
      <w:rPr>
        <w:rFonts w:ascii="Times New Roman" w:hAnsi="Times New Roman" w:cs="Times New Roman" w:eastAsia="宋体"/>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cs="Times New Roman" w:eastAsia="宋体"/>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s="Times New Roman" w:eastAsia="宋体"/>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ops.hello1023.com/index.html#schedule" TargetMode="External"/><Relationship Id="rId11" Type="http://schemas.openxmlformats.org/officeDocument/2006/relationships/hyperlink" Target="https://docs.moodle.org/en/Activity_completion" TargetMode="External"/><Relationship Id="rId12" Type="http://schemas.openxmlformats.org/officeDocument/2006/relationships/hyperlink" Target="https://docs.moodle.org/en/Quiz_activity" TargetMode="External"/><Relationship Id="rId13" Type="http://schemas.openxmlformats.org/officeDocument/2006/relationships/hyperlink" Target="https://community.instructure.com/en/kb/articles/660914-how-do-i-use-mastery-paths-in-course-modules" TargetMode="External"/><Relationship Id="rId14" Type="http://schemas.openxmlformats.org/officeDocument/2006/relationships/hyperlink" Target="https://www.khanmigo.ai/learners" TargetMode="External"/></Relationships>
</file>

<file path=word/_rels/fontTable.xml.rels><?xml version='1.0' encoding='UTF-8' standalone='yes'?>
<Relationships xmlns="http://schemas.openxmlformats.org/package/2006/relationships"><Relationship Id="rIdFont1" Type="http://schemas.openxmlformats.org/officeDocument/2006/relationships/font" Target="fonts/font1.odttf"/><Relationship Id="rIdFont2" Type="http://schemas.openxmlformats.org/officeDocument/2006/relationships/font" Target="fonts/font2.odttf"/><Relationship Id="rIdFont3" Type="http://schemas.openxmlformats.org/officeDocument/2006/relationships/font" Target="fonts/font3.odttf"/><Relationship Id="rIdFont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宋体"/>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宋体"/>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CampusClaw 课程学习任务与个性化辅学平台 小组项目选题说明</dc:title>
  <dc:subject>教学平台功能扩展与两人交叉验收</dc:subject>
  <dc:creator>李非凡 陈志康</dc:creator>
  <cp:keywords/>
  <dc:description>generated by python-docx</dc:description>
  <cp:lastModifiedBy/>
  <cp:revision>1</cp:revision>
  <dcterms:created xsi:type="dcterms:W3CDTF">2013-12-23T23:15:00Z</dcterms:created>
  <dcterms:modified xsi:type="dcterms:W3CDTF">2013-12-23T23:15:00Z</dcterms:modified>
  <cp:category/>
</cp:coreProperties>
</file>