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6793">
      <w:pPr>
        <w:jc w:val="center"/>
      </w:pPr>
      <w:r>
        <w:rPr>
          <w:b/>
          <w:color w:val="1F4E79"/>
          <w:sz w:val="40"/>
        </w:rPr>
        <w:t>0930 课后任务</w:t>
      </w:r>
      <w:r>
        <w:rPr>
          <w:b/>
          <w:color w:val="1F4E79"/>
          <w:sz w:val="40"/>
        </w:rPr>
        <w:br w:type="textWrapping"/>
      </w:r>
      <w:r>
        <w:rPr>
          <w:b/>
          <w:sz w:val="36"/>
        </w:rPr>
        <w:t>整理身份认证以及知识库问答的实现方案</w:t>
      </w:r>
    </w:p>
    <w:p w14:paraId="72DAB620">
      <w:pPr>
        <w:pStyle w:val="3"/>
      </w:pPr>
      <w:bookmarkStart w:id="0" w:name="_GoBack"/>
      <w:bookmarkEnd w:id="0"/>
      <w:r>
        <w:t>一、任务理解与方案范围</w:t>
      </w:r>
    </w:p>
    <w:p w14:paraId="7C2DFD54">
      <w:r>
        <w:t>本方案结合 CampusClaw 当前前后端代码，梳理两条实现链路：一是基于 JWT 的用户身份认证与课程级授权；二是基于课程资料知识库的检索增强问答（RAG）。文档区分“代码中已经实现的机制”和“需要外部服务配置或进一步验证的部分”。</w:t>
      </w:r>
    </w:p>
    <w:p w14:paraId="53FC524C">
      <w:pPr>
        <w:pStyle w:val="16"/>
      </w:pPr>
      <w:r>
        <w:t>认证目标：邮箱验证码注册、密码登录、刷新令牌、退出和密码重置。</w:t>
      </w:r>
    </w:p>
    <w:p w14:paraId="5250ACAF">
      <w:pPr>
        <w:pStyle w:val="16"/>
      </w:pPr>
      <w:r>
        <w:t>授权目标：所有业务 API 以登录身份为入口，再按课程 Membership 判断教师或学生权限。</w:t>
      </w:r>
    </w:p>
    <w:p w14:paraId="13074A3B">
      <w:pPr>
        <w:pStyle w:val="16"/>
      </w:pPr>
      <w:r>
        <w:t>知识库目标：课程资料抽取文本、切片、生成向量，在课程范围内检索，并把检索片段作为回答依据返回引用。</w:t>
      </w:r>
    </w:p>
    <w:p w14:paraId="2FF7F363">
      <w:pPr>
        <w:pStyle w:val="16"/>
      </w:pPr>
      <w:r>
        <w:t>当前边界：默认模型提供方为 mock；真实大模型和嵌入服务是否可用，取决于环境变量和服务端配置。</w:t>
      </w:r>
    </w:p>
    <w:p w14:paraId="791407F6">
      <w:pPr>
        <w:pStyle w:val="3"/>
      </w:pPr>
      <w:r>
        <w:t>二、整体架构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545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FF9A2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7D29E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主要实现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8B97D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 w14:paraId="70D7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5B7E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w="3312" w:type="dxa"/>
            <w:vAlign w:val="center"/>
          </w:tcPr>
          <w:p w14:paraId="079C70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Vue 3 + TypeScript；frontend/src/auth.ts、api.ts</w:t>
            </w:r>
          </w:p>
        </w:tc>
        <w:tc>
          <w:tcPr>
            <w:tcW w:w="3312" w:type="dxa"/>
            <w:vAlign w:val="center"/>
          </w:tcPr>
          <w:p w14:paraId="64A9D4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保存登录状态、自动刷新 access token、为业务请求添加 Bearer 头；展示课程 Agent 对话和引用。</w:t>
            </w:r>
          </w:p>
        </w:tc>
      </w:tr>
      <w:tr w14:paraId="0814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06A16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 API</w:t>
            </w:r>
          </w:p>
        </w:tc>
        <w:tc>
          <w:tcPr>
            <w:tcW w:w="3312" w:type="dxa"/>
            <w:vAlign w:val="center"/>
          </w:tcPr>
          <w:p w14:paraId="50180E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Django + Django REST Framework</w:t>
            </w:r>
          </w:p>
        </w:tc>
        <w:tc>
          <w:tcPr>
            <w:tcW w:w="3312" w:type="dxa"/>
            <w:vAlign w:val="center"/>
          </w:tcPr>
          <w:p w14:paraId="36AB2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用户、课程、资料、作业、Agent 线程及权限校验；签发和校验 JWT。</w:t>
            </w:r>
          </w:p>
        </w:tc>
      </w:tr>
      <w:tr w14:paraId="2939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B4D9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认证组件</w:t>
            </w:r>
          </w:p>
        </w:tc>
        <w:tc>
          <w:tcPr>
            <w:tcW w:w="3312" w:type="dxa"/>
            <w:vAlign w:val="center"/>
          </w:tcPr>
          <w:p w14:paraId="03287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djangorestframework-simplejwt + token_blacklist</w:t>
            </w:r>
          </w:p>
        </w:tc>
        <w:tc>
          <w:tcPr>
            <w:tcW w:w="3312" w:type="dxa"/>
            <w:vAlign w:val="center"/>
          </w:tcPr>
          <w:p w14:paraId="6A503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 access/refresh，轮换 refresh，注销时加入黑名单。</w:t>
            </w:r>
          </w:p>
        </w:tc>
      </w:tr>
      <w:tr w14:paraId="026B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DFDD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</w:r>
          </w:p>
        </w:tc>
        <w:tc>
          <w:tcPr>
            <w:tcW w:w="3312" w:type="dxa"/>
            <w:vAlign w:val="center"/>
          </w:tcPr>
          <w:p w14:paraId="23DA1A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PostgreSQL（生产）；SQLite（未设置 POSTGRES_HOST 时的本地回退）</w:t>
            </w:r>
          </w:p>
        </w:tc>
        <w:tc>
          <w:tcPr>
            <w:tcW w:w="3312" w:type="dxa"/>
            <w:vAlign w:val="center"/>
          </w:tcPr>
          <w:p w14:paraId="0A9F5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保存用户、成员关系、资料、知识条目、切片、向量、对话和运行事件。</w:t>
            </w:r>
          </w:p>
        </w:tc>
      </w:tr>
      <w:tr w14:paraId="37A7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26F6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模型服务</w:t>
            </w:r>
          </w:p>
        </w:tc>
        <w:tc>
          <w:tcPr>
            <w:tcW w:w="3312" w:type="dxa"/>
            <w:vAlign w:val="center"/>
          </w:tcPr>
          <w:p w14:paraId="4CAE8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MODEL_* 与 EMBEDDING_* 环境变量</w:t>
            </w:r>
          </w:p>
        </w:tc>
        <w:tc>
          <w:tcPr>
            <w:tcW w:w="3312" w:type="dxa"/>
            <w:vAlign w:val="center"/>
          </w:tcPr>
          <w:p w14:paraId="41945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负责流式回答和文本嵌入；未配置时可使用 mock 验证流程，但不能代表真实模型效果。</w:t>
            </w:r>
          </w:p>
        </w:tc>
      </w:tr>
    </w:tbl>
    <w:p w14:paraId="5F55D65F"/>
    <w:p w14:paraId="6DCA9FF2">
      <w:pPr>
        <w:pStyle w:val="3"/>
      </w:pPr>
      <w:r>
        <w:t>三、基于 Token 的身份认证方案</w:t>
      </w:r>
    </w:p>
    <w:p w14:paraId="4C460D70">
      <w:pPr>
        <w:pStyle w:val="4"/>
      </w:pPr>
      <w:r>
        <w:t>3.1 Token 组成与生命周期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58D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D336A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Token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FD4D7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保存位置/用途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A02A8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当前配置</w:t>
            </w:r>
          </w:p>
        </w:tc>
      </w:tr>
      <w:tr w14:paraId="0D93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F8C3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Access token</w:t>
            </w:r>
          </w:p>
        </w:tc>
        <w:tc>
          <w:tcPr>
            <w:tcW w:w="3312" w:type="dxa"/>
            <w:vAlign w:val="center"/>
          </w:tcPr>
          <w:p w14:paraId="5B621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前端仅保存在内存；请求时放入 Authorization: Bearer &lt;token&gt;</w:t>
            </w:r>
          </w:p>
        </w:tc>
        <w:tc>
          <w:tcPr>
            <w:tcW w:w="3312" w:type="dxa"/>
            <w:vAlign w:val="center"/>
          </w:tcPr>
          <w:p w14:paraId="5C1343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有效期 5 分钟；用于访问业务 API。</w:t>
            </w:r>
          </w:p>
        </w:tc>
      </w:tr>
      <w:tr w14:paraId="3C7F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E52A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Refresh token</w:t>
            </w:r>
          </w:p>
        </w:tc>
        <w:tc>
          <w:tcPr>
            <w:tcW w:w="3312" w:type="dxa"/>
            <w:vAlign w:val="center"/>
          </w:tcPr>
          <w:p w14:paraId="23A60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当前标签页 sessionStorage；只用于换取新的 token 对</w:t>
            </w:r>
          </w:p>
        </w:tc>
        <w:tc>
          <w:tcPr>
            <w:tcW w:w="3312" w:type="dxa"/>
            <w:vAlign w:val="center"/>
          </w:tcPr>
          <w:p w14:paraId="0C3EAD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有效期 7 天；刷新时轮换；旧 refresh 会被加入黑名单。</w:t>
            </w:r>
          </w:p>
        </w:tc>
      </w:tr>
      <w:tr w14:paraId="116D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2F16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密码</w:t>
            </w:r>
          </w:p>
        </w:tc>
        <w:tc>
          <w:tcPr>
            <w:tcW w:w="3312" w:type="dxa"/>
            <w:vAlign w:val="center"/>
          </w:tcPr>
          <w:p w14:paraId="6E973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Django 密码哈希；不以明文保存</w:t>
            </w:r>
          </w:p>
        </w:tc>
        <w:tc>
          <w:tcPr>
            <w:tcW w:w="3312" w:type="dxa"/>
            <w:vAlign w:val="center"/>
          </w:tcPr>
          <w:p w14:paraId="4099B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密码重置后旧 access token 会因密码哈希校验失效。</w:t>
            </w:r>
          </w:p>
        </w:tc>
      </w:tr>
    </w:tbl>
    <w:p w14:paraId="79E938FC"/>
    <w:p w14:paraId="6AEA937B">
      <w:r>
        <w:t>后端在 settings.py 中配置 JWTAuthentication、Bearer 头、短期 access token、长期 refresh token、轮换与黑名单。前端在收到 401 时尝试刷新 access token，再重试原请求；退出时提交 refresh token，后端验证其 user_id 属于当前用户后执行 blacklist。</w:t>
      </w:r>
    </w:p>
    <w:p w14:paraId="48D7AF60">
      <w:pPr>
        <w:pStyle w:val="4"/>
      </w:pPr>
      <w:r>
        <w:t>3.2 注册、登录、退出流程</w:t>
      </w:r>
    </w:p>
    <w:p w14:paraId="644AEF94">
      <w:pPr>
        <w:pStyle w:val="14"/>
      </w:pPr>
      <w:r>
        <w:t>发送验证码：POST /api/auth/code/，purpose=register 或 reset。验证码随机生成，数据库只保存哈希；验证码有效期 10 分钟，60 秒内不能重复发送，最多尝试 5 次。</w:t>
      </w:r>
    </w:p>
    <w:p w14:paraId="4950092C">
      <w:pPr>
        <w:pStyle w:val="14"/>
      </w:pPr>
      <w:r>
        <w:t>邮箱注册：POST /api/auth/register/。服务端校验验证码、邮箱唯一性和 Django 密码策略，创建用户后直接返回 access/refresh。</w:t>
      </w:r>
    </w:p>
    <w:p w14:paraId="2E9AE68A">
      <w:pPr>
        <w:pStyle w:val="14"/>
      </w:pPr>
      <w:r>
        <w:t>密码登录：POST /api/auth/login/。使用 Django authenticate 校验邮箱和密码，成功后签发新的 token 对。</w:t>
      </w:r>
    </w:p>
    <w:p w14:paraId="1300776D">
      <w:pPr>
        <w:pStyle w:val="14"/>
      </w:pPr>
      <w:r>
        <w:t>刷新：POST /api/auth/refresh/。SimpleJWT 校验 refresh 并轮换令牌；已黑名单的旧 refresh 不能再次使用。</w:t>
      </w:r>
    </w:p>
    <w:p w14:paraId="2F1E2BAD">
      <w:pPr>
        <w:pStyle w:val="14"/>
      </w:pPr>
      <w:r>
        <w:t>退出：POST /api/auth/logout/。校验 refresh 所属用户后拉黑；前端清理 sessionStorage 和内存 token。</w:t>
      </w:r>
    </w:p>
    <w:p w14:paraId="650D377D">
      <w:pPr>
        <w:pStyle w:val="14"/>
      </w:pPr>
      <w:r>
        <w:t>找回密码：POST /api/auth/code/（purpose=reset）后调用 POST /api/auth/reset/；重设密码并使旧 access token 失效。</w:t>
      </w:r>
    </w:p>
    <w:p w14:paraId="08FAA0C3">
      <w:pPr>
        <w:pStyle w:val="4"/>
      </w:pPr>
      <w:r>
        <w:t>3.3 课程级授权边界</w:t>
      </w:r>
    </w:p>
    <w:p w14:paraId="680D8E44">
      <w:r>
        <w:t>用户身份与课程角色分离：User 表代表账号，Membership 表代表用户在某一门 Course 中的角色。因而同一账号可以在课程 A 是教师，在课程 B 是学生。业务视图通过 member(user, course_id, role) 或课程成员检查函数进行授权。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AF9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AD561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00D0E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权限判断</w:t>
            </w:r>
          </w:p>
        </w:tc>
      </w:tr>
      <w:tr w14:paraId="2065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681B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查看课程资料、知识库搜索</w:t>
            </w:r>
          </w:p>
        </w:tc>
        <w:tc>
          <w:tcPr>
            <w:tcW w:w="4968" w:type="dxa"/>
            <w:vAlign w:val="center"/>
          </w:tcPr>
          <w:p w14:paraId="441AC2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必须是该课程 Membership 成员。</w:t>
            </w:r>
          </w:p>
        </w:tc>
      </w:tr>
      <w:tr w14:paraId="1F0C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8198F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创建课程</w:t>
            </w:r>
          </w:p>
        </w:tc>
        <w:tc>
          <w:tcPr>
            <w:tcW w:w="4968" w:type="dxa"/>
            <w:vAlign w:val="center"/>
          </w:tcPr>
          <w:p w14:paraId="597F5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用户需要兑换一次性、可过期的教师邀请码，获得 can_create_course 资格；创建后自动成为教师。</w:t>
            </w:r>
          </w:p>
        </w:tc>
      </w:tr>
      <w:tr w14:paraId="55A9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vAlign w:val="center"/>
          </w:tcPr>
          <w:p w14:paraId="7B926B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加入课程</w:t>
            </w:r>
          </w:p>
        </w:tc>
        <w:tc>
          <w:tcPr>
            <w:tcW w:w="4968" w:type="dxa"/>
            <w:vAlign w:val="center"/>
          </w:tcPr>
          <w:p w14:paraId="62228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凭课程码加入，角色固定为 student；重复成员关系由唯一约束和业务检查阻止。</w:t>
            </w:r>
          </w:p>
        </w:tc>
      </w:tr>
      <w:tr w14:paraId="3410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D07B4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上传/发布/重建索引</w:t>
            </w:r>
          </w:p>
        </w:tc>
        <w:tc>
          <w:tcPr>
            <w:tcW w:w="4968" w:type="dxa"/>
            <w:vAlign w:val="center"/>
          </w:tcPr>
          <w:p w14:paraId="01122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仅该课程教师。</w:t>
            </w:r>
          </w:p>
        </w:tc>
      </w:tr>
      <w:tr w14:paraId="645E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742AA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线程和附件</w:t>
            </w:r>
          </w:p>
        </w:tc>
        <w:tc>
          <w:tcPr>
            <w:tcW w:w="4968" w:type="dxa"/>
            <w:vAlign w:val="center"/>
          </w:tcPr>
          <w:p w14:paraId="7EFD3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线程属于创建者；课程线程还必须满足课程成员关系，附件必须属于当前用户及对应课程。</w:t>
            </w:r>
          </w:p>
        </w:tc>
      </w:tr>
      <w:tr w14:paraId="7CDF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0704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退出登录</w:t>
            </w:r>
          </w:p>
        </w:tc>
        <w:tc>
          <w:tcPr>
            <w:tcW w:w="4968" w:type="dxa"/>
            <w:vAlign w:val="center"/>
          </w:tcPr>
          <w:p w14:paraId="63BD9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不能注销其他用户的 refresh token。</w:t>
            </w:r>
          </w:p>
        </w:tc>
      </w:tr>
    </w:tbl>
    <w:p w14:paraId="5AC3290B"/>
    <w:p w14:paraId="77081FEF">
      <w:pPr>
        <w:pStyle w:val="4"/>
      </w:pPr>
      <w:r>
        <w:t>3.4 关键 API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2B6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3A95B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B577C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C8E9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0914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5996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/api/auth/code/</w:t>
            </w:r>
          </w:p>
        </w:tc>
        <w:tc>
          <w:tcPr>
            <w:tcW w:w="3312" w:type="dxa"/>
            <w:vAlign w:val="center"/>
          </w:tcPr>
          <w:p w14:paraId="0C7F4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3A653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发送注册或重置验证码。</w:t>
            </w:r>
          </w:p>
        </w:tc>
      </w:tr>
      <w:tr w14:paraId="4B539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73A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/api/auth/register/</w:t>
            </w:r>
          </w:p>
        </w:tc>
        <w:tc>
          <w:tcPr>
            <w:tcW w:w="3312" w:type="dxa"/>
            <w:vAlign w:val="center"/>
          </w:tcPr>
          <w:p w14:paraId="22441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7F201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验证码注册并返回 token 对。</w:t>
            </w:r>
          </w:p>
        </w:tc>
      </w:tr>
      <w:tr w14:paraId="0608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15DA4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/api/auth/login/</w:t>
            </w:r>
          </w:p>
        </w:tc>
        <w:tc>
          <w:tcPr>
            <w:tcW w:w="3312" w:type="dxa"/>
            <w:vAlign w:val="center"/>
          </w:tcPr>
          <w:p w14:paraId="64436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558FE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密码登录并返回 token 对。</w:t>
            </w:r>
          </w:p>
        </w:tc>
      </w:tr>
      <w:tr w14:paraId="5461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8BD1E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/api/auth/refresh/</w:t>
            </w:r>
          </w:p>
        </w:tc>
        <w:tc>
          <w:tcPr>
            <w:tcW w:w="3312" w:type="dxa"/>
            <w:vAlign w:val="center"/>
          </w:tcPr>
          <w:p w14:paraId="52EA04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78863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轮换 refresh，返回新 token 对。</w:t>
            </w:r>
          </w:p>
        </w:tc>
      </w:tr>
      <w:tr w14:paraId="558F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E0542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/api/auth/logout/</w:t>
            </w:r>
          </w:p>
        </w:tc>
        <w:tc>
          <w:tcPr>
            <w:tcW w:w="3312" w:type="dxa"/>
            <w:vAlign w:val="center"/>
          </w:tcPr>
          <w:p w14:paraId="0B441C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0F2A0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拉黑当前用户的 refresh。</w:t>
            </w:r>
          </w:p>
        </w:tc>
      </w:tr>
      <w:tr w14:paraId="47C65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D0EC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/api/auth/reset/</w:t>
            </w:r>
          </w:p>
        </w:tc>
        <w:tc>
          <w:tcPr>
            <w:tcW w:w="3312" w:type="dxa"/>
            <w:vAlign w:val="center"/>
          </w:tcPr>
          <w:p w14:paraId="1BBDC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1B528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验证码重置密码。</w:t>
            </w:r>
          </w:p>
        </w:tc>
      </w:tr>
      <w:tr w14:paraId="30B5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56DEF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/api/me/</w:t>
            </w:r>
          </w:p>
        </w:tc>
        <w:tc>
          <w:tcPr>
            <w:tcW w:w="3312" w:type="dxa"/>
            <w:vAlign w:val="center"/>
          </w:tcPr>
          <w:p w14:paraId="623FB9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312" w:type="dxa"/>
            <w:vAlign w:val="center"/>
          </w:tcPr>
          <w:p w14:paraId="1EAE7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获取当前账号信息。</w:t>
            </w:r>
          </w:p>
        </w:tc>
      </w:tr>
      <w:tr w14:paraId="5181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C1407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/api/teacher-invite/redeem/</w:t>
            </w:r>
          </w:p>
        </w:tc>
        <w:tc>
          <w:tcPr>
            <w:tcW w:w="3312" w:type="dxa"/>
            <w:vAlign w:val="center"/>
          </w:tcPr>
          <w:p w14:paraId="489D0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28E283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兑换教师邀请码。</w:t>
            </w:r>
          </w:p>
        </w:tc>
      </w:tr>
    </w:tbl>
    <w:p w14:paraId="76B92FFF"/>
    <w:p w14:paraId="13E87CEC">
      <w:pPr>
        <w:pStyle w:val="3"/>
      </w:pPr>
      <w:r>
        <w:t>四、基于知识库问答的实现方案</w:t>
      </w:r>
    </w:p>
    <w:p w14:paraId="6D4366DE">
      <w:pPr>
        <w:pStyle w:val="4"/>
      </w:pPr>
      <w:r>
        <w:t>4.1 数据模型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CBB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1E2FA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8E30E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核心字段/关系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55B1E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33A4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6CEA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Material</w:t>
            </w:r>
          </w:p>
        </w:tc>
        <w:tc>
          <w:tcPr>
            <w:tcW w:w="3312" w:type="dxa"/>
            <w:vAlign w:val="center"/>
          </w:tcPr>
          <w:p w14:paraId="36BCA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course、attachment、title</w:t>
            </w:r>
          </w:p>
        </w:tc>
        <w:tc>
          <w:tcPr>
            <w:tcW w:w="3312" w:type="dxa"/>
            <w:vAlign w:val="center"/>
          </w:tcPr>
          <w:p w14:paraId="116EB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课程资料业务对象。</w:t>
            </w:r>
          </w:p>
        </w:tc>
      </w:tr>
      <w:tr w14:paraId="1743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B5B69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KnowledgeEntry</w:t>
            </w:r>
          </w:p>
        </w:tc>
        <w:tc>
          <w:tcPr>
            <w:tcW w:w="3312" w:type="dxa"/>
            <w:vAlign w:val="center"/>
          </w:tcPr>
          <w:p w14:paraId="7B129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material 一对一、body_text、parser、status、content_hash</w:t>
            </w:r>
          </w:p>
        </w:tc>
        <w:tc>
          <w:tcPr>
            <w:tcW w:w="3312" w:type="dxa"/>
            <w:vAlign w:val="center"/>
          </w:tcPr>
          <w:p w14:paraId="4C7BD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记录资料解析结果和索引状态。</w:t>
            </w:r>
          </w:p>
        </w:tc>
      </w:tr>
      <w:tr w14:paraId="4DD7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16132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KnowledgeChunk</w:t>
            </w:r>
          </w:p>
        </w:tc>
        <w:tc>
          <w:tcPr>
            <w:tcW w:w="3312" w:type="dxa"/>
            <w:vAlign w:val="center"/>
          </w:tcPr>
          <w:p w14:paraId="2A0E6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entry、chunk_index、chunk_text、start_offset/end_offset</w:t>
            </w:r>
          </w:p>
        </w:tc>
        <w:tc>
          <w:tcPr>
            <w:tcW w:w="3312" w:type="dxa"/>
            <w:vAlign w:val="center"/>
          </w:tcPr>
          <w:p w14:paraId="0A11AF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保存文本切片及其原文位置。</w:t>
            </w:r>
          </w:p>
        </w:tc>
      </w:tr>
      <w:tr w14:paraId="0CDC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F407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ChunkEmbedding</w:t>
            </w:r>
          </w:p>
        </w:tc>
        <w:tc>
          <w:tcPr>
            <w:tcW w:w="3312" w:type="dxa"/>
            <w:vAlign w:val="center"/>
          </w:tcPr>
          <w:p w14:paraId="13E94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chunk 一对一、embedding、model、dimensions</w:t>
            </w:r>
          </w:p>
        </w:tc>
        <w:tc>
          <w:tcPr>
            <w:tcW w:w="3312" w:type="dxa"/>
            <w:vAlign w:val="center"/>
          </w:tcPr>
          <w:p w14:paraId="0242A8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 2048 维向量及嵌入模型信息。</w:t>
            </w:r>
          </w:p>
        </w:tc>
      </w:tr>
      <w:tr w14:paraId="6A0D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8C39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AgentThread/Message/Run/Event</w:t>
            </w:r>
          </w:p>
        </w:tc>
        <w:tc>
          <w:tcPr>
            <w:tcW w:w="3312" w:type="dxa"/>
            <w:vAlign w:val="center"/>
          </w:tcPr>
          <w:p w14:paraId="542EA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owner、course、role、content、citations、运行事件</w:t>
            </w:r>
          </w:p>
        </w:tc>
        <w:tc>
          <w:tcPr>
            <w:tcW w:w="3312" w:type="dxa"/>
            <w:vAlign w:val="center"/>
          </w:tcPr>
          <w:p w14:paraId="5AF7E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保存对话、回答引用、流式运行状态和工具调用。</w:t>
            </w:r>
          </w:p>
        </w:tc>
      </w:tr>
    </w:tbl>
    <w:p w14:paraId="70BDCB69"/>
    <w:p w14:paraId="0BAAE151">
      <w:pPr>
        <w:pStyle w:val="4"/>
      </w:pPr>
      <w:r>
        <w:t>4.2 入库与索引流程</w:t>
      </w:r>
    </w:p>
    <w:p w14:paraId="09E4C02E">
      <w:pPr>
        <w:pStyle w:val="14"/>
      </w:pPr>
      <w:r>
        <w:t>教师上传资料后，资料保存为统一附件记录；可调用资料或课程重建索引接口。</w:t>
      </w:r>
    </w:p>
    <w:p w14:paraId="61F81A09">
      <w:pPr>
        <w:pStyle w:val="14"/>
      </w:pPr>
      <w:r>
        <w:t>extract_text 按扩展名解析 TXT、Markdown、CSV、PDF、DOCX；图片可进入附件理解流程，但当前文本索引不从图片中提取正文。</w:t>
      </w:r>
    </w:p>
    <w:p w14:paraId="45AAC8BF">
      <w:pPr>
        <w:pStyle w:val="14"/>
      </w:pPr>
      <w:r>
        <w:t>文本按 auto 策略切片，默认最大约 800 字符、重叠约 80 字符，并记录每个切片的起止偏移。</w:t>
      </w:r>
    </w:p>
    <w:p w14:paraId="29B15655">
      <w:pPr>
        <w:pStyle w:val="14"/>
      </w:pPr>
      <w:r>
        <w:t>调用 EMBEDDING_BASE_URL/EMBEDDING_API_KEY/EMBEDDING_MODEL 对切片生成向量；默认要求 2048 维。</w:t>
      </w:r>
    </w:p>
    <w:p w14:paraId="5E00959E">
      <w:pPr>
        <w:pStyle w:val="14"/>
      </w:pPr>
      <w:r>
        <w:t>成功后写入 KnowledgeEntry、KnowledgeChunk 和 ChunkEmbedding，并标记 ready；失败时记录 failed 和 error_message，便于界面提示和重试。</w:t>
      </w:r>
    </w:p>
    <w:p w14:paraId="3C2713CF">
      <w:pPr>
        <w:pStyle w:val="4"/>
      </w:pPr>
      <w:r>
        <w:t>4.3 检索流程</w:t>
      </w:r>
    </w:p>
    <w:p w14:paraId="75F1D18E">
      <w:r>
        <w:t>knowledge_search 接口先检查当前用户是否属于课程，再按 mode 执行检索：keyword 使用 PostgreSQL 文本相似度；vector 使用余弦距离；hybrid 并行执行两者并通过 Reciprocal Rank Fusion（RRF）合并排序。所有查询都带 course_id 范围，因此不会把其他课程的资料混入结果。</w:t>
      </w:r>
    </w:p>
    <w:p w14:paraId="376D789F">
      <w:r>
        <w:t>每条命中结果包含资料标题、文件名、切片编号、原文偏移、摘要片段、下载地址和预览地址，可作为前端引用卡片的数据来源。</w:t>
      </w:r>
    </w:p>
    <w:p w14:paraId="57E28696">
      <w:pPr>
        <w:pStyle w:val="4"/>
      </w:pPr>
      <w:r>
        <w:t>4.4 问答与引用流程</w:t>
      </w:r>
    </w:p>
    <w:p w14:paraId="1D10002B">
      <w:pPr>
        <w:pStyle w:val="14"/>
      </w:pPr>
      <w:r>
        <w:t>前端创建课程 Agent 线程，并通过 POST /api/agent/threads/{id}/messages/stream/ 发送消息。</w:t>
      </w:r>
    </w:p>
    <w:p w14:paraId="7189FCEE">
      <w:pPr>
        <w:pStyle w:val="14"/>
      </w:pPr>
      <w:r>
        <w:t>只有请求 use_course_materials=true 且线程属于课程时才检索课程资料；普通对话不会自动查询知识库。</w:t>
      </w:r>
    </w:p>
    <w:p w14:paraId="2D32E406">
      <w:pPr>
        <w:pStyle w:val="14"/>
      </w:pPr>
      <w:r>
        <w:t>无命中时直接返回“资料中未找到相关内容”，不调用模型，避免模型凭空编造课程答案。</w:t>
      </w:r>
    </w:p>
    <w:p w14:paraId="0F9E8233">
      <w:pPr>
        <w:pStyle w:val="14"/>
      </w:pPr>
      <w:r>
        <w:t>有命中时，服务端把检索片段加入 system prompt，并通过 SSE 先发送 citation 事件，再流式发送模型回答。提示词要求使用 [1]、[2] 标注引用。</w:t>
      </w:r>
    </w:p>
    <w:p w14:paraId="596962C4">
      <w:pPr>
        <w:pStyle w:val="14"/>
      </w:pPr>
      <w:r>
        <w:t>回答、引用、运行事件和可能生成的 PDF/DOCX 产物会持久化，课程成员和线程所有者边界由后端再次校验。</w:t>
      </w:r>
    </w:p>
    <w:p w14:paraId="05BD32B3">
      <w:pPr>
        <w:pStyle w:val="4"/>
      </w:pPr>
      <w:r>
        <w:t>4.5 关键 API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3062"/>
        <w:gridCol w:w="3018"/>
      </w:tblGrid>
      <w:tr w14:paraId="7239E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0E740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9C3C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60277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0310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4FD81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/api/courses/{id}/knowledge/search/</w:t>
            </w:r>
          </w:p>
        </w:tc>
        <w:tc>
          <w:tcPr>
            <w:tcW w:w="3312" w:type="dxa"/>
            <w:vAlign w:val="center"/>
          </w:tcPr>
          <w:p w14:paraId="08E5A2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312" w:type="dxa"/>
            <w:vAlign w:val="center"/>
          </w:tcPr>
          <w:p w14:paraId="4F7DEA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课程范围内进行关键词、向量或混合检索。</w:t>
            </w:r>
          </w:p>
        </w:tc>
      </w:tr>
      <w:tr w14:paraId="1923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0864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/api/courses/{id}/knowledge/reindex/</w:t>
            </w:r>
          </w:p>
        </w:tc>
        <w:tc>
          <w:tcPr>
            <w:tcW w:w="3312" w:type="dxa"/>
            <w:vAlign w:val="center"/>
          </w:tcPr>
          <w:p w14:paraId="51754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0D4C9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教师重建课程全部资料索引。</w:t>
            </w:r>
          </w:p>
        </w:tc>
      </w:tr>
      <w:tr w14:paraId="200A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43C1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/api/materials/{id}/reindex/</w:t>
            </w:r>
          </w:p>
        </w:tc>
        <w:tc>
          <w:tcPr>
            <w:tcW w:w="3312" w:type="dxa"/>
            <w:vAlign w:val="center"/>
          </w:tcPr>
          <w:p w14:paraId="4A3A3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0F083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教师重建单份资料索引。</w:t>
            </w:r>
          </w:p>
        </w:tc>
      </w:tr>
      <w:tr w14:paraId="54AD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3C757D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/api/materials/{id}/preview/</w:t>
            </w:r>
          </w:p>
        </w:tc>
        <w:tc>
          <w:tcPr>
            <w:tcW w:w="3312" w:type="dxa"/>
            <w:vAlign w:val="center"/>
          </w:tcPr>
          <w:p w14:paraId="4A966C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312" w:type="dxa"/>
            <w:vAlign w:val="center"/>
          </w:tcPr>
          <w:p w14:paraId="1FF2E9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成员查看已抽取的文本预览。</w:t>
            </w:r>
          </w:p>
        </w:tc>
      </w:tr>
      <w:tr w14:paraId="6003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56EDE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/api/agent/threads/</w:t>
            </w:r>
          </w:p>
        </w:tc>
        <w:tc>
          <w:tcPr>
            <w:tcW w:w="3312" w:type="dxa"/>
            <w:vAlign w:val="center"/>
          </w:tcPr>
          <w:p w14:paraId="6910A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GET/POST</w:t>
            </w:r>
          </w:p>
        </w:tc>
        <w:tc>
          <w:tcPr>
            <w:tcW w:w="3312" w:type="dxa"/>
            <w:vAlign w:val="center"/>
          </w:tcPr>
          <w:p w14:paraId="40DFD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列出或创建 Agent 线程。</w:t>
            </w:r>
          </w:p>
        </w:tc>
      </w:tr>
      <w:tr w14:paraId="639E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1B1F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/api/agent/threads/{id}/messages/stream/</w:t>
            </w:r>
          </w:p>
        </w:tc>
        <w:tc>
          <w:tcPr>
            <w:tcW w:w="3312" w:type="dxa"/>
            <w:vAlign w:val="center"/>
          </w:tcPr>
          <w:p w14:paraId="4E4FB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09C1B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发送消息并以 SSE 流式返回回答、引用和工具事件。</w:t>
            </w:r>
          </w:p>
        </w:tc>
      </w:tr>
      <w:tr w14:paraId="756A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F690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/api/agent/tools/{name}/execute/</w:t>
            </w:r>
          </w:p>
        </w:tc>
        <w:tc>
          <w:tcPr>
            <w:tcW w:w="3312" w:type="dxa"/>
            <w:vAlign w:val="center"/>
          </w:tcPr>
          <w:p w14:paraId="71B85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312" w:type="dxa"/>
            <w:vAlign w:val="center"/>
          </w:tcPr>
          <w:p w14:paraId="4BD28E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在后端注册工具范围内执行课程读取或产物生成。</w:t>
            </w:r>
          </w:p>
        </w:tc>
      </w:tr>
    </w:tbl>
    <w:p w14:paraId="356AB047"/>
    <w:p w14:paraId="7A06D267">
      <w:pPr>
        <w:pStyle w:val="3"/>
      </w:pPr>
      <w:r>
        <w:t>五、安全、异常与验证要点</w:t>
      </w:r>
    </w:p>
    <w:p w14:paraId="26BD1D73">
      <w:pPr>
        <w:pStyle w:val="16"/>
      </w:pPr>
      <w:r>
        <w:t>验证码：哈希存储、有效期、发送间隔、尝试次数和一次性消费，需测试过期、错误次数耗尽和重复使用。</w:t>
      </w:r>
    </w:p>
    <w:p w14:paraId="6DCC35C4">
      <w:pPr>
        <w:pStyle w:val="16"/>
      </w:pPr>
      <w:r>
        <w:t>Token：需测试 access 过期后的自动刷新、refresh 轮换、旧 refresh 黑名单和跨用户注销。</w:t>
      </w:r>
    </w:p>
    <w:p w14:paraId="5B805FFC">
      <w:pPr>
        <w:pStyle w:val="16"/>
      </w:pPr>
      <w:r>
        <w:t>课程权限：需测试跨课程搜索、资料预览、线程、附件和产物访问均被拒绝。</w:t>
      </w:r>
    </w:p>
    <w:p w14:paraId="0A687233">
      <w:pPr>
        <w:pStyle w:val="16"/>
      </w:pPr>
      <w:r>
        <w:t>知识库：未配置嵌入服务时，索引应进入 failed 并返回明确原因；无命中不调用模型。</w:t>
      </w:r>
    </w:p>
    <w:p w14:paraId="4836B9E4">
      <w:pPr>
        <w:pStyle w:val="16"/>
      </w:pPr>
      <w:r>
        <w:t>模型配置：README 约定 MODEL_PROVIDER=mock 可验证流式流程；真实模型需要 MODEL_API_BASE、MODEL_API_KEY、MODEL_NAME，真实向量检索需要 EMBEDDING_* 配置。</w:t>
      </w:r>
    </w:p>
    <w:p w14:paraId="39236AA3">
      <w:pPr>
        <w:pStyle w:val="16"/>
      </w:pPr>
      <w:r>
        <w:t>当前文档是实现方案整理，不宣称真实 SMTP、真实大模型或 Docker 已在本次生成文档时完成端到端验收。</w:t>
      </w:r>
    </w:p>
    <w:p w14:paraId="05C2FC6A">
      <w:pPr>
        <w:pStyle w:val="3"/>
      </w:pPr>
      <w:r>
        <w:t>六、结论与后续改进</w:t>
      </w:r>
    </w:p>
    <w:p w14:paraId="3F150CA2">
      <w:r>
        <w:t>当前代码已经形成“认证 → 课程成员授权 → 资料索引 → 课程范围检索 → 带引用流式回答”的闭环。后续应优先补充真实服务配置下的端到端测试、异步索引任务和更细粒度的审计日志；再考虑论坛、文件预览、在线测验、题库和知识图谱。AI 学情诊断需要单独确定参考答案来源、图片识别、人工复核、数据保留期限和学生可见范围，再决定报告格式与模型接入方式。</w:t>
      </w:r>
    </w:p>
    <w:p w14:paraId="63046A3E">
      <w:pPr>
        <w:spacing w:before="240"/>
      </w:pPr>
      <w:r>
        <w:rPr>
          <w:b/>
        </w:rPr>
        <w:t>附：代码依据</w:t>
      </w:r>
    </w:p>
    <w:p w14:paraId="37894384">
      <w:r>
        <w:t>主要依据文件：backend/campus/settings.py、backend/core/views.py、backend/core/agent_runtime.py、backend/core/agent_views.py、backend/core/models.py、backend/core/urls.py、frontend/src/auth.ts、frontend/src/api.ts、README.md。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1F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2618</Words>
  <Characters>4639</Characters>
  <Lines>0</Lines>
  <Paragraphs>0</Paragraphs>
  <TotalTime>7</TotalTime>
  <ScaleCrop>false</ScaleCrop>
  <LinksUpToDate>false</LinksUpToDate>
  <CharactersWithSpaces>4876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大三下到大四</cp:lastModifiedBy>
  <dcterms:modified xsi:type="dcterms:W3CDTF">2026-10-04T07:27:49Z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eyJoZGlkIjoiNWQ3YjUxNmNhZmVmMjM3M2FlMzhiNmNiNTdmN2JkNmYiLCJ1c2VySWQiOiIxNzEwNDIzMDA3In0=</vt:lpwstr>
  </property>
  <property fmtid="{D5CDD505-2E9C-101B-9397-08002B2CF9AE}" pid="3" name="KSOProductBuildVer">
    <vt:lpwstr>2052-12.1.0.28505</vt:lpwstr>
  </property>
  <property fmtid="{D5CDD505-2E9C-101B-9397-08002B2CF9AE}" pid="4" name="ICV">
    <vt:lpwstr>1E909FD151764CDAA281F7740859B864_12</vt:lpwstr>
  </property>
</Properties>
</file>