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十月美国硅谷长寿考察团</w:t>
      </w:r>
    </w:p>
    <w:p>
      <w:pPr>
        <w:spacing w:before="120" w:after="120" w:line="288" w:lineRule="auto"/>
        <w:ind w:left="0"/>
        <w:jc w:val="left"/>
      </w:pPr>
      <w:r>
        <w:rPr>
          <w:rFonts w:eastAsia="等线" w:ascii="Arial" w:cs="Arial" w:hAnsi="Arial"/>
          <w:sz w:val="22"/>
        </w:rPr>
        <w:t>如果健康的活到100岁不再是梦想，而是一个可以被规划的现实，你会如何重新思考你的未来？</w:t>
      </w:r>
    </w:p>
    <w:p>
      <w:pPr>
        <w:spacing w:before="120" w:after="120" w:line="288" w:lineRule="auto"/>
        <w:ind w:left="0"/>
        <w:jc w:val="left"/>
      </w:pPr>
      <w:r>
        <w:rPr>
          <w:rFonts w:eastAsia="等线" w:ascii="Arial" w:cs="Arial" w:hAnsi="Arial"/>
          <w:sz w:val="22"/>
        </w:rPr>
        <w:t>这已是正在发生的科学事实。过去二十年，一场关于生命长度的科技革命，已经为我们推开了一扇全新的大门。以细胞重编程、精准检测为代表的技术突破，正在让“衰老”本身变得可追踪、可干预。2015年，美国食品药品管理局FDA首次将“衰老”作为一种可预防的“适应症”，为衰老干预的临床转化铺平了道路。</w:t>
      </w:r>
    </w:p>
    <w:p>
      <w:pPr>
        <w:spacing w:before="120" w:after="120" w:line="288" w:lineRule="auto"/>
        <w:ind w:left="0"/>
        <w:jc w:val="left"/>
      </w:pPr>
      <w:r>
        <w:rPr>
          <w:rFonts w:eastAsia="等线" w:ascii="Arial" w:cs="Arial" w:hAnsi="Arial"/>
          <w:sz w:val="22"/>
        </w:rPr>
        <w:t>一个结论愈发清晰：</w:t>
      </w:r>
      <w:r>
        <w:rPr>
          <w:rFonts w:eastAsia="等线" w:ascii="Arial" w:cs="Arial" w:hAnsi="Arial"/>
          <w:b w:val="true"/>
          <w:sz w:val="22"/>
        </w:rPr>
        <w:t>人类的百岁时代，即将到来。</w:t>
      </w:r>
    </w:p>
    <w:p>
      <w:pPr>
        <w:spacing w:before="120" w:after="120" w:line="288" w:lineRule="auto"/>
        <w:ind w:left="0"/>
        <w:jc w:val="left"/>
      </w:pPr>
      <w:r>
        <w:rPr>
          <w:rFonts w:eastAsia="等线" w:ascii="Arial" w:cs="Arial" w:hAnsi="Arial"/>
          <w:sz w:val="22"/>
        </w:rPr>
        <w:t>而历史告诉我们，</w:t>
      </w:r>
      <w:r>
        <w:rPr>
          <w:rFonts w:eastAsia="等线" w:ascii="Arial" w:cs="Arial" w:hAnsi="Arial"/>
          <w:b w:val="true"/>
          <w:sz w:val="22"/>
        </w:rPr>
        <w:t>每一个时代的开启，总有第一批跨越门槛、优先享受红利的人。而主要的方法，就是提前知道，提前准备。</w:t>
      </w:r>
      <w:r>
        <w:rPr>
          <w:rFonts w:eastAsia="等线" w:ascii="Arial" w:cs="Arial" w:hAnsi="Arial"/>
          <w:sz w:val="22"/>
        </w:rPr>
        <w:t>就像美国医师兼长寿专家Peter Attia在他的国际畅销书《超越百岁》里写到的：“对抗慢性病的战争，必须在我们毫发无伤时就开始。当症状出现时，我们往往已经失去了最佳的干预时机。”</w:t>
      </w:r>
    </w:p>
    <w:p>
      <w:pPr>
        <w:spacing w:before="120" w:after="120" w:line="288" w:lineRule="auto"/>
        <w:ind w:left="0"/>
        <w:jc w:val="center"/>
      </w:pPr>
      <w:r>
        <w:drawing>
          <wp:inline distT="0" distR="0" distB="0" distL="0">
            <wp:extent cx="5257800" cy="3505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505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然而对你来说，真正的挑战在于：革命性的进展，往往被包裹在复杂的科学论文、非公开的产业动态和海量的商业宣传之中。</w:t>
      </w:r>
      <w:r>
        <w:rPr>
          <w:rFonts w:eastAsia="等线" w:ascii="Arial" w:cs="Arial" w:hAnsi="Arial"/>
          <w:b w:val="true"/>
          <w:sz w:val="22"/>
        </w:rPr>
        <w:t>面对极高的专业门槛和信息壁垒，你如何穿透迷雾，构建一个真正属于你自己的、科学的、可持续的健康管理体系？</w:t>
      </w:r>
    </w:p>
    <w:p>
      <w:pPr>
        <w:spacing w:before="120" w:after="120" w:line="288" w:lineRule="auto"/>
        <w:ind w:left="0"/>
        <w:jc w:val="left"/>
      </w:pPr>
      <w:r>
        <w:rPr>
          <w:rFonts w:eastAsia="等线" w:ascii="Arial" w:cs="Arial" w:hAnsi="Arial"/>
          <w:sz w:val="22"/>
        </w:rPr>
        <w:t>2025年10月，王煜全老师邀请你加入一场独特的美国硅谷湾区长寿科技之旅。这趟旅程将帮助你</w:t>
      </w:r>
      <w:r>
        <w:rPr>
          <w:rFonts w:eastAsia="等线" w:ascii="Arial" w:cs="Arial" w:hAnsi="Arial"/>
          <w:b w:val="true"/>
          <w:sz w:val="22"/>
        </w:rPr>
        <w:t>从体检报告的被动接受者，成为自己生命健康的CEO，为践行“超越百岁”的信念，制定出清晰的战略路线图。</w:t>
      </w:r>
    </w:p>
    <w:p>
      <w:pPr>
        <w:spacing w:before="120" w:after="120" w:line="288" w:lineRule="auto"/>
        <w:ind w:left="0"/>
        <w:jc w:val="left"/>
      </w:pPr>
    </w:p>
    <w:p>
      <w:pPr>
        <w:spacing w:before="120" w:after="120" w:line="288" w:lineRule="auto"/>
        <w:ind w:left="0"/>
        <w:jc w:val="center"/>
      </w:pPr>
      <w:r>
        <w:rPr>
          <w:rFonts w:eastAsia="等线" w:ascii="Arial" w:cs="Arial" w:hAnsi="Arial"/>
          <w:b w:val="true"/>
          <w:color w:val="245bdb"/>
          <w:sz w:val="22"/>
        </w:rPr>
        <w:t>同行导师都有谁？</w:t>
      </w:r>
    </w:p>
    <w:p>
      <w:pPr>
        <w:spacing w:before="120" w:after="120" w:line="288" w:lineRule="auto"/>
        <w:ind w:left="0"/>
        <w:jc w:val="left"/>
      </w:pPr>
      <w:r>
        <w:rPr>
          <w:rFonts w:eastAsia="等线" w:ascii="Arial" w:cs="Arial" w:hAnsi="Arial"/>
          <w:b w:val="true"/>
          <w:sz w:val="22"/>
        </w:rPr>
        <w:t>带队导师：王煜全</w:t>
      </w:r>
    </w:p>
    <w:p>
      <w:pPr>
        <w:spacing w:before="120" w:after="120" w:line="288" w:lineRule="auto"/>
        <w:ind w:left="0"/>
        <w:jc w:val="left"/>
      </w:pPr>
      <w:r>
        <w:rPr>
          <w:rFonts w:eastAsia="等线" w:ascii="Arial" w:cs="Arial" w:hAnsi="Arial"/>
          <w:sz w:val="22"/>
        </w:rPr>
        <w:t>王煜全是著名的前沿科技投资人，在过去的二十年里，他更重要的角色是一位“思想信使”和“科技雷达”。</w:t>
      </w:r>
    </w:p>
    <w:p>
      <w:pPr>
        <w:spacing w:before="120" w:after="120" w:line="288" w:lineRule="auto"/>
        <w:ind w:left="0"/>
        <w:jc w:val="center"/>
      </w:pPr>
      <w:r>
        <w:drawing>
          <wp:inline distT="0" distR="0" distB="0" distL="0">
            <wp:extent cx="5257800" cy="3848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848100"/>
                    </a:xfrm>
                    <a:prstGeom prst="rect">
                      <a:avLst/>
                    </a:prstGeom>
                  </pic:spPr>
                </pic:pic>
              </a:graphicData>
            </a:graphic>
          </wp:inline>
        </w:drawing>
      </w:r>
    </w:p>
    <w:p>
      <w:pPr>
        <w:spacing w:before="120" w:after="120" w:line="288" w:lineRule="auto"/>
        <w:ind w:left="0"/>
        <w:jc w:val="center"/>
      </w:pPr>
      <w:r>
        <w:rPr>
          <w:rFonts w:eastAsia="等线" w:ascii="Arial" w:cs="Arial" w:hAnsi="Arial"/>
          <w:b w:val="true"/>
          <w:sz w:val="22"/>
        </w:rPr>
        <w:t xml:space="preserve">王煜全 </w:t>
      </w:r>
    </w:p>
    <w:p>
      <w:pPr>
        <w:spacing w:before="120" w:after="120" w:line="288" w:lineRule="auto"/>
        <w:ind w:left="0"/>
        <w:jc w:val="left"/>
      </w:pPr>
      <w:r>
        <w:rPr>
          <w:rFonts w:eastAsia="等线" w:ascii="Arial" w:cs="Arial" w:hAnsi="Arial"/>
          <w:sz w:val="22"/>
        </w:rPr>
        <w:t>科技投资人 | 海银资本创始合伙人 | 长寿科技创业者</w:t>
      </w:r>
    </w:p>
    <w:p>
      <w:pPr>
        <w:spacing w:before="120" w:after="120" w:line="288" w:lineRule="auto"/>
        <w:ind w:left="0"/>
        <w:jc w:val="left"/>
      </w:pPr>
      <w:r>
        <w:rPr>
          <w:rFonts w:eastAsia="等线" w:ascii="Arial" w:cs="Arial" w:hAnsi="Arial"/>
          <w:sz w:val="22"/>
        </w:rPr>
        <w:t>《超越百岁》中文序作者</w:t>
      </w:r>
    </w:p>
    <w:p>
      <w:pPr>
        <w:spacing w:before="120" w:after="120" w:line="288" w:lineRule="auto"/>
        <w:ind w:left="0"/>
        <w:jc w:val="left"/>
      </w:pPr>
      <w:r>
        <w:rPr>
          <w:rFonts w:eastAsia="等线" w:ascii="Arial" w:cs="Arial" w:hAnsi="Arial"/>
          <w:sz w:val="22"/>
        </w:rPr>
        <w:t>王煜全的工作就是站在全球科技创新的第一线——尤其是美国，将那些正在发生、但尚未被大众所知的重大科技和产业变革，讲述给中国的企业家和决策者。他不仅是前沿科技的观察者，更是前沿思想的倡导者。作为《超越百岁》中文版的序言作者，他敏锐地意识到，“高质量地活到100岁”已经从一个愿景，变成了可以被规划的科技议题。他致力于将“健康运营服务”的理念，介绍给每一个关心未来生命质量的中国人。跟随他，你获得的不仅是一次访问，更是一个经过他深度思考和筛选的、关于未来的认知框架。</w:t>
      </w:r>
    </w:p>
    <w:p>
      <w:pPr>
        <w:spacing w:before="120" w:after="120" w:line="288" w:lineRule="auto"/>
        <w:ind w:left="0"/>
        <w:jc w:val="left"/>
      </w:pPr>
      <w:r>
        <w:rPr>
          <w:rFonts w:eastAsia="等线" w:ascii="Arial" w:cs="Arial" w:hAnsi="Arial"/>
          <w:b w:val="true"/>
          <w:sz w:val="22"/>
        </w:rPr>
        <w:t>联席导师：周其仁，万维钢</w:t>
      </w:r>
    </w:p>
    <w:p>
      <w:pPr>
        <w:spacing w:before="120" w:after="120" w:line="288" w:lineRule="auto"/>
        <w:ind w:left="0"/>
        <w:jc w:val="center"/>
      </w:pPr>
      <w:r>
        <w:drawing>
          <wp:inline distT="0" distR="0" distB="0" distL="0">
            <wp:extent cx="5257800" cy="4962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49625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周其仁 </w:t>
      </w:r>
      <w:r>
        <w:rPr>
          <w:rFonts w:eastAsia="等线" w:ascii="Arial" w:cs="Arial" w:hAnsi="Arial"/>
          <w:sz w:val="22"/>
        </w:rPr>
        <w:t>北京大学国家发展研究院教授。周教授自1996年1月起在北京大学中国经济研究中心（现北京大学国家发展研究院）任教。研究领域侧重产权与合约、经济制度变迁、企业与市场组织、货币与金融、土地制度与城市化，以及产业升级与技术创新等。周教授信奉真实世界的经济学，长期在观察和调查的基础上深入研究，他将和我们一起审视和思考长寿科技如何重塑未来的市场格局与社会结构。</w:t>
      </w:r>
    </w:p>
    <w:p>
      <w:pPr>
        <w:spacing w:before="120" w:after="120" w:line="288" w:lineRule="auto"/>
        <w:ind w:left="0"/>
        <w:jc w:val="center"/>
      </w:pPr>
      <w:r>
        <w:drawing>
          <wp:inline distT="0" distR="0" distB="0" distL="0">
            <wp:extent cx="5257800" cy="3943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9433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万维钢 </w:t>
      </w:r>
      <w:r>
        <w:rPr>
          <w:rFonts w:eastAsia="等线" w:ascii="Arial" w:cs="Arial" w:hAnsi="Arial"/>
          <w:sz w:val="22"/>
        </w:rPr>
        <w:t>科学作家，得到App《精英日课》主理人。万老师以其硬核的科学功底和批判性思维，为数十万读者解读全球前沿科技思想，长寿科技作为近年全球前沿科技的显学，万老师也在专栏中第一时间解读了多本影响甚远的好书，影响了大批读者。这次的考察团，他将帮助我们拨开迷雾，精准辨析长寿科技的前景与挑战。</w:t>
      </w:r>
    </w:p>
    <w:p>
      <w:pPr>
        <w:spacing w:before="120" w:after="120" w:line="288" w:lineRule="auto"/>
        <w:ind w:left="0"/>
        <w:jc w:val="center"/>
      </w:pPr>
      <w:r>
        <w:drawing>
          <wp:inline distT="0" distR="0" distB="0" distL="0">
            <wp:extent cx="304800" cy="209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04800" cy="209550"/>
                    </a:xfrm>
                    <a:prstGeom prst="rect">
                      <a:avLst/>
                    </a:prstGeom>
                  </pic:spPr>
                </pic:pic>
              </a:graphicData>
            </a:graphic>
          </wp:inline>
        </w:drawing>
      </w:r>
    </w:p>
    <w:p>
      <w:pPr>
        <w:spacing w:before="120" w:after="120" w:line="288" w:lineRule="auto"/>
        <w:ind w:left="0"/>
        <w:jc w:val="center"/>
      </w:pPr>
      <w:r>
        <w:rPr>
          <w:rFonts w:eastAsia="等线" w:ascii="Arial" w:cs="Arial" w:hAnsi="Arial"/>
          <w:b w:val="true"/>
          <w:color w:val="245bdb"/>
          <w:sz w:val="22"/>
        </w:rPr>
        <w:t>你将体验什么？</w:t>
      </w:r>
    </w:p>
    <w:p>
      <w:pPr>
        <w:numPr>
          <w:numId w:val="1"/>
        </w:numPr>
        <w:spacing w:before="120" w:after="120" w:line="288" w:lineRule="auto"/>
        <w:ind w:left="0"/>
        <w:jc w:val="left"/>
      </w:pPr>
      <w:r>
        <w:rPr>
          <w:rFonts w:eastAsia="等线" w:ascii="Arial" w:cs="Arial" w:hAnsi="Arial"/>
          <w:sz w:val="22"/>
        </w:rPr>
        <w:t>精中选精的创新检测：我们为你多方比较，筛选了国内尚无、颗粒度更细、代表长寿管理方向的检测：</w:t>
      </w:r>
    </w:p>
    <w:p>
      <w:pPr>
        <w:pStyle w:val="3"/>
        <w:spacing w:before="300" w:after="120" w:line="288" w:lineRule="auto"/>
        <w:ind w:left="0"/>
        <w:jc w:val="left"/>
        <w:outlineLvl w:val="2"/>
      </w:pPr>
      <w:bookmarkStart w:name="heading_0" w:id="0"/>
      <w:r>
        <w:rPr>
          <w:rFonts w:eastAsia="等线" w:ascii="Arial" w:cs="Arial" w:hAnsi="Arial"/>
          <w:b w:val="true"/>
          <w:sz w:val="30"/>
        </w:rPr>
        <w:t>肠道生态健康 Gut Intelligence</w:t>
      </w:r>
      <w:bookmarkEnd w:id="0"/>
    </w:p>
    <w:p>
      <w:pPr>
        <w:numPr>
          <w:numId w:val="2"/>
        </w:numPr>
        <w:spacing w:before="120" w:after="120" w:line="288" w:lineRule="auto"/>
        <w:ind w:left="0"/>
        <w:jc w:val="left"/>
      </w:pPr>
      <w:r>
        <w:rPr>
          <w:rFonts w:eastAsia="等线" w:ascii="Arial" w:cs="Arial" w:hAnsi="Arial"/>
          <w:sz w:val="22"/>
        </w:rPr>
        <w:t>公司：Viome</w:t>
      </w:r>
    </w:p>
    <w:p>
      <w:pPr>
        <w:numPr>
          <w:numId w:val="3"/>
        </w:numPr>
        <w:spacing w:before="120" w:after="120" w:line="288" w:lineRule="auto"/>
        <w:ind w:left="0"/>
        <w:jc w:val="left"/>
      </w:pPr>
      <w:r>
        <w:rPr>
          <w:rFonts w:eastAsia="等线" w:ascii="Arial" w:cs="Arial" w:hAnsi="Arial"/>
          <w:sz w:val="22"/>
        </w:rPr>
        <w:t>维度：肠道生态活性</w:t>
      </w:r>
    </w:p>
    <w:p>
      <w:pPr>
        <w:numPr>
          <w:numId w:val="4"/>
        </w:numPr>
        <w:spacing w:before="120" w:after="120" w:line="288" w:lineRule="auto"/>
        <w:ind w:left="0"/>
        <w:jc w:val="left"/>
      </w:pPr>
      <w:r>
        <w:rPr>
          <w:rFonts w:eastAsia="等线" w:ascii="Arial" w:cs="Arial" w:hAnsi="Arial"/>
          <w:sz w:val="22"/>
        </w:rPr>
        <w:t>检测内容：肠道微生物群、营养代谢、免疫</w:t>
      </w:r>
    </w:p>
    <w:p>
      <w:pPr>
        <w:numPr>
          <w:numId w:val="5"/>
        </w:numPr>
        <w:spacing w:before="120" w:after="120" w:line="288" w:lineRule="auto"/>
        <w:ind w:left="0"/>
        <w:jc w:val="left"/>
      </w:pPr>
      <w:r>
        <w:rPr>
          <w:rFonts w:eastAsia="等线" w:ascii="Arial" w:cs="Arial" w:hAnsi="Arial"/>
          <w:sz w:val="22"/>
        </w:rPr>
        <w:t>技术：宏转录组学（微生物+宿主mRNA）结合AI算法</w:t>
      </w:r>
    </w:p>
    <w:p>
      <w:pPr>
        <w:numPr>
          <w:numId w:val="6"/>
        </w:numPr>
        <w:spacing w:before="120" w:after="120" w:line="288" w:lineRule="auto"/>
        <w:ind w:left="0"/>
        <w:jc w:val="left"/>
      </w:pPr>
      <w:r>
        <w:rPr>
          <w:rFonts w:eastAsia="等线" w:ascii="Arial" w:cs="Arial" w:hAnsi="Arial"/>
          <w:sz w:val="22"/>
        </w:rPr>
        <w:t>核心目标：评估肠道微生物活性与整体健康状态</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炎症免疫水平 iAge</w:t>
      </w:r>
      <w:bookmarkEnd w:id="1"/>
    </w:p>
    <w:p>
      <w:pPr>
        <w:numPr>
          <w:numId w:val="7"/>
        </w:numPr>
        <w:spacing w:before="120" w:after="120" w:line="288" w:lineRule="auto"/>
        <w:ind w:left="0"/>
        <w:jc w:val="left"/>
      </w:pPr>
      <w:r>
        <w:rPr>
          <w:rFonts w:eastAsia="等线" w:ascii="Arial" w:cs="Arial" w:hAnsi="Arial"/>
          <w:sz w:val="22"/>
        </w:rPr>
        <w:t>公司：Edifice Health</w:t>
      </w:r>
    </w:p>
    <w:p>
      <w:pPr>
        <w:numPr>
          <w:numId w:val="8"/>
        </w:numPr>
        <w:spacing w:before="120" w:after="120" w:line="288" w:lineRule="auto"/>
        <w:ind w:left="0"/>
        <w:jc w:val="left"/>
      </w:pPr>
      <w:r>
        <w:rPr>
          <w:rFonts w:eastAsia="等线" w:ascii="Arial" w:cs="Arial" w:hAnsi="Arial"/>
          <w:sz w:val="22"/>
        </w:rPr>
        <w:t>维度：炎症与免疫衰退</w:t>
      </w:r>
    </w:p>
    <w:p>
      <w:pPr>
        <w:numPr>
          <w:numId w:val="9"/>
        </w:numPr>
        <w:spacing w:before="120" w:after="120" w:line="288" w:lineRule="auto"/>
        <w:ind w:left="0"/>
        <w:jc w:val="left"/>
      </w:pPr>
      <w:r>
        <w:rPr>
          <w:rFonts w:eastAsia="等线" w:ascii="Arial" w:cs="Arial" w:hAnsi="Arial"/>
          <w:sz w:val="22"/>
        </w:rPr>
        <w:t>检测内容：慢性炎症、免疫功能衰退、慢性病风险</w:t>
      </w:r>
    </w:p>
    <w:p>
      <w:pPr>
        <w:numPr>
          <w:numId w:val="10"/>
        </w:numPr>
        <w:spacing w:before="120" w:after="120" w:line="288" w:lineRule="auto"/>
        <w:ind w:left="0"/>
        <w:jc w:val="left"/>
      </w:pPr>
      <w:r>
        <w:rPr>
          <w:rFonts w:eastAsia="等线" w:ascii="Arial" w:cs="Arial" w:hAnsi="Arial"/>
          <w:sz w:val="22"/>
        </w:rPr>
        <w:t>技术：血液蛋白质组学 + AI算法</w:t>
      </w:r>
    </w:p>
    <w:p>
      <w:pPr>
        <w:numPr>
          <w:numId w:val="11"/>
        </w:numPr>
        <w:spacing w:before="120" w:after="120" w:line="288" w:lineRule="auto"/>
        <w:ind w:left="0"/>
        <w:jc w:val="left"/>
      </w:pPr>
      <w:r>
        <w:rPr>
          <w:rFonts w:eastAsia="等线" w:ascii="Arial" w:cs="Arial" w:hAnsi="Arial"/>
          <w:sz w:val="22"/>
        </w:rPr>
        <w:t>核心目标：评估炎症水平与免疫衰退风险</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器官年龄 TruAge</w:t>
      </w:r>
      <w:bookmarkEnd w:id="2"/>
    </w:p>
    <w:p>
      <w:pPr>
        <w:numPr>
          <w:numId w:val="12"/>
        </w:numPr>
        <w:spacing w:before="120" w:after="120" w:line="288" w:lineRule="auto"/>
        <w:ind w:left="0"/>
        <w:jc w:val="left"/>
      </w:pPr>
      <w:r>
        <w:rPr>
          <w:rFonts w:eastAsia="等线" w:ascii="Arial" w:cs="Arial" w:hAnsi="Arial"/>
          <w:sz w:val="22"/>
        </w:rPr>
        <w:t>公司：TruDiagnostic</w:t>
      </w:r>
    </w:p>
    <w:p>
      <w:pPr>
        <w:numPr>
          <w:numId w:val="13"/>
        </w:numPr>
        <w:spacing w:before="120" w:after="120" w:line="288" w:lineRule="auto"/>
        <w:ind w:left="0"/>
        <w:jc w:val="left"/>
      </w:pPr>
      <w:r>
        <w:rPr>
          <w:rFonts w:eastAsia="等线" w:ascii="Arial" w:cs="Arial" w:hAnsi="Arial"/>
          <w:sz w:val="22"/>
        </w:rPr>
        <w:t>维度：DNA甲基化</w:t>
      </w:r>
    </w:p>
    <w:p>
      <w:pPr>
        <w:numPr>
          <w:numId w:val="14"/>
        </w:numPr>
        <w:spacing w:before="120" w:after="120" w:line="288" w:lineRule="auto"/>
        <w:ind w:left="0"/>
        <w:jc w:val="left"/>
      </w:pPr>
      <w:r>
        <w:rPr>
          <w:rFonts w:eastAsia="等线" w:ascii="Arial" w:cs="Arial" w:hAnsi="Arial"/>
          <w:sz w:val="22"/>
        </w:rPr>
        <w:t>检测内容：生物年龄、器官年龄、衰老速度（DunedinPACE）、端粒长度</w:t>
      </w:r>
    </w:p>
    <w:p>
      <w:pPr>
        <w:numPr>
          <w:numId w:val="15"/>
        </w:numPr>
        <w:spacing w:before="120" w:after="120" w:line="288" w:lineRule="auto"/>
        <w:ind w:left="0"/>
        <w:jc w:val="left"/>
      </w:pPr>
      <w:r>
        <w:rPr>
          <w:rFonts w:eastAsia="等线" w:ascii="Arial" w:cs="Arial" w:hAnsi="Arial"/>
          <w:sz w:val="22"/>
        </w:rPr>
        <w:t>技术：DNA甲基化表观遗传学算法</w:t>
      </w:r>
    </w:p>
    <w:p>
      <w:pPr>
        <w:numPr>
          <w:numId w:val="16"/>
        </w:numPr>
        <w:spacing w:before="120" w:after="120" w:line="288" w:lineRule="auto"/>
        <w:ind w:left="0"/>
        <w:jc w:val="left"/>
      </w:pPr>
      <w:r>
        <w:rPr>
          <w:rFonts w:eastAsia="等线" w:ascii="Arial" w:cs="Arial" w:hAnsi="Arial"/>
          <w:sz w:val="22"/>
        </w:rPr>
        <w:t>核心目标：全面测量生物年龄与衰老速度</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认知功能及风险 BrainScan</w:t>
      </w:r>
      <w:bookmarkEnd w:id="3"/>
    </w:p>
    <w:p>
      <w:pPr>
        <w:numPr>
          <w:numId w:val="17"/>
        </w:numPr>
        <w:spacing w:before="120" w:after="120" w:line="288" w:lineRule="auto"/>
        <w:ind w:left="0"/>
        <w:jc w:val="left"/>
      </w:pPr>
      <w:r>
        <w:rPr>
          <w:rFonts w:eastAsia="等线" w:ascii="Arial" w:cs="Arial" w:hAnsi="Arial"/>
          <w:sz w:val="22"/>
        </w:rPr>
        <w:t>公司：Apollo Health</w:t>
      </w:r>
    </w:p>
    <w:p>
      <w:pPr>
        <w:numPr>
          <w:numId w:val="18"/>
        </w:numPr>
        <w:spacing w:before="120" w:after="120" w:line="288" w:lineRule="auto"/>
        <w:ind w:left="0"/>
        <w:jc w:val="left"/>
      </w:pPr>
      <w:r>
        <w:rPr>
          <w:rFonts w:eastAsia="等线" w:ascii="Arial" w:cs="Arial" w:hAnsi="Arial"/>
          <w:sz w:val="22"/>
        </w:rPr>
        <w:t>维度：脑健康与神经退行性疾病风险</w:t>
      </w:r>
    </w:p>
    <w:p>
      <w:pPr>
        <w:numPr>
          <w:numId w:val="19"/>
        </w:numPr>
        <w:spacing w:before="120" w:after="120" w:line="288" w:lineRule="auto"/>
        <w:ind w:left="0"/>
        <w:jc w:val="left"/>
      </w:pPr>
      <w:r>
        <w:rPr>
          <w:rFonts w:eastAsia="等线" w:ascii="Arial" w:cs="Arial" w:hAnsi="Arial"/>
          <w:sz w:val="22"/>
        </w:rPr>
        <w:t>检测内容：阿尔茨海默症风险、认知功能衰退监测</w:t>
      </w:r>
    </w:p>
    <w:p>
      <w:pPr>
        <w:numPr>
          <w:numId w:val="20"/>
        </w:numPr>
        <w:spacing w:before="120" w:after="120" w:line="288" w:lineRule="auto"/>
        <w:ind w:left="0"/>
        <w:jc w:val="left"/>
      </w:pPr>
      <w:r>
        <w:rPr>
          <w:rFonts w:eastAsia="等线" w:ascii="Arial" w:cs="Arial" w:hAnsi="Arial"/>
          <w:sz w:val="22"/>
        </w:rPr>
        <w:t>技术：血液中特异脑蛋白质检测（pTau217、GFAP、NFL等）</w:t>
      </w:r>
    </w:p>
    <w:p>
      <w:pPr>
        <w:numPr>
          <w:numId w:val="21"/>
        </w:numPr>
        <w:spacing w:before="120" w:after="120" w:line="288" w:lineRule="auto"/>
        <w:ind w:left="0"/>
        <w:jc w:val="left"/>
      </w:pPr>
      <w:r>
        <w:rPr>
          <w:rFonts w:eastAsia="等线" w:ascii="Arial" w:cs="Arial" w:hAnsi="Arial"/>
          <w:sz w:val="22"/>
        </w:rPr>
        <w:t>核心目标：监测认知功能和神经退行性疾病早期风险</w:t>
      </w:r>
    </w:p>
    <w:p>
      <w:pPr>
        <w:spacing w:before="120" w:after="120" w:line="288" w:lineRule="auto"/>
        <w:ind w:left="0"/>
        <w:jc w:val="left"/>
      </w:pPr>
    </w:p>
    <w:p>
      <w:pPr>
        <w:spacing w:before="120" w:after="120" w:line="288" w:lineRule="auto"/>
        <w:ind w:left="0"/>
        <w:jc w:val="center"/>
      </w:pPr>
      <w:r>
        <w:drawing>
          <wp:inline distT="0" distR="0" distB="0" distL="0">
            <wp:extent cx="5257800" cy="3505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505200"/>
                    </a:xfrm>
                    <a:prstGeom prst="rect">
                      <a:avLst/>
                    </a:prstGeom>
                  </pic:spPr>
                </pic:pic>
              </a:graphicData>
            </a:graphic>
          </wp:inline>
        </w:drawing>
      </w:r>
    </w:p>
    <w:p>
      <w:pPr>
        <w:numPr>
          <w:numId w:val="22"/>
        </w:numPr>
        <w:spacing w:before="120" w:after="120" w:line="288" w:lineRule="auto"/>
        <w:ind w:left="0"/>
        <w:jc w:val="left"/>
      </w:pPr>
      <w:r>
        <w:rPr>
          <w:rFonts w:eastAsia="等线" w:ascii="Arial" w:cs="Arial" w:hAnsi="Arial"/>
          <w:b w:val="true"/>
          <w:sz w:val="22"/>
        </w:rPr>
        <w:t>与一线科学家闭门交流，摸清前沿边界：</w:t>
      </w:r>
      <w:r>
        <w:rPr>
          <w:rFonts w:eastAsia="等线" w:ascii="Arial" w:cs="Arial" w:hAnsi="Arial"/>
          <w:sz w:val="22"/>
        </w:rPr>
        <w:t>你将与三位导师老师一道，深度走访斯坦福、伯克利、UCSF等顶尖学府的衰老研究中心，与脑科学、睡眠、肠道生态、营养学、肌肉健康等领域的一线学者面对面。</w:t>
      </w:r>
    </w:p>
    <w:p>
      <w:pPr>
        <w:numPr>
          <w:numId w:val="23"/>
        </w:numPr>
        <w:spacing w:before="120" w:after="120" w:line="288" w:lineRule="auto"/>
        <w:ind w:left="0"/>
        <w:jc w:val="left"/>
      </w:pPr>
      <w:r>
        <w:rPr>
          <w:rFonts w:eastAsia="等线" w:ascii="Arial" w:cs="Arial" w:hAnsi="Arial"/>
          <w:sz w:val="22"/>
        </w:rPr>
        <w:t>我们将与斯坦福1000 Immunome Project (千人免疫图谱项目）的领军实验室交流，这个项目衍生出了多家精准测量身体炎症、以衡量个体甚至不同器官真实生理年龄的初创公司，可谓生物年龄评估领域的黄埔军校</w:t>
      </w:r>
    </w:p>
    <w:p>
      <w:pPr>
        <w:numPr>
          <w:numId w:val="24"/>
        </w:numPr>
        <w:spacing w:before="120" w:after="120" w:line="288" w:lineRule="auto"/>
        <w:ind w:left="0"/>
        <w:jc w:val="left"/>
      </w:pPr>
      <w:r>
        <w:rPr>
          <w:rFonts w:eastAsia="等线" w:ascii="Arial" w:cs="Arial" w:hAnsi="Arial"/>
          <w:sz w:val="22"/>
        </w:rPr>
        <w:t>我们将和一线睡眠实验室进行互动，不但了解睡眠的机制和具体的管理方法，也进一步了解最新的、可采用的睡眠辅助技术</w:t>
      </w:r>
    </w:p>
    <w:p>
      <w:pPr>
        <w:numPr>
          <w:numId w:val="25"/>
        </w:numPr>
        <w:spacing w:before="120" w:after="120" w:line="288" w:lineRule="auto"/>
        <w:ind w:left="0"/>
        <w:jc w:val="left"/>
      </w:pPr>
      <w:r>
        <w:rPr>
          <w:rFonts w:eastAsia="等线" w:ascii="Arial" w:cs="Arial" w:hAnsi="Arial"/>
          <w:sz w:val="22"/>
        </w:rPr>
        <w:t>我们将拜访骨骼与运动方面的专家，探讨最有效的方法来保护我们的肌肉与骨质不过早流失</w:t>
      </w:r>
    </w:p>
    <w:p>
      <w:pPr>
        <w:numPr>
          <w:numId w:val="26"/>
        </w:numPr>
        <w:spacing w:before="120" w:after="120" w:line="288" w:lineRule="auto"/>
        <w:ind w:left="0"/>
        <w:jc w:val="left"/>
      </w:pPr>
      <w:r>
        <w:rPr>
          <w:rFonts w:eastAsia="等线" w:ascii="Arial" w:cs="Arial" w:hAnsi="Arial"/>
          <w:sz w:val="22"/>
        </w:rPr>
        <w:t>我们也将与可穿戴健康设备的专家深入交流，学习如何借助实时监测与个性化数据反馈，更有效地管理心率、活动量与压力水平，在日常生活中形成可持续的健康习惯</w:t>
      </w: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b w:val="true"/>
          <w:sz w:val="22"/>
        </w:rPr>
        <w:t>聆听王煜全的全景解读，洞察趋势与机会：</w:t>
      </w:r>
      <w:r>
        <w:rPr>
          <w:rFonts w:eastAsia="等线" w:ascii="Arial" w:cs="Arial" w:hAnsi="Arial"/>
          <w:sz w:val="22"/>
        </w:rPr>
        <w:t>王煜全老师将为你提供关于全球长寿科技的全景式解读，万维钢老师把关当前科学理解，周其仁老师提供经济学视角，让你不仅对个人健康管理的方法论了然于胸，更能精准识别长寿科技领域的真实投资机会和市场格局。</w:t>
      </w:r>
    </w:p>
    <w:p>
      <w:pPr>
        <w:spacing w:before="120" w:after="120" w:line="288" w:lineRule="auto"/>
        <w:ind w:left="0"/>
        <w:jc w:val="left"/>
      </w:pPr>
      <w:r>
        <w:rPr>
          <w:rFonts w:eastAsia="等线" w:ascii="Arial" w:cs="Arial" w:hAnsi="Arial"/>
          <w:sz w:val="22"/>
        </w:rPr>
        <w:t>吴晓波老师曾做出一个重要判断：继汽车和房地产之后，养老产业将是中国下一个十万亿级的支柱产业。但养老并不是被动地“被照管”，支撑起这个未来庞大市场的，不是更多的病床和护工，而是能让我们活得更久、更健康、更有活力的产品和服务。你会发现，这个即将爆发的巨大产业，其核心驱动力，正是我们此次旅程将要深入探寻的前沿长寿科技。它不仅关乎我们每个人的生命质量，更定义了下一个十年的产业浪潮。理解它，就是理解未来。</w:t>
      </w:r>
    </w:p>
    <w:p>
      <w:pPr>
        <w:spacing w:before="120" w:after="120" w:line="288" w:lineRule="auto"/>
        <w:ind w:left="0"/>
        <w:jc w:val="left"/>
      </w:pPr>
      <w:r>
        <w:rPr>
          <w:rFonts w:eastAsia="等线" w:ascii="Arial" w:cs="Arial" w:hAnsi="Arial"/>
          <w:sz w:val="22"/>
        </w:rPr>
        <w:t>回到你自己的建康，你是否有过这些疑问：</w:t>
      </w:r>
    </w:p>
    <w:p>
      <w:pPr>
        <w:numPr>
          <w:numId w:val="28"/>
        </w:numPr>
        <w:spacing w:before="120" w:after="120" w:line="288" w:lineRule="auto"/>
        <w:ind w:left="0"/>
        <w:jc w:val="left"/>
      </w:pPr>
      <w:r>
        <w:rPr>
          <w:rFonts w:eastAsia="等线" w:ascii="Arial" w:cs="Arial" w:hAnsi="Arial"/>
          <w:sz w:val="22"/>
        </w:rPr>
        <w:t>睡眠能否精确监测和干预，让我有限的睡眠时间每一秒都最大化？</w:t>
      </w:r>
    </w:p>
    <w:p>
      <w:pPr>
        <w:numPr>
          <w:numId w:val="29"/>
        </w:numPr>
        <w:spacing w:before="120" w:after="120" w:line="288" w:lineRule="auto"/>
        <w:ind w:left="0"/>
        <w:jc w:val="left"/>
      </w:pPr>
      <w:r>
        <w:rPr>
          <w:rFonts w:eastAsia="等线" w:ascii="Arial" w:cs="Arial" w:hAnsi="Arial"/>
          <w:sz w:val="22"/>
        </w:rPr>
        <w:t>用肠道菌群移植来优化营养和代谢，是噱头还是未来？</w:t>
      </w:r>
    </w:p>
    <w:p>
      <w:pPr>
        <w:numPr>
          <w:numId w:val="30"/>
        </w:numPr>
        <w:spacing w:before="120" w:after="120" w:line="288" w:lineRule="auto"/>
        <w:ind w:left="0"/>
        <w:jc w:val="left"/>
      </w:pPr>
      <w:r>
        <w:rPr>
          <w:rFonts w:eastAsia="等线" w:ascii="Arial" w:cs="Arial" w:hAnsi="Arial"/>
          <w:sz w:val="22"/>
        </w:rPr>
        <w:t>干细胞疗法走到了哪一步，它适合我吗？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你的种种核心疑问，将在碰撞中得到最权威的解答。我们将帮助你围绕着你的具体情况，通过检测和交流，推导出你自己的最明确的衰老干预路径。</w:t>
      </w:r>
    </w:p>
    <w:p>
      <w:pPr>
        <w:spacing w:before="120" w:after="120" w:line="288" w:lineRule="auto"/>
        <w:ind w:left="0"/>
        <w:jc w:val="center"/>
      </w:pPr>
      <w:r>
        <w:drawing>
          <wp:inline distT="0" distR="0" distB="0" distL="0">
            <wp:extent cx="304800" cy="2095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8"/>
                    <a:stretch>
                      <a:fillRect/>
                    </a:stretch>
                  </pic:blipFill>
                  <pic:spPr>
                    <a:xfrm>
                      <a:off x="0" y="0"/>
                      <a:ext cx="304800" cy="209550"/>
                    </a:xfrm>
                    <a:prstGeom prst="rect">
                      <a:avLst/>
                    </a:prstGeom>
                  </pic:spPr>
                </pic:pic>
              </a:graphicData>
            </a:graphic>
          </wp:inline>
        </w:drawing>
      </w:r>
    </w:p>
    <w:p>
      <w:pPr>
        <w:spacing w:before="120" w:after="120" w:line="288" w:lineRule="auto"/>
        <w:ind w:left="0"/>
        <w:jc w:val="center"/>
      </w:pPr>
      <w:r>
        <w:rPr>
          <w:rFonts w:eastAsia="等线" w:ascii="Arial" w:cs="Arial" w:hAnsi="Arial"/>
          <w:b w:val="true"/>
          <w:color w:val="245bdb"/>
          <w:sz w:val="22"/>
        </w:rPr>
        <w:t>你将收获什么？</w:t>
      </w:r>
    </w:p>
    <w:p>
      <w:pPr>
        <w:pStyle w:val="4"/>
        <w:spacing w:before="260" w:after="120" w:line="288" w:lineRule="auto"/>
        <w:ind w:left="0"/>
        <w:jc w:val="left"/>
        <w:outlineLvl w:val="3"/>
      </w:pPr>
      <w:bookmarkStart w:name="heading_4" w:id="4"/>
      <w:r>
        <w:rPr>
          <w:rFonts w:eastAsia="等线" w:ascii="Arial" w:cs="Arial" w:hAnsi="Arial"/>
          <w:b w:val="true"/>
          <w:sz w:val="28"/>
        </w:rPr>
        <w:t>这将是你对未来生命质量的一次战略投资，你将收获四大核心资产：</w:t>
      </w:r>
      <w:bookmarkEnd w:id="4"/>
    </w:p>
    <w:p>
      <w:pPr>
        <w:spacing w:before="120" w:after="120" w:line="288" w:lineRule="auto"/>
        <w:ind w:left="0"/>
        <w:jc w:val="left"/>
      </w:pPr>
    </w:p>
    <w:p>
      <w:pPr>
        <w:numPr>
          <w:numId w:val="31"/>
        </w:numPr>
        <w:spacing w:before="120" w:after="120" w:line="288" w:lineRule="auto"/>
        <w:ind w:left="0"/>
        <w:jc w:val="left"/>
      </w:pPr>
      <w:r>
        <w:rPr>
          <w:rFonts w:eastAsia="等线" w:ascii="Arial" w:cs="Arial" w:hAnsi="Arial"/>
          <w:b w:val="true"/>
          <w:sz w:val="22"/>
        </w:rPr>
        <w:t>【一个完整的认知框架】</w:t>
      </w:r>
      <w:r>
        <w:rPr>
          <w:rFonts w:eastAsia="等线" w:ascii="Arial" w:cs="Arial" w:hAnsi="Arial"/>
          <w:sz w:val="22"/>
        </w:rPr>
        <w:t xml:space="preserve"> 系统性掌握长寿科技全貌，建立穿越信息迷雾、属于你自己的科学判断力</w:t>
      </w:r>
    </w:p>
    <w:p>
      <w:pPr>
        <w:numPr>
          <w:numId w:val="32"/>
        </w:numPr>
        <w:spacing w:before="120" w:after="120" w:line="288" w:lineRule="auto"/>
        <w:ind w:left="0"/>
        <w:jc w:val="left"/>
      </w:pPr>
      <w:r>
        <w:rPr>
          <w:rFonts w:eastAsia="等线" w:ascii="Arial" w:cs="Arial" w:hAnsi="Arial"/>
          <w:b w:val="true"/>
          <w:sz w:val="22"/>
        </w:rPr>
        <w:t>【一份私人的行动蓝图】</w:t>
      </w:r>
      <w:r>
        <w:rPr>
          <w:rFonts w:eastAsia="等线" w:ascii="Arial" w:cs="Arial" w:hAnsi="Arial"/>
          <w:sz w:val="22"/>
        </w:rPr>
        <w:t xml:space="preserve"> 通过深度检测，精准识别你的“健康基本盘”，并以此为据，制定出清晰的“必选项”与“可选项”，带走一份为你和家人定制的、未来3-5年的健康行动指南</w:t>
      </w:r>
    </w:p>
    <w:p>
      <w:pPr>
        <w:numPr>
          <w:numId w:val="33"/>
        </w:numPr>
        <w:spacing w:before="120" w:after="120" w:line="288" w:lineRule="auto"/>
        <w:ind w:left="0"/>
        <w:jc w:val="left"/>
      </w:pPr>
      <w:r>
        <w:rPr>
          <w:rFonts w:eastAsia="等线" w:ascii="Arial" w:cs="Arial" w:hAnsi="Arial"/>
          <w:b w:val="true"/>
          <w:sz w:val="22"/>
        </w:rPr>
        <w:t>【一张前沿的科技地图】</w:t>
      </w:r>
      <w:r>
        <w:rPr>
          <w:rFonts w:eastAsia="等线" w:ascii="Arial" w:cs="Arial" w:hAnsi="Arial"/>
          <w:sz w:val="22"/>
        </w:rPr>
        <w:t xml:space="preserve"> 王煜全老师将全程担任“首席解读官”，联合同行导师和一线专家去伪存真，为你呈现一张动态的“科技雷达图”，洞察哪些技术正在从实验室走向市场，值得关注和采用，并拥有爆发性商业潜力</w:t>
      </w:r>
    </w:p>
    <w:p>
      <w:pPr>
        <w:numPr>
          <w:numId w:val="34"/>
        </w:numPr>
        <w:spacing w:before="120" w:after="120" w:line="288" w:lineRule="auto"/>
        <w:ind w:left="0"/>
        <w:jc w:val="left"/>
      </w:pPr>
      <w:r>
        <w:rPr>
          <w:rFonts w:eastAsia="等线" w:ascii="Arial" w:cs="Arial" w:hAnsi="Arial"/>
          <w:b w:val="true"/>
          <w:sz w:val="22"/>
        </w:rPr>
        <w:t>【一个长期的资源网络】</w:t>
      </w:r>
      <w:r>
        <w:rPr>
          <w:rFonts w:eastAsia="等线" w:ascii="Arial" w:cs="Arial" w:hAnsi="Arial"/>
          <w:sz w:val="22"/>
        </w:rPr>
        <w:t xml:space="preserve"> 你将自动进入一个全球长寿科技的精英网络，获得持续、精准的前沿情报更新，拥有一个长期的“科技情报合伙人”</w:t>
      </w:r>
    </w:p>
    <w:p>
      <w:pPr>
        <w:spacing w:before="120" w:after="120" w:line="288" w:lineRule="auto"/>
        <w:ind w:left="0"/>
        <w:jc w:val="left"/>
      </w:pPr>
      <w:r>
        <w:rPr>
          <w:rFonts w:eastAsia="等线" w:ascii="Arial" w:cs="Arial" w:hAnsi="Arial"/>
          <w:sz w:val="22"/>
        </w:rPr>
        <w:t>本次行程，专为寻求以CEO思维管理自己生命健康的决策者而设计。你不仅投资自己的未来，更为你的家人带回一套可执行、可评估的科学健康管理体系。</w:t>
      </w:r>
    </w:p>
    <w:p>
      <w:pPr>
        <w:spacing w:before="120" w:after="120" w:line="288" w:lineRule="auto"/>
        <w:ind w:left="0"/>
        <w:jc w:val="left"/>
      </w:pPr>
    </w:p>
    <w:p>
      <w:pPr>
        <w:spacing w:before="120" w:after="120" w:line="288" w:lineRule="auto"/>
        <w:ind w:left="0"/>
        <w:jc w:val="center"/>
      </w:pPr>
      <w:r>
        <w:rPr>
          <w:rFonts w:eastAsia="等线" w:ascii="Arial" w:cs="Arial" w:hAnsi="Arial"/>
          <w:b w:val="true"/>
          <w:color w:val="245bdb"/>
          <w:sz w:val="22"/>
        </w:rPr>
        <w:t>行程安排</w:t>
      </w:r>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10月19日（周日） 硅谷集合</w:t>
      </w:r>
    </w:p>
    <w:p>
      <w:pPr>
        <w:numPr>
          <w:numId w:val="35"/>
        </w:numPr>
        <w:spacing w:before="120" w:after="120" w:line="288" w:lineRule="auto"/>
        <w:ind w:left="0"/>
        <w:jc w:val="left"/>
      </w:pPr>
      <w:r>
        <w:rPr>
          <w:rFonts w:eastAsia="等线" w:ascii="Arial" w:cs="Arial" w:hAnsi="Arial"/>
          <w:sz w:val="22"/>
        </w:rPr>
        <w:t xml:space="preserve">抵达旧金山湾区，入住酒店 </w:t>
      </w:r>
    </w:p>
    <w:p>
      <w:pPr>
        <w:numPr>
          <w:numId w:val="36"/>
        </w:numPr>
        <w:spacing w:before="120" w:after="120" w:line="288" w:lineRule="auto"/>
        <w:ind w:left="0"/>
        <w:jc w:val="left"/>
      </w:pPr>
      <w:r>
        <w:rPr>
          <w:rFonts w:eastAsia="等线" w:ascii="Arial" w:cs="Arial" w:hAnsi="Arial"/>
          <w:sz w:val="22"/>
        </w:rPr>
        <w:t xml:space="preserve">欢迎晚宴：王煜全老师主旨分享，开启一周长寿科技之旅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10月20日（周一） 基因、免疫与衰老</w:t>
      </w:r>
    </w:p>
    <w:p>
      <w:pPr>
        <w:numPr>
          <w:numId w:val="37"/>
        </w:numPr>
        <w:spacing w:before="120" w:after="120" w:line="288" w:lineRule="auto"/>
        <w:ind w:left="0"/>
        <w:jc w:val="left"/>
      </w:pPr>
      <w:r>
        <w:rPr>
          <w:rFonts w:eastAsia="等线" w:ascii="Arial" w:cs="Arial" w:hAnsi="Arial"/>
          <w:sz w:val="22"/>
        </w:rPr>
        <w:t xml:space="preserve">斯坦福大学免疫学系、神经学系衰老研究实验室座谈，聚焦长寿领域的前沿突破 </w:t>
      </w:r>
    </w:p>
    <w:p>
      <w:pPr>
        <w:numPr>
          <w:numId w:val="38"/>
        </w:numPr>
        <w:spacing w:before="120" w:after="120" w:line="288" w:lineRule="auto"/>
        <w:ind w:left="0"/>
        <w:jc w:val="left"/>
      </w:pPr>
      <w:r>
        <w:rPr>
          <w:rFonts w:eastAsia="等线" w:ascii="Arial" w:cs="Arial" w:hAnsi="Arial"/>
          <w:sz w:val="22"/>
        </w:rPr>
        <w:t xml:space="preserve">完成炎症检测与器官生物年龄采样，体验最先进的检测技术 </w:t>
      </w:r>
    </w:p>
    <w:p>
      <w:pPr>
        <w:numPr>
          <w:numId w:val="39"/>
        </w:numPr>
        <w:spacing w:before="120" w:after="120" w:line="288" w:lineRule="auto"/>
        <w:ind w:left="0"/>
        <w:jc w:val="left"/>
      </w:pPr>
      <w:r>
        <w:rPr>
          <w:rFonts w:eastAsia="等线" w:ascii="Arial" w:cs="Arial" w:hAnsi="Arial"/>
          <w:sz w:val="22"/>
        </w:rPr>
        <w:t xml:space="preserve">参访硅谷健康科技孵化器，探索长寿赛道的创新生态 </w:t>
      </w:r>
    </w:p>
    <w:p>
      <w:pPr>
        <w:numPr>
          <w:numId w:val="40"/>
        </w:numPr>
        <w:spacing w:before="120" w:after="120" w:line="288" w:lineRule="auto"/>
        <w:ind w:left="0"/>
        <w:jc w:val="left"/>
      </w:pPr>
      <w:r>
        <w:rPr>
          <w:rFonts w:eastAsia="等线" w:ascii="Arial" w:cs="Arial" w:hAnsi="Arial"/>
          <w:sz w:val="22"/>
        </w:rPr>
        <w:t xml:space="preserve">漫步斯坦福校园，参观胡佛研究所，感受学术与历史的交汇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10月21日（周二） 压力、睡眠与衰老</w:t>
      </w:r>
    </w:p>
    <w:p>
      <w:pPr>
        <w:numPr>
          <w:numId w:val="41"/>
        </w:numPr>
        <w:spacing w:before="120" w:after="120" w:line="288" w:lineRule="auto"/>
        <w:ind w:left="0"/>
        <w:jc w:val="left"/>
      </w:pPr>
      <w:r>
        <w:rPr>
          <w:rFonts w:eastAsia="等线" w:ascii="Arial" w:cs="Arial" w:hAnsi="Arial"/>
          <w:sz w:val="22"/>
        </w:rPr>
        <w:t xml:space="preserve">完成Gut Intelligence肠道微生物生态检测，洞察健康与长寿的“第二基因组” </w:t>
      </w:r>
    </w:p>
    <w:p>
      <w:pPr>
        <w:numPr>
          <w:numId w:val="42"/>
        </w:numPr>
        <w:spacing w:before="120" w:after="120" w:line="288" w:lineRule="auto"/>
        <w:ind w:left="0"/>
        <w:jc w:val="left"/>
      </w:pPr>
      <w:r>
        <w:rPr>
          <w:rFonts w:eastAsia="等线" w:ascii="Arial" w:cs="Arial" w:hAnsi="Arial"/>
          <w:sz w:val="22"/>
        </w:rPr>
        <w:t xml:space="preserve">加州大学旧金山分校（UCSF ）精神与行为学系闭门交流，聚焦睡眠、压力管理与脑健康研究和干预策略 </w:t>
      </w:r>
    </w:p>
    <w:p>
      <w:pPr>
        <w:numPr>
          <w:numId w:val="43"/>
        </w:numPr>
        <w:spacing w:before="120" w:after="120" w:line="288" w:lineRule="auto"/>
        <w:ind w:left="0"/>
        <w:jc w:val="left"/>
      </w:pPr>
      <w:r>
        <w:rPr>
          <w:rFonts w:eastAsia="等线" w:ascii="Arial" w:cs="Arial" w:hAnsi="Arial"/>
          <w:sz w:val="22"/>
        </w:rPr>
        <w:t xml:space="preserve">参观 UCSF Medical Center 创新临床研究设施，了解科研与临床转化 </w:t>
      </w:r>
    </w:p>
    <w:p>
      <w:pPr>
        <w:numPr>
          <w:numId w:val="44"/>
        </w:numPr>
        <w:spacing w:before="120" w:after="120" w:line="288" w:lineRule="auto"/>
        <w:ind w:left="0"/>
        <w:jc w:val="left"/>
      </w:pPr>
      <w:r>
        <w:rPr>
          <w:rFonts w:eastAsia="等线" w:ascii="Arial" w:cs="Arial" w:hAnsi="Arial"/>
          <w:sz w:val="22"/>
        </w:rPr>
        <w:t xml:space="preserve">长寿生活方式体验：漫步旧金山湾畔小镇 Sausalito，感受慢生活与健康美学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10月22日（周三）可穿戴技术与长寿</w:t>
      </w:r>
    </w:p>
    <w:p>
      <w:pPr>
        <w:numPr>
          <w:numId w:val="45"/>
        </w:numPr>
        <w:spacing w:before="120" w:after="120" w:line="288" w:lineRule="auto"/>
        <w:ind w:left="0"/>
        <w:jc w:val="left"/>
      </w:pPr>
      <w:r>
        <w:rPr>
          <w:rFonts w:eastAsia="等线" w:ascii="Arial" w:cs="Arial" w:hAnsi="Arial"/>
          <w:sz w:val="22"/>
        </w:rPr>
        <w:t xml:space="preserve">完成BrainScan认知与阿尔茨海默风险评估采样，前瞻性认知健康管理 </w:t>
      </w:r>
    </w:p>
    <w:p>
      <w:pPr>
        <w:numPr>
          <w:numId w:val="46"/>
        </w:numPr>
        <w:spacing w:before="120" w:after="120" w:line="288" w:lineRule="auto"/>
        <w:ind w:left="0"/>
        <w:jc w:val="left"/>
      </w:pPr>
      <w:r>
        <w:rPr>
          <w:rFonts w:eastAsia="等线" w:ascii="Arial" w:cs="Arial" w:hAnsi="Arial"/>
          <w:sz w:val="22"/>
        </w:rPr>
        <w:t xml:space="preserve">专题研讨：与美国领先可穿戴算法公司 LifeQ CEO Laurie Olivier 对话，聚焦可穿戴技术在长寿管理中的应用 </w:t>
      </w:r>
    </w:p>
    <w:p>
      <w:pPr>
        <w:numPr>
          <w:numId w:val="47"/>
        </w:numPr>
        <w:spacing w:before="120" w:after="120" w:line="288" w:lineRule="auto"/>
        <w:ind w:left="0"/>
        <w:jc w:val="left"/>
      </w:pPr>
      <w:r>
        <w:rPr>
          <w:rFonts w:eastAsia="等线" w:ascii="Arial" w:cs="Arial" w:hAnsi="Arial"/>
          <w:sz w:val="22"/>
        </w:rPr>
        <w:t xml:space="preserve">硅谷华人创业者闭门交流，链接全球创新资源 </w:t>
      </w:r>
    </w:p>
    <w:p>
      <w:pPr>
        <w:numPr>
          <w:numId w:val="48"/>
        </w:numPr>
        <w:spacing w:before="120" w:after="120" w:line="288" w:lineRule="auto"/>
        <w:ind w:left="0"/>
        <w:jc w:val="left"/>
      </w:pPr>
      <w:r>
        <w:rPr>
          <w:rFonts w:eastAsia="等线" w:ascii="Arial" w:cs="Arial" w:hAnsi="Arial"/>
          <w:sz w:val="22"/>
        </w:rPr>
        <w:t xml:space="preserve">王煜全、周其仁、万维钢老师 行程中期分享，深度解读长寿科技与产业趋势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10月23日（周四）营养、代谢与长寿</w:t>
      </w:r>
    </w:p>
    <w:p>
      <w:pPr>
        <w:numPr>
          <w:numId w:val="49"/>
        </w:numPr>
        <w:spacing w:before="120" w:after="120" w:line="288" w:lineRule="auto"/>
        <w:ind w:left="0"/>
        <w:jc w:val="left"/>
      </w:pPr>
      <w:r>
        <w:rPr>
          <w:rFonts w:eastAsia="等线" w:ascii="Arial" w:cs="Arial" w:hAnsi="Arial"/>
          <w:sz w:val="22"/>
        </w:rPr>
        <w:t xml:space="preserve">参访 巴克衰老研究所（Buck Institute），深入了解其在营养、代谢与抗衰研究中的最新进展 </w:t>
      </w:r>
    </w:p>
    <w:p>
      <w:pPr>
        <w:numPr>
          <w:numId w:val="50"/>
        </w:numPr>
        <w:spacing w:before="120" w:after="120" w:line="288" w:lineRule="auto"/>
        <w:ind w:left="0"/>
        <w:jc w:val="left"/>
      </w:pPr>
      <w:r>
        <w:rPr>
          <w:rFonts w:eastAsia="等线" w:ascii="Arial" w:cs="Arial" w:hAnsi="Arial"/>
          <w:sz w:val="22"/>
        </w:rPr>
        <w:t xml:space="preserve">健康徒步 Napa 山谷，亲身感受自然疗愈力 </w:t>
      </w:r>
    </w:p>
    <w:p>
      <w:pPr>
        <w:numPr>
          <w:numId w:val="51"/>
        </w:numPr>
        <w:spacing w:before="120" w:after="120" w:line="288" w:lineRule="auto"/>
        <w:ind w:left="0"/>
        <w:jc w:val="left"/>
      </w:pPr>
      <w:r>
        <w:rPr>
          <w:rFonts w:eastAsia="等线" w:ascii="Arial" w:cs="Arial" w:hAnsi="Arial"/>
          <w:sz w:val="22"/>
        </w:rPr>
        <w:t xml:space="preserve">Napa 酒庄品酒体验，聆听王煜全老师的红酒文化分享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10月24日（周五）长寿的未来</w:t>
      </w:r>
    </w:p>
    <w:p>
      <w:pPr>
        <w:numPr>
          <w:numId w:val="52"/>
        </w:numPr>
        <w:spacing w:before="120" w:after="120" w:line="288" w:lineRule="auto"/>
        <w:ind w:left="0"/>
        <w:jc w:val="left"/>
      </w:pPr>
      <w:r>
        <w:rPr>
          <w:rFonts w:eastAsia="等线" w:ascii="Arial" w:cs="Arial" w:hAnsi="Arial"/>
          <w:sz w:val="22"/>
        </w:rPr>
        <w:t xml:space="preserve">访问加州大学伯克利分校营养与公共健康学院，探讨健康老化研究 </w:t>
      </w:r>
    </w:p>
    <w:p>
      <w:pPr>
        <w:numPr>
          <w:numId w:val="53"/>
        </w:numPr>
        <w:spacing w:before="120" w:after="120" w:line="288" w:lineRule="auto"/>
        <w:ind w:left="0"/>
        <w:jc w:val="left"/>
      </w:pPr>
      <w:r>
        <w:rPr>
          <w:rFonts w:eastAsia="等线" w:ascii="Arial" w:cs="Arial" w:hAnsi="Arial"/>
          <w:sz w:val="22"/>
        </w:rPr>
        <w:t xml:space="preserve">与硅谷长寿投资人及被投企业深入交流，了解资本如何驱动长寿产业创新 </w:t>
      </w:r>
    </w:p>
    <w:p>
      <w:pPr>
        <w:numPr>
          <w:numId w:val="54"/>
        </w:numPr>
        <w:spacing w:before="120" w:after="120" w:line="288" w:lineRule="auto"/>
        <w:ind w:left="0"/>
        <w:jc w:val="left"/>
      </w:pPr>
      <w:r>
        <w:rPr>
          <w:rFonts w:eastAsia="等线" w:ascii="Arial" w:cs="Arial" w:hAnsi="Arial"/>
          <w:sz w:val="22"/>
        </w:rPr>
        <w:t xml:space="preserve">结营分享：考察团成员学习总结，王煜全、周其仁、万维钢三位老师闭幕分享，凝练思想与启发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10月25日（周六） 结束与返程</w:t>
      </w:r>
    </w:p>
    <w:p>
      <w:pPr>
        <w:numPr>
          <w:numId w:val="55"/>
        </w:numPr>
        <w:spacing w:before="120" w:after="120" w:line="288" w:lineRule="auto"/>
        <w:ind w:left="0"/>
        <w:jc w:val="left"/>
      </w:pPr>
      <w:r>
        <w:rPr>
          <w:rFonts w:eastAsia="等线" w:ascii="Arial" w:cs="Arial" w:hAnsi="Arial"/>
          <w:sz w:val="22"/>
        </w:rPr>
        <w:t xml:space="preserve">告别早餐 </w:t>
      </w:r>
    </w:p>
    <w:p>
      <w:pPr>
        <w:numPr>
          <w:numId w:val="56"/>
        </w:numPr>
        <w:spacing w:before="120" w:after="120" w:line="288" w:lineRule="auto"/>
        <w:ind w:left="0"/>
        <w:jc w:val="left"/>
      </w:pPr>
      <w:r>
        <w:rPr>
          <w:rFonts w:eastAsia="等线" w:ascii="Arial" w:cs="Arial" w:hAnsi="Arial"/>
          <w:sz w:val="22"/>
        </w:rPr>
        <w:t>自由交流、结伴返程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*行程内容顺序可能调整及优化</w:t>
      </w:r>
    </w:p>
    <w:p>
      <w:pPr>
        <w:spacing w:before="120" w:after="120" w:line="288" w:lineRule="auto"/>
        <w:ind w:left="0"/>
        <w:jc w:val="left"/>
      </w:pPr>
      <w:r>
        <w:rPr>
          <w:rFonts w:eastAsia="等线" w:ascii="Arial" w:cs="Arial" w:hAnsi="Arial"/>
          <w:sz w:val="22"/>
        </w:rPr>
        <w:t>*王煜全、周其仁、万维钢老师全程参与行程</w:t>
      </w:r>
    </w:p>
    <w:p>
      <w:pPr>
        <w:spacing w:before="120" w:after="120" w:line="288" w:lineRule="auto"/>
        <w:ind w:left="0"/>
        <w:jc w:val="left"/>
      </w:pPr>
    </w:p>
    <w:p>
      <w:pPr>
        <w:spacing w:before="120" w:after="120" w:line="288" w:lineRule="auto"/>
        <w:ind w:left="0"/>
        <w:jc w:val="center"/>
      </w:pPr>
      <w:r>
        <w:drawing>
          <wp:inline distT="0" distR="0" distB="0" distL="0">
            <wp:extent cx="304800" cy="2095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8"/>
                    <a:stretch>
                      <a:fillRect/>
                    </a:stretch>
                  </pic:blipFill>
                  <pic:spPr>
                    <a:xfrm>
                      <a:off x="0" y="0"/>
                      <a:ext cx="304800" cy="209550"/>
                    </a:xfrm>
                    <a:prstGeom prst="rect">
                      <a:avLst/>
                    </a:prstGeom>
                  </pic:spPr>
                </pic:pic>
              </a:graphicData>
            </a:graphic>
          </wp:inline>
        </w:drawing>
      </w:r>
    </w:p>
    <w:p>
      <w:pPr>
        <w:spacing w:before="120" w:after="120" w:line="288" w:lineRule="auto"/>
        <w:ind w:left="0"/>
        <w:jc w:val="center"/>
      </w:pPr>
      <w:r>
        <w:rPr>
          <w:rFonts w:eastAsia="等线" w:ascii="Arial" w:cs="Arial" w:hAnsi="Arial"/>
          <w:b w:val="true"/>
          <w:color w:val="245bdb"/>
          <w:sz w:val="22"/>
        </w:rPr>
        <w:t>费用</w:t>
      </w:r>
    </w:p>
    <w:p>
      <w:pPr>
        <w:numPr>
          <w:numId w:val="57"/>
        </w:numPr>
        <w:spacing w:before="120" w:after="120" w:line="288" w:lineRule="auto"/>
        <w:ind w:left="0"/>
        <w:jc w:val="left"/>
      </w:pPr>
      <w:r>
        <w:rPr>
          <w:rFonts w:eastAsia="等线" w:ascii="Arial" w:cs="Arial" w:hAnsi="Arial"/>
          <w:b w:val="true"/>
          <w:sz w:val="22"/>
        </w:rPr>
        <w:t>行程费用：</w:t>
      </w:r>
      <w:r>
        <w:rPr>
          <w:rFonts w:eastAsia="等线" w:ascii="Arial" w:cs="Arial" w:hAnsi="Arial"/>
          <w:sz w:val="22"/>
        </w:rPr>
        <w:t>118,000元/席   9月1日前早鸟价：</w:t>
      </w:r>
      <w:r>
        <w:rPr>
          <w:rFonts w:eastAsia="等线" w:ascii="Arial" w:cs="Arial" w:hAnsi="Arial"/>
          <w:b w:val="true"/>
          <w:sz w:val="22"/>
        </w:rPr>
        <w:t>108,000元/席</w:t>
      </w:r>
    </w:p>
    <w:p>
      <w:pPr>
        <w:numPr>
          <w:numId w:val="58"/>
        </w:numPr>
        <w:spacing w:before="120" w:after="120" w:line="288" w:lineRule="auto"/>
        <w:ind w:left="0"/>
        <w:jc w:val="left"/>
      </w:pPr>
      <w:r>
        <w:rPr>
          <w:rFonts w:eastAsia="等线" w:ascii="Arial" w:cs="Arial" w:hAnsi="Arial"/>
          <w:b w:val="true"/>
          <w:sz w:val="22"/>
        </w:rPr>
        <w:t>同行者计划：</w:t>
      </w:r>
      <w:r>
        <w:rPr>
          <w:rFonts w:eastAsia="等线" w:ascii="Arial" w:cs="Arial" w:hAnsi="Arial"/>
          <w:sz w:val="22"/>
        </w:rPr>
        <w:t xml:space="preserve"> 鼓励与最关心的人（家人或事业伙伴）同行，共同决策。同行者享受特别支持（102,000元/席，两人分享房间）</w:t>
      </w:r>
    </w:p>
    <w:p>
      <w:pPr>
        <w:spacing w:before="120" w:after="120" w:line="288" w:lineRule="auto"/>
        <w:ind w:left="0"/>
        <w:jc w:val="left"/>
      </w:pPr>
      <w:r>
        <w:rPr>
          <w:rFonts w:eastAsia="等线" w:ascii="Arial" w:cs="Arial" w:hAnsi="Arial"/>
          <w:sz w:val="22"/>
        </w:rPr>
        <w:t>本次行程仅开放</w:t>
      </w:r>
      <w:r>
        <w:rPr>
          <w:rFonts w:eastAsia="等线" w:ascii="Arial" w:cs="Arial" w:hAnsi="Arial"/>
          <w:b w:val="true"/>
          <w:sz w:val="22"/>
        </w:rPr>
        <w:t>30席</w:t>
      </w:r>
      <w:r>
        <w:rPr>
          <w:rFonts w:eastAsia="等线" w:ascii="Arial" w:cs="Arial" w:hAnsi="Arial"/>
          <w:sz w:val="22"/>
        </w:rPr>
        <w:t>，请即联系我们，开启你的定制之旅。</w:t>
      </w:r>
    </w:p>
    <w:p>
      <w:pPr>
        <w:spacing w:before="120" w:after="120" w:line="288" w:lineRule="auto"/>
        <w:ind w:left="0"/>
        <w:jc w:val="left"/>
      </w:pPr>
      <w:r>
        <w:rPr>
          <w:rFonts w:eastAsia="等线" w:ascii="Arial" w:cs="Arial" w:hAnsi="Arial"/>
          <w:b w:val="true"/>
          <w:sz w:val="22"/>
        </w:rPr>
        <w:t>费用包含：</w:t>
      </w:r>
    </w:p>
    <w:p>
      <w:pPr>
        <w:spacing w:before="120" w:after="120" w:line="288" w:lineRule="auto"/>
        <w:ind w:left="0"/>
        <w:jc w:val="left"/>
      </w:pPr>
      <w:r>
        <w:rPr>
          <w:rFonts w:eastAsia="等线" w:ascii="Arial" w:cs="Arial" w:hAnsi="Arial"/>
          <w:sz w:val="22"/>
        </w:rPr>
        <w:t>• 行程统一安排的检测、参访、体验活动费用</w:t>
      </w:r>
    </w:p>
    <w:p>
      <w:pPr>
        <w:spacing w:before="120" w:after="120" w:line="288" w:lineRule="auto"/>
        <w:ind w:left="0"/>
        <w:jc w:val="left"/>
      </w:pPr>
      <w:r>
        <w:rPr>
          <w:rFonts w:eastAsia="等线" w:ascii="Arial" w:cs="Arial" w:hAnsi="Arial"/>
          <w:sz w:val="22"/>
        </w:rPr>
        <w:t>• 商务酒店标准单人间住宿6晚（亚朵级别）</w:t>
      </w:r>
    </w:p>
    <w:p>
      <w:pPr>
        <w:spacing w:before="120" w:after="120" w:line="288" w:lineRule="auto"/>
        <w:ind w:left="0"/>
        <w:jc w:val="left"/>
      </w:pPr>
      <w:r>
        <w:rPr>
          <w:rFonts w:eastAsia="等线" w:ascii="Arial" w:cs="Arial" w:hAnsi="Arial"/>
          <w:sz w:val="22"/>
        </w:rPr>
        <w:t>• 行程期间餐费</w:t>
      </w:r>
    </w:p>
    <w:p>
      <w:pPr>
        <w:spacing w:before="120" w:after="120" w:line="288" w:lineRule="auto"/>
        <w:ind w:left="0"/>
        <w:jc w:val="left"/>
      </w:pPr>
      <w:r>
        <w:rPr>
          <w:rFonts w:eastAsia="等线" w:ascii="Arial" w:cs="Arial" w:hAnsi="Arial"/>
          <w:sz w:val="22"/>
        </w:rPr>
        <w:t>• 行程期间统一行动的交通服务</w:t>
      </w:r>
    </w:p>
    <w:p>
      <w:pPr>
        <w:spacing w:before="120" w:after="120" w:line="288" w:lineRule="auto"/>
        <w:ind w:left="0"/>
        <w:jc w:val="left"/>
      </w:pPr>
      <w:r>
        <w:rPr>
          <w:rFonts w:eastAsia="等线" w:ascii="Arial" w:cs="Arial" w:hAnsi="Arial"/>
          <w:b w:val="true"/>
          <w:sz w:val="22"/>
        </w:rPr>
        <w:t>费用不包含：</w:t>
      </w:r>
    </w:p>
    <w:p>
      <w:pPr>
        <w:spacing w:before="120" w:after="120" w:line="288" w:lineRule="auto"/>
        <w:ind w:left="0"/>
        <w:jc w:val="left"/>
      </w:pPr>
      <w:r>
        <w:rPr>
          <w:rFonts w:eastAsia="等线" w:ascii="Arial" w:cs="Arial" w:hAnsi="Arial"/>
          <w:sz w:val="22"/>
        </w:rPr>
        <w:t>机票费用，美国签证费用，行程中购物、自由活动等个人消费</w:t>
      </w:r>
    </w:p>
    <w:p>
      <w:pPr>
        <w:spacing w:before="120" w:after="120" w:line="288" w:lineRule="auto"/>
        <w:ind w:left="0"/>
        <w:jc w:val="left"/>
      </w:pPr>
      <w:r>
        <w:rPr>
          <w:rFonts w:eastAsia="等线" w:ascii="Arial" w:cs="Arial" w:hAnsi="Arial"/>
          <w:b w:val="true"/>
          <w:sz w:val="22"/>
        </w:rPr>
        <w:t>关于美国签证：</w:t>
      </w:r>
    </w:p>
    <w:p>
      <w:pPr>
        <w:spacing w:before="120" w:after="120" w:line="288" w:lineRule="auto"/>
        <w:ind w:left="0"/>
        <w:jc w:val="left"/>
      </w:pPr>
      <w:r>
        <w:rPr>
          <w:rFonts w:eastAsia="等线" w:ascii="Arial" w:cs="Arial" w:hAnsi="Arial"/>
          <w:sz w:val="22"/>
        </w:rPr>
        <w:t>正确填写申请表格，预计4-5周完成。如需推荐代办请联系客服</w:t>
      </w:r>
    </w:p>
    <w:p>
      <w:pPr>
        <w:spacing w:before="120" w:after="120" w:line="288" w:lineRule="auto"/>
        <w:ind w:left="0"/>
        <w:jc w:val="center"/>
      </w:pPr>
      <w:r>
        <w:drawing>
          <wp:inline distT="0" distR="0" distB="0" distL="0">
            <wp:extent cx="304800" cy="2095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8"/>
                    <a:stretch>
                      <a:fillRect/>
                    </a:stretch>
                  </pic:blipFill>
                  <pic:spPr>
                    <a:xfrm>
                      <a:off x="0" y="0"/>
                      <a:ext cx="304800" cy="209550"/>
                    </a:xfrm>
                    <a:prstGeom prst="rect">
                      <a:avLst/>
                    </a:prstGeom>
                  </pic:spPr>
                </pic:pic>
              </a:graphicData>
            </a:graphic>
          </wp:inline>
        </w:drawing>
      </w:r>
    </w:p>
    <w:p>
      <w:pPr>
        <w:spacing w:before="120" w:after="120" w:line="288" w:lineRule="auto"/>
        <w:ind w:left="0"/>
        <w:jc w:val="center"/>
      </w:pPr>
      <w:r>
        <w:rPr>
          <w:rFonts w:eastAsia="等线" w:ascii="Arial" w:cs="Arial" w:hAnsi="Arial"/>
          <w:b w:val="true"/>
          <w:color w:val="245bdb"/>
          <w:sz w:val="22"/>
        </w:rPr>
        <w:t>临时退款说明</w:t>
      </w:r>
    </w:p>
    <w:p>
      <w:pPr>
        <w:spacing w:before="120" w:after="120" w:line="288" w:lineRule="auto"/>
        <w:ind w:left="0"/>
        <w:jc w:val="left"/>
      </w:pPr>
      <w:r>
        <w:rPr>
          <w:rFonts w:eastAsia="等线" w:ascii="Arial" w:cs="Arial" w:hAnsi="Arial"/>
          <w:sz w:val="22"/>
        </w:rPr>
        <w:t>2025年9月7日（含）前，申请取消行程的，除去既已发生的费用（如酒店预订费等），可全额退款；</w:t>
      </w:r>
    </w:p>
    <w:p>
      <w:pPr>
        <w:spacing w:before="120" w:after="120" w:line="288" w:lineRule="auto"/>
        <w:ind w:left="0"/>
        <w:jc w:val="left"/>
      </w:pPr>
      <w:r>
        <w:rPr>
          <w:rFonts w:eastAsia="等线" w:ascii="Arial" w:cs="Arial" w:hAnsi="Arial"/>
          <w:sz w:val="22"/>
        </w:rPr>
        <w:t>9月8日至9月28日（含）申请取消行程的，退款70%；</w:t>
      </w:r>
    </w:p>
    <w:p>
      <w:pPr>
        <w:spacing w:before="120" w:after="120" w:line="288" w:lineRule="auto"/>
        <w:ind w:left="0"/>
        <w:jc w:val="left"/>
      </w:pPr>
      <w:r>
        <w:rPr>
          <w:rFonts w:eastAsia="等线" w:ascii="Arial" w:cs="Arial" w:hAnsi="Arial"/>
          <w:sz w:val="22"/>
        </w:rPr>
        <w:t>9月29日至10月10日（含）申请取消行程的，退款30%；</w:t>
      </w:r>
    </w:p>
    <w:p>
      <w:pPr>
        <w:spacing w:before="120" w:after="120" w:line="288" w:lineRule="auto"/>
        <w:ind w:left="0"/>
        <w:jc w:val="left"/>
      </w:pPr>
      <w:r>
        <w:rPr>
          <w:rFonts w:eastAsia="等线" w:ascii="Arial" w:cs="Arial" w:hAnsi="Arial"/>
          <w:sz w:val="22"/>
        </w:rPr>
        <w:t xml:space="preserve">2025年10月11日后不支持退款。 </w:t>
      </w:r>
    </w:p>
    <w:p>
      <w:pPr>
        <w:spacing w:before="120" w:after="120" w:line="288" w:lineRule="auto"/>
        <w:ind w:left="0"/>
        <w:jc w:val="center"/>
      </w:pPr>
      <w:r>
        <w:drawing>
          <wp:inline distT="0" distR="0" distB="0" distL="0">
            <wp:extent cx="304800" cy="2095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8"/>
                    <a:stretch>
                      <a:fillRect/>
                    </a:stretch>
                  </pic:blipFill>
                  <pic:spPr>
                    <a:xfrm>
                      <a:off x="0" y="0"/>
                      <a:ext cx="304800" cy="209550"/>
                    </a:xfrm>
                    <a:prstGeom prst="rect">
                      <a:avLst/>
                    </a:prstGeom>
                  </pic:spPr>
                </pic:pic>
              </a:graphicData>
            </a:graphic>
          </wp:inline>
        </w:drawing>
      </w:r>
    </w:p>
    <w:p>
      <w:pPr>
        <w:spacing w:before="120" w:after="120" w:line="288" w:lineRule="auto"/>
        <w:ind w:left="0"/>
        <w:jc w:val="center"/>
      </w:pPr>
      <w:r>
        <w:rPr>
          <w:rFonts w:eastAsia="等线" w:ascii="Arial" w:cs="Arial" w:hAnsi="Arial"/>
          <w:b w:val="true"/>
          <w:color w:val="245bdb"/>
          <w:sz w:val="22"/>
        </w:rPr>
        <w:t>报名方式</w:t>
      </w:r>
    </w:p>
    <w:p>
      <w:pPr>
        <w:spacing w:before="120" w:after="120" w:line="288" w:lineRule="auto"/>
        <w:ind w:left="0"/>
        <w:jc w:val="center"/>
      </w:pPr>
      <w:r>
        <w:rPr>
          <w:rFonts w:eastAsia="等线" w:ascii="Arial" w:cs="Arial" w:hAnsi="Arial"/>
          <w:sz w:val="22"/>
        </w:rPr>
        <w:t>扫码填写报名表报名</w:t>
      </w:r>
    </w:p>
    <w:p>
      <w:pPr>
        <w:spacing w:before="120" w:after="120" w:line="288" w:lineRule="auto"/>
        <w:ind w:left="0"/>
        <w:jc w:val="center"/>
      </w:pPr>
      <w:r>
        <w:drawing>
          <wp:inline distT="0" distR="0" distB="0" distL="0">
            <wp:extent cx="1809750" cy="1809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2"/>
                    <a:stretch>
                      <a:fillRect/>
                    </a:stretch>
                  </pic:blipFill>
                  <pic:spPr>
                    <a:xfrm>
                      <a:off x="0" y="0"/>
                      <a:ext cx="1809750" cy="1809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咨询请加客服微信：</w:t>
      </w:r>
    </w:p>
    <w:p>
      <w:pPr>
        <w:spacing w:before="120" w:after="120" w:line="288" w:lineRule="auto"/>
        <w:ind w:left="0"/>
        <w:jc w:val="left"/>
      </w:pPr>
      <w:r>
        <w:rPr>
          <w:rFonts w:eastAsia="等线" w:ascii="Arial" w:cs="Arial" w:hAnsi="Arial"/>
          <w:sz w:val="22"/>
        </w:rPr>
        <w:t>innovationmapSM</w:t>
      </w:r>
    </w:p>
    <w:p>
      <w:pPr>
        <w:spacing w:before="120" w:after="120" w:line="288" w:lineRule="auto"/>
        <w:ind w:left="0"/>
        <w:jc w:val="left"/>
      </w:pPr>
      <w:r>
        <w:rPr>
          <w:rFonts w:eastAsia="等线" w:ascii="Arial" w:cs="Arial" w:hAnsi="Arial"/>
          <w:sz w:val="22"/>
        </w:rPr>
        <w:t>付款将采用对公支付，发票将在</w:t>
      </w:r>
      <w:r>
        <w:rPr>
          <w:rFonts w:eastAsia="等线" w:ascii="Arial" w:cs="Arial" w:hAnsi="Arial"/>
          <w:color w:val="6425d0"/>
          <w:sz w:val="22"/>
        </w:rPr>
        <w:t>行程结束后</w:t>
      </w:r>
      <w:r>
        <w:rPr>
          <w:rFonts w:eastAsia="等线" w:ascii="Arial" w:cs="Arial" w:hAnsi="Arial"/>
          <w:sz w:val="22"/>
        </w:rPr>
        <w:t>提供</w:t>
      </w: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70273">
    <w:lvl>
      <w:start w:val="1"/>
      <w:numFmt w:val="decimal"/>
      <w:suff w:val="tab"/>
      <w:lvlText w:val="%1."/>
      <w:rPr>
        <w:color w:val="3370ff"/>
      </w:rPr>
    </w:lvl>
  </w:abstractNum>
  <w:abstractNum w:abstractNumId="1470274">
    <w:lvl>
      <w:numFmt w:val="bullet"/>
      <w:suff w:val="tab"/>
      <w:lvlText w:val="•"/>
      <w:rPr>
        <w:color w:val="3370ff"/>
      </w:rPr>
    </w:lvl>
  </w:abstractNum>
  <w:abstractNum w:abstractNumId="1470275">
    <w:lvl>
      <w:numFmt w:val="bullet"/>
      <w:suff w:val="tab"/>
      <w:lvlText w:val="•"/>
      <w:rPr>
        <w:color w:val="3370ff"/>
      </w:rPr>
    </w:lvl>
  </w:abstractNum>
  <w:abstractNum w:abstractNumId="1470276">
    <w:lvl>
      <w:numFmt w:val="bullet"/>
      <w:suff w:val="tab"/>
      <w:lvlText w:val="•"/>
      <w:rPr>
        <w:color w:val="3370ff"/>
      </w:rPr>
    </w:lvl>
  </w:abstractNum>
  <w:abstractNum w:abstractNumId="1470277">
    <w:lvl>
      <w:numFmt w:val="bullet"/>
      <w:suff w:val="tab"/>
      <w:lvlText w:val="•"/>
      <w:rPr>
        <w:color w:val="3370ff"/>
      </w:rPr>
    </w:lvl>
  </w:abstractNum>
  <w:abstractNum w:abstractNumId="1470278">
    <w:lvl>
      <w:numFmt w:val="bullet"/>
      <w:suff w:val="tab"/>
      <w:lvlText w:val="•"/>
      <w:rPr>
        <w:color w:val="3370ff"/>
      </w:rPr>
    </w:lvl>
  </w:abstractNum>
  <w:abstractNum w:abstractNumId="1470279">
    <w:lvl>
      <w:numFmt w:val="bullet"/>
      <w:suff w:val="tab"/>
      <w:lvlText w:val="•"/>
      <w:rPr>
        <w:color w:val="3370ff"/>
      </w:rPr>
    </w:lvl>
  </w:abstractNum>
  <w:abstractNum w:abstractNumId="1470280">
    <w:lvl>
      <w:numFmt w:val="bullet"/>
      <w:suff w:val="tab"/>
      <w:lvlText w:val="•"/>
      <w:rPr>
        <w:color w:val="3370ff"/>
      </w:rPr>
    </w:lvl>
  </w:abstractNum>
  <w:abstractNum w:abstractNumId="1470281">
    <w:lvl>
      <w:numFmt w:val="bullet"/>
      <w:suff w:val="tab"/>
      <w:lvlText w:val="•"/>
      <w:rPr>
        <w:color w:val="3370ff"/>
      </w:rPr>
    </w:lvl>
  </w:abstractNum>
  <w:abstractNum w:abstractNumId="1470282">
    <w:lvl>
      <w:numFmt w:val="bullet"/>
      <w:suff w:val="tab"/>
      <w:lvlText w:val="•"/>
      <w:rPr>
        <w:color w:val="3370ff"/>
      </w:rPr>
    </w:lvl>
  </w:abstractNum>
  <w:abstractNum w:abstractNumId="1470283">
    <w:lvl>
      <w:numFmt w:val="bullet"/>
      <w:suff w:val="tab"/>
      <w:lvlText w:val="•"/>
      <w:rPr>
        <w:color w:val="3370ff"/>
      </w:rPr>
    </w:lvl>
  </w:abstractNum>
  <w:abstractNum w:abstractNumId="1470284">
    <w:lvl>
      <w:numFmt w:val="bullet"/>
      <w:suff w:val="tab"/>
      <w:lvlText w:val="•"/>
      <w:rPr>
        <w:color w:val="3370ff"/>
      </w:rPr>
    </w:lvl>
  </w:abstractNum>
  <w:abstractNum w:abstractNumId="1470285">
    <w:lvl>
      <w:numFmt w:val="bullet"/>
      <w:suff w:val="tab"/>
      <w:lvlText w:val="•"/>
      <w:rPr>
        <w:color w:val="3370ff"/>
      </w:rPr>
    </w:lvl>
  </w:abstractNum>
  <w:abstractNum w:abstractNumId="1470286">
    <w:lvl>
      <w:numFmt w:val="bullet"/>
      <w:suff w:val="tab"/>
      <w:lvlText w:val="•"/>
      <w:rPr>
        <w:color w:val="3370ff"/>
      </w:rPr>
    </w:lvl>
  </w:abstractNum>
  <w:abstractNum w:abstractNumId="1470287">
    <w:lvl>
      <w:numFmt w:val="bullet"/>
      <w:suff w:val="tab"/>
      <w:lvlText w:val="•"/>
      <w:rPr>
        <w:color w:val="3370ff"/>
      </w:rPr>
    </w:lvl>
  </w:abstractNum>
  <w:abstractNum w:abstractNumId="1470288">
    <w:lvl>
      <w:numFmt w:val="bullet"/>
      <w:suff w:val="tab"/>
      <w:lvlText w:val="•"/>
      <w:rPr>
        <w:color w:val="3370ff"/>
      </w:rPr>
    </w:lvl>
  </w:abstractNum>
  <w:abstractNum w:abstractNumId="1470289">
    <w:lvl>
      <w:numFmt w:val="bullet"/>
      <w:suff w:val="tab"/>
      <w:lvlText w:val="•"/>
      <w:rPr>
        <w:color w:val="3370ff"/>
      </w:rPr>
    </w:lvl>
  </w:abstractNum>
  <w:abstractNum w:abstractNumId="1470290">
    <w:lvl>
      <w:numFmt w:val="bullet"/>
      <w:suff w:val="tab"/>
      <w:lvlText w:val="•"/>
      <w:rPr>
        <w:color w:val="3370ff"/>
      </w:rPr>
    </w:lvl>
  </w:abstractNum>
  <w:abstractNum w:abstractNumId="1470291">
    <w:lvl>
      <w:numFmt w:val="bullet"/>
      <w:suff w:val="tab"/>
      <w:lvlText w:val="•"/>
      <w:rPr>
        <w:color w:val="3370ff"/>
      </w:rPr>
    </w:lvl>
  </w:abstractNum>
  <w:abstractNum w:abstractNumId="1470292">
    <w:lvl>
      <w:numFmt w:val="bullet"/>
      <w:suff w:val="tab"/>
      <w:lvlText w:val="•"/>
      <w:rPr>
        <w:color w:val="3370ff"/>
      </w:rPr>
    </w:lvl>
  </w:abstractNum>
  <w:abstractNum w:abstractNumId="1470293">
    <w:lvl>
      <w:numFmt w:val="bullet"/>
      <w:suff w:val="tab"/>
      <w:lvlText w:val="•"/>
      <w:rPr>
        <w:color w:val="3370ff"/>
      </w:rPr>
    </w:lvl>
  </w:abstractNum>
  <w:abstractNum w:abstractNumId="1470294">
    <w:lvl>
      <w:start w:val="2"/>
      <w:numFmt w:val="decimal"/>
      <w:suff w:val="tab"/>
      <w:lvlText w:val="%1."/>
      <w:rPr>
        <w:color w:val="3370ff"/>
      </w:rPr>
    </w:lvl>
  </w:abstractNum>
  <w:abstractNum w:abstractNumId="1470295">
    <w:lvl>
      <w:numFmt w:val="bullet"/>
      <w:suff w:val="tab"/>
      <w:lvlText w:val="•"/>
      <w:rPr>
        <w:color w:val="3370ff"/>
      </w:rPr>
    </w:lvl>
  </w:abstractNum>
  <w:abstractNum w:abstractNumId="1470296">
    <w:lvl>
      <w:numFmt w:val="bullet"/>
      <w:suff w:val="tab"/>
      <w:lvlText w:val="•"/>
      <w:rPr>
        <w:color w:val="3370ff"/>
      </w:rPr>
    </w:lvl>
  </w:abstractNum>
  <w:abstractNum w:abstractNumId="1470297">
    <w:lvl>
      <w:numFmt w:val="bullet"/>
      <w:suff w:val="tab"/>
      <w:lvlText w:val="•"/>
      <w:rPr>
        <w:color w:val="3370ff"/>
      </w:rPr>
    </w:lvl>
  </w:abstractNum>
  <w:abstractNum w:abstractNumId="1470298">
    <w:lvl>
      <w:numFmt w:val="bullet"/>
      <w:suff w:val="tab"/>
      <w:lvlText w:val="•"/>
      <w:rPr>
        <w:color w:val="3370ff"/>
      </w:rPr>
    </w:lvl>
  </w:abstractNum>
  <w:abstractNum w:abstractNumId="1470299">
    <w:lvl>
      <w:start w:val="3"/>
      <w:numFmt w:val="decimal"/>
      <w:suff w:val="tab"/>
      <w:lvlText w:val="%1."/>
      <w:rPr>
        <w:color w:val="3370ff"/>
      </w:rPr>
    </w:lvl>
  </w:abstractNum>
  <w:abstractNum w:abstractNumId="1470300">
    <w:lvl>
      <w:numFmt w:val="bullet"/>
      <w:suff w:val="tab"/>
      <w:lvlText w:val="•"/>
      <w:rPr>
        <w:color w:val="3370ff"/>
      </w:rPr>
    </w:lvl>
  </w:abstractNum>
  <w:abstractNum w:abstractNumId="1470301">
    <w:lvl>
      <w:numFmt w:val="bullet"/>
      <w:suff w:val="tab"/>
      <w:lvlText w:val="•"/>
      <w:rPr>
        <w:color w:val="3370ff"/>
      </w:rPr>
    </w:lvl>
  </w:abstractNum>
  <w:abstractNum w:abstractNumId="1470302">
    <w:lvl>
      <w:numFmt w:val="bullet"/>
      <w:suff w:val="tab"/>
      <w:lvlText w:val="•"/>
      <w:rPr>
        <w:color w:val="3370ff"/>
      </w:rPr>
    </w:lvl>
  </w:abstractNum>
  <w:abstractNum w:abstractNumId="1470303">
    <w:lvl>
      <w:numFmt w:val="bullet"/>
      <w:suff w:val="tab"/>
      <w:lvlText w:val="•"/>
      <w:rPr>
        <w:color w:val="3370ff"/>
      </w:rPr>
    </w:lvl>
  </w:abstractNum>
  <w:abstractNum w:abstractNumId="1470304">
    <w:lvl>
      <w:numFmt w:val="bullet"/>
      <w:suff w:val="tab"/>
      <w:lvlText w:val="•"/>
      <w:rPr>
        <w:color w:val="3370ff"/>
      </w:rPr>
    </w:lvl>
  </w:abstractNum>
  <w:abstractNum w:abstractNumId="1470305">
    <w:lvl>
      <w:numFmt w:val="bullet"/>
      <w:suff w:val="tab"/>
      <w:lvlText w:val="•"/>
      <w:rPr>
        <w:color w:val="3370ff"/>
      </w:rPr>
    </w:lvl>
  </w:abstractNum>
  <w:abstractNum w:abstractNumId="1470306">
    <w:lvl>
      <w:numFmt w:val="bullet"/>
      <w:suff w:val="tab"/>
      <w:lvlText w:val="•"/>
      <w:rPr>
        <w:color w:val="3370ff"/>
      </w:rPr>
    </w:lvl>
  </w:abstractNum>
  <w:abstractNum w:abstractNumId="1470307">
    <w:lvl>
      <w:numFmt w:val="bullet"/>
      <w:suff w:val="tab"/>
      <w:lvlText w:val="•"/>
      <w:rPr>
        <w:color w:val="3370ff"/>
      </w:rPr>
    </w:lvl>
  </w:abstractNum>
  <w:abstractNum w:abstractNumId="1470308">
    <w:lvl>
      <w:numFmt w:val="bullet"/>
      <w:suff w:val="tab"/>
      <w:lvlText w:val="•"/>
      <w:rPr>
        <w:color w:val="3370ff"/>
      </w:rPr>
    </w:lvl>
  </w:abstractNum>
  <w:abstractNum w:abstractNumId="1470309">
    <w:lvl>
      <w:numFmt w:val="bullet"/>
      <w:suff w:val="tab"/>
      <w:lvlText w:val="•"/>
      <w:rPr>
        <w:color w:val="3370ff"/>
      </w:rPr>
    </w:lvl>
  </w:abstractNum>
  <w:abstractNum w:abstractNumId="1470310">
    <w:lvl>
      <w:numFmt w:val="bullet"/>
      <w:suff w:val="tab"/>
      <w:lvlText w:val="•"/>
      <w:rPr>
        <w:color w:val="3370ff"/>
      </w:rPr>
    </w:lvl>
  </w:abstractNum>
  <w:abstractNum w:abstractNumId="1470311">
    <w:lvl>
      <w:numFmt w:val="bullet"/>
      <w:suff w:val="tab"/>
      <w:lvlText w:val="•"/>
      <w:rPr>
        <w:color w:val="3370ff"/>
      </w:rPr>
    </w:lvl>
  </w:abstractNum>
  <w:abstractNum w:abstractNumId="1470312">
    <w:lvl>
      <w:numFmt w:val="bullet"/>
      <w:suff w:val="tab"/>
      <w:lvlText w:val="•"/>
      <w:rPr>
        <w:color w:val="3370ff"/>
      </w:rPr>
    </w:lvl>
  </w:abstractNum>
  <w:abstractNum w:abstractNumId="1470313">
    <w:lvl>
      <w:numFmt w:val="bullet"/>
      <w:suff w:val="tab"/>
      <w:lvlText w:val="•"/>
      <w:rPr>
        <w:color w:val="3370ff"/>
      </w:rPr>
    </w:lvl>
  </w:abstractNum>
  <w:abstractNum w:abstractNumId="1470314">
    <w:lvl>
      <w:numFmt w:val="bullet"/>
      <w:suff w:val="tab"/>
      <w:lvlText w:val="•"/>
      <w:rPr>
        <w:color w:val="3370ff"/>
      </w:rPr>
    </w:lvl>
  </w:abstractNum>
  <w:abstractNum w:abstractNumId="1470315">
    <w:lvl>
      <w:numFmt w:val="bullet"/>
      <w:suff w:val="tab"/>
      <w:lvlText w:val="•"/>
      <w:rPr>
        <w:color w:val="3370ff"/>
      </w:rPr>
    </w:lvl>
  </w:abstractNum>
  <w:abstractNum w:abstractNumId="1470316">
    <w:lvl>
      <w:numFmt w:val="bullet"/>
      <w:suff w:val="tab"/>
      <w:lvlText w:val="•"/>
      <w:rPr>
        <w:color w:val="3370ff"/>
      </w:rPr>
    </w:lvl>
  </w:abstractNum>
  <w:abstractNum w:abstractNumId="1470317">
    <w:lvl>
      <w:numFmt w:val="bullet"/>
      <w:suff w:val="tab"/>
      <w:lvlText w:val="•"/>
      <w:rPr>
        <w:color w:val="3370ff"/>
      </w:rPr>
    </w:lvl>
  </w:abstractNum>
  <w:abstractNum w:abstractNumId="1470318">
    <w:lvl>
      <w:numFmt w:val="bullet"/>
      <w:suff w:val="tab"/>
      <w:lvlText w:val="•"/>
      <w:rPr>
        <w:color w:val="3370ff"/>
      </w:rPr>
    </w:lvl>
  </w:abstractNum>
  <w:abstractNum w:abstractNumId="1470319">
    <w:lvl>
      <w:numFmt w:val="bullet"/>
      <w:suff w:val="tab"/>
      <w:lvlText w:val="•"/>
      <w:rPr>
        <w:color w:val="3370ff"/>
      </w:rPr>
    </w:lvl>
  </w:abstractNum>
  <w:abstractNum w:abstractNumId="1470320">
    <w:lvl>
      <w:numFmt w:val="bullet"/>
      <w:suff w:val="tab"/>
      <w:lvlText w:val="•"/>
      <w:rPr>
        <w:color w:val="3370ff"/>
      </w:rPr>
    </w:lvl>
  </w:abstractNum>
  <w:abstractNum w:abstractNumId="1470321">
    <w:lvl>
      <w:numFmt w:val="bullet"/>
      <w:suff w:val="tab"/>
      <w:lvlText w:val="•"/>
      <w:rPr>
        <w:color w:val="3370ff"/>
      </w:rPr>
    </w:lvl>
  </w:abstractNum>
  <w:abstractNum w:abstractNumId="1470322">
    <w:lvl>
      <w:numFmt w:val="bullet"/>
      <w:suff w:val="tab"/>
      <w:lvlText w:val="•"/>
      <w:rPr>
        <w:color w:val="3370ff"/>
      </w:rPr>
    </w:lvl>
  </w:abstractNum>
  <w:abstractNum w:abstractNumId="1470323">
    <w:lvl>
      <w:numFmt w:val="bullet"/>
      <w:suff w:val="tab"/>
      <w:lvlText w:val="•"/>
      <w:rPr>
        <w:color w:val="3370ff"/>
      </w:rPr>
    </w:lvl>
  </w:abstractNum>
  <w:abstractNum w:abstractNumId="1470324">
    <w:lvl>
      <w:numFmt w:val="bullet"/>
      <w:suff w:val="tab"/>
      <w:lvlText w:val="•"/>
      <w:rPr>
        <w:color w:val="3370ff"/>
      </w:rPr>
    </w:lvl>
  </w:abstractNum>
  <w:abstractNum w:abstractNumId="1470325">
    <w:lvl>
      <w:numFmt w:val="bullet"/>
      <w:suff w:val="tab"/>
      <w:lvlText w:val="•"/>
      <w:rPr>
        <w:color w:val="3370ff"/>
      </w:rPr>
    </w:lvl>
  </w:abstractNum>
  <w:abstractNum w:abstractNumId="1470326">
    <w:lvl>
      <w:numFmt w:val="bullet"/>
      <w:suff w:val="tab"/>
      <w:lvlText w:val="•"/>
      <w:rPr>
        <w:color w:val="3370ff"/>
      </w:rPr>
    </w:lvl>
  </w:abstractNum>
  <w:abstractNum w:abstractNumId="1470327">
    <w:lvl>
      <w:numFmt w:val="bullet"/>
      <w:suff w:val="tab"/>
      <w:lvlText w:val="•"/>
      <w:rPr>
        <w:color w:val="3370ff"/>
      </w:rPr>
    </w:lvl>
  </w:abstractNum>
  <w:abstractNum w:abstractNumId="1470328">
    <w:lvl>
      <w:numFmt w:val="bullet"/>
      <w:suff w:val="tab"/>
      <w:lvlText w:val="•"/>
      <w:rPr>
        <w:color w:val="3370ff"/>
      </w:rPr>
    </w:lvl>
  </w:abstractNum>
  <w:abstractNum w:abstractNumId="1470329">
    <w:lvl>
      <w:numFmt w:val="bullet"/>
      <w:suff w:val="tab"/>
      <w:lvlText w:val="•"/>
      <w:rPr>
        <w:color w:val="3370ff"/>
      </w:rPr>
    </w:lvl>
  </w:abstractNum>
  <w:abstractNum w:abstractNumId="1470330">
    <w:lvl>
      <w:numFmt w:val="bullet"/>
      <w:suff w:val="tab"/>
      <w:lvlText w:val="•"/>
      <w:rPr>
        <w:color w:val="3370ff"/>
      </w:rPr>
    </w:lvl>
  </w:abstractNum>
  <w:num w:numId="1">
    <w:abstractNumId w:val="1470273"/>
  </w:num>
  <w:num w:numId="2">
    <w:abstractNumId w:val="1470274"/>
  </w:num>
  <w:num w:numId="3">
    <w:abstractNumId w:val="1470275"/>
  </w:num>
  <w:num w:numId="4">
    <w:abstractNumId w:val="1470276"/>
  </w:num>
  <w:num w:numId="5">
    <w:abstractNumId w:val="1470277"/>
  </w:num>
  <w:num w:numId="6">
    <w:abstractNumId w:val="1470278"/>
  </w:num>
  <w:num w:numId="7">
    <w:abstractNumId w:val="1470279"/>
  </w:num>
  <w:num w:numId="8">
    <w:abstractNumId w:val="1470280"/>
  </w:num>
  <w:num w:numId="9">
    <w:abstractNumId w:val="1470281"/>
  </w:num>
  <w:num w:numId="10">
    <w:abstractNumId w:val="1470282"/>
  </w:num>
  <w:num w:numId="11">
    <w:abstractNumId w:val="1470283"/>
  </w:num>
  <w:num w:numId="12">
    <w:abstractNumId w:val="1470284"/>
  </w:num>
  <w:num w:numId="13">
    <w:abstractNumId w:val="1470285"/>
  </w:num>
  <w:num w:numId="14">
    <w:abstractNumId w:val="1470286"/>
  </w:num>
  <w:num w:numId="15">
    <w:abstractNumId w:val="1470287"/>
  </w:num>
  <w:num w:numId="16">
    <w:abstractNumId w:val="1470288"/>
  </w:num>
  <w:num w:numId="17">
    <w:abstractNumId w:val="1470289"/>
  </w:num>
  <w:num w:numId="18">
    <w:abstractNumId w:val="1470290"/>
  </w:num>
  <w:num w:numId="19">
    <w:abstractNumId w:val="1470291"/>
  </w:num>
  <w:num w:numId="20">
    <w:abstractNumId w:val="1470292"/>
  </w:num>
  <w:num w:numId="21">
    <w:abstractNumId w:val="1470293"/>
  </w:num>
  <w:num w:numId="22">
    <w:abstractNumId w:val="1470294"/>
  </w:num>
  <w:num w:numId="23">
    <w:abstractNumId w:val="1470295"/>
  </w:num>
  <w:num w:numId="24">
    <w:abstractNumId w:val="1470296"/>
  </w:num>
  <w:num w:numId="25">
    <w:abstractNumId w:val="1470297"/>
  </w:num>
  <w:num w:numId="26">
    <w:abstractNumId w:val="1470298"/>
  </w:num>
  <w:num w:numId="27">
    <w:abstractNumId w:val="1470299"/>
  </w:num>
  <w:num w:numId="28">
    <w:abstractNumId w:val="1470300"/>
  </w:num>
  <w:num w:numId="29">
    <w:abstractNumId w:val="1470301"/>
  </w:num>
  <w:num w:numId="30">
    <w:abstractNumId w:val="1470302"/>
  </w:num>
  <w:num w:numId="31">
    <w:abstractNumId w:val="1470303"/>
  </w:num>
  <w:num w:numId="32">
    <w:abstractNumId w:val="1470304"/>
  </w:num>
  <w:num w:numId="33">
    <w:abstractNumId w:val="1470305"/>
  </w:num>
  <w:num w:numId="34">
    <w:abstractNumId w:val="1470306"/>
  </w:num>
  <w:num w:numId="35">
    <w:abstractNumId w:val="1470307"/>
  </w:num>
  <w:num w:numId="36">
    <w:abstractNumId w:val="1470308"/>
  </w:num>
  <w:num w:numId="37">
    <w:abstractNumId w:val="1470309"/>
  </w:num>
  <w:num w:numId="38">
    <w:abstractNumId w:val="1470310"/>
  </w:num>
  <w:num w:numId="39">
    <w:abstractNumId w:val="1470311"/>
  </w:num>
  <w:num w:numId="40">
    <w:abstractNumId w:val="1470312"/>
  </w:num>
  <w:num w:numId="41">
    <w:abstractNumId w:val="1470313"/>
  </w:num>
  <w:num w:numId="42">
    <w:abstractNumId w:val="1470314"/>
  </w:num>
  <w:num w:numId="43">
    <w:abstractNumId w:val="1470315"/>
  </w:num>
  <w:num w:numId="44">
    <w:abstractNumId w:val="1470316"/>
  </w:num>
  <w:num w:numId="45">
    <w:abstractNumId w:val="1470317"/>
  </w:num>
  <w:num w:numId="46">
    <w:abstractNumId w:val="1470318"/>
  </w:num>
  <w:num w:numId="47">
    <w:abstractNumId w:val="1470319"/>
  </w:num>
  <w:num w:numId="48">
    <w:abstractNumId w:val="1470320"/>
  </w:num>
  <w:num w:numId="49">
    <w:abstractNumId w:val="1470321"/>
  </w:num>
  <w:num w:numId="50">
    <w:abstractNumId w:val="1470322"/>
  </w:num>
  <w:num w:numId="51">
    <w:abstractNumId w:val="1470323"/>
  </w:num>
  <w:num w:numId="52">
    <w:abstractNumId w:val="1470324"/>
  </w:num>
  <w:num w:numId="53">
    <w:abstractNumId w:val="1470325"/>
  </w:num>
  <w:num w:numId="54">
    <w:abstractNumId w:val="1470326"/>
  </w:num>
  <w:num w:numId="55">
    <w:abstractNumId w:val="1470327"/>
  </w:num>
  <w:num w:numId="56">
    <w:abstractNumId w:val="1470328"/>
  </w:num>
  <w:num w:numId="57">
    <w:abstractNumId w:val="1470329"/>
  </w:num>
  <w:num w:numId="58">
    <w:abstractNumId w:val="14703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2026-03-15T08:16:07Z</dcterms:created>
  <dc:creator>Apache POI</dc:creator>
</cp:coreProperties>
</file>