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164F" w14:textId="77777777" w:rsidR="00637B41" w:rsidRDefault="00637B41" w:rsidP="00637B41">
      <w:r w:rsidRPr="007D07A1">
        <w:t>The history of the Malaysian anti-Corruption Commission has evolved over the years, reflecting Malaysia's continuous efforts to effectively combat corruption.</w:t>
      </w:r>
    </w:p>
    <w:p w14:paraId="1AA91B31" w14:textId="6589BA79" w:rsidR="00637B41" w:rsidRPr="00637B41" w:rsidRDefault="00637B41" w:rsidP="00637B41">
      <w:pPr>
        <w:pStyle w:val="a9"/>
        <w:numPr>
          <w:ilvl w:val="0"/>
          <w:numId w:val="6"/>
        </w:numPr>
        <w:rPr>
          <w:b/>
          <w:bCs/>
        </w:rPr>
      </w:pPr>
      <w:r w:rsidRPr="00637B41">
        <w:rPr>
          <w:b/>
          <w:bCs/>
        </w:rPr>
        <w:t>1967: Establishment of the Anti-Corruption Agency (ACA)</w:t>
      </w:r>
    </w:p>
    <w:p w14:paraId="5E912EE3" w14:textId="77777777" w:rsidR="00637B41" w:rsidRDefault="00637B41" w:rsidP="00637B41">
      <w:pPr>
        <w:ind w:left="780"/>
        <w:rPr>
          <w:b/>
          <w:bCs/>
        </w:rPr>
      </w:pPr>
      <w:r w:rsidRPr="00637B41">
        <w:rPr>
          <w:b/>
          <w:bCs/>
        </w:rPr>
        <w:t xml:space="preserve">Background: </w:t>
      </w:r>
    </w:p>
    <w:p w14:paraId="16B294ED" w14:textId="25A8FA25" w:rsidR="009B4F43" w:rsidRDefault="00637B41" w:rsidP="00637B41">
      <w:pPr>
        <w:pStyle w:val="a9"/>
        <w:numPr>
          <w:ilvl w:val="0"/>
          <w:numId w:val="11"/>
        </w:numPr>
      </w:pPr>
      <w:r w:rsidRPr="00637B41">
        <w:t>In the 1960s, Malaysia's economic and social development began to accelerate, and the government realized the threat that corruption could pose to the country's development.</w:t>
      </w:r>
    </w:p>
    <w:p w14:paraId="2BEE5F07" w14:textId="16D3F69F" w:rsidR="00637B41" w:rsidRDefault="00637B41" w:rsidP="00637B41">
      <w:pPr>
        <w:ind w:left="780"/>
      </w:pPr>
      <w:r w:rsidRPr="00637B41">
        <w:rPr>
          <w:b/>
          <w:bCs/>
        </w:rPr>
        <w:t>Institutional Characteristics</w:t>
      </w:r>
      <w:r w:rsidRPr="00637B41">
        <w:t>:</w:t>
      </w:r>
    </w:p>
    <w:p w14:paraId="34C35DD0" w14:textId="2629076A" w:rsidR="00637B41" w:rsidRPr="00637B41" w:rsidRDefault="00637B41" w:rsidP="00637B41">
      <w:pPr>
        <w:pStyle w:val="a9"/>
        <w:numPr>
          <w:ilvl w:val="0"/>
          <w:numId w:val="10"/>
        </w:numPr>
      </w:pPr>
      <w:r w:rsidRPr="00637B41">
        <w:t>The Anti-Corruption Agency (ACA) was Malaysia’s first dedicated anti-corruption body.</w:t>
      </w:r>
    </w:p>
    <w:p w14:paraId="45F2D66B" w14:textId="7EBAF97D" w:rsidR="00637B41" w:rsidRPr="00637B41" w:rsidRDefault="00637B41" w:rsidP="00637B41">
      <w:pPr>
        <w:pStyle w:val="a9"/>
        <w:numPr>
          <w:ilvl w:val="0"/>
          <w:numId w:val="10"/>
        </w:numPr>
      </w:pPr>
      <w:r w:rsidRPr="00637B41">
        <w:t>Initially placed under the Prime Minister’s Department, limiting its independence and ability to handle high-profile cases.</w:t>
      </w:r>
    </w:p>
    <w:p w14:paraId="3B658CFD" w14:textId="5ADE2905" w:rsidR="00637B41" w:rsidRDefault="00637B41" w:rsidP="00637B41">
      <w:pPr>
        <w:pStyle w:val="a9"/>
        <w:numPr>
          <w:ilvl w:val="0"/>
          <w:numId w:val="10"/>
        </w:numPr>
      </w:pPr>
      <w:r w:rsidRPr="00637B41">
        <w:t>Its powers were confined to investigations and reporting, with no authority to prosecute or enforce laws directly.</w:t>
      </w:r>
    </w:p>
    <w:p w14:paraId="6B6817B2" w14:textId="77777777" w:rsidR="00637B41" w:rsidRPr="00637B41" w:rsidRDefault="00637B41" w:rsidP="00637B41">
      <w:pPr>
        <w:ind w:left="780"/>
        <w:rPr>
          <w:rFonts w:hint="eastAsia"/>
        </w:rPr>
      </w:pPr>
    </w:p>
    <w:p w14:paraId="54007709" w14:textId="13307F83" w:rsidR="00637B41" w:rsidRDefault="00637B41" w:rsidP="00637B41">
      <w:pPr>
        <w:pStyle w:val="a9"/>
        <w:numPr>
          <w:ilvl w:val="0"/>
          <w:numId w:val="7"/>
        </w:numPr>
        <w:rPr>
          <w:b/>
          <w:bCs/>
        </w:rPr>
      </w:pPr>
      <w:r w:rsidRPr="00637B41">
        <w:rPr>
          <w:b/>
          <w:bCs/>
        </w:rPr>
        <w:t>1990s: Increased Public Scrutiny and Legal Strengthening</w:t>
      </w:r>
    </w:p>
    <w:p w14:paraId="16FDB1A4" w14:textId="707A1222" w:rsidR="00637B41" w:rsidRDefault="00637B41" w:rsidP="00637B41">
      <w:pPr>
        <w:pStyle w:val="a9"/>
        <w:ind w:left="840"/>
        <w:rPr>
          <w:b/>
          <w:bCs/>
        </w:rPr>
      </w:pPr>
      <w:r w:rsidRPr="00637B41">
        <w:rPr>
          <w:b/>
          <w:bCs/>
        </w:rPr>
        <w:t>Growing Public Awareness</w:t>
      </w:r>
      <w:r>
        <w:rPr>
          <w:rFonts w:hint="eastAsia"/>
          <w:b/>
          <w:bCs/>
        </w:rPr>
        <w:t>：</w:t>
      </w:r>
    </w:p>
    <w:p w14:paraId="3154B9B0" w14:textId="37FBFFA6" w:rsidR="00637B41" w:rsidRPr="00637B41" w:rsidRDefault="00637B41" w:rsidP="00637B41">
      <w:pPr>
        <w:pStyle w:val="a9"/>
        <w:numPr>
          <w:ilvl w:val="0"/>
          <w:numId w:val="9"/>
        </w:numPr>
      </w:pPr>
      <w:r w:rsidRPr="00637B41">
        <w:t>By the late 1980s and 1990s, globalization and Malaysia’s rapid economic growth brought transparency and governance issues into the spotlight.</w:t>
      </w:r>
    </w:p>
    <w:p w14:paraId="6D371F6D" w14:textId="0B6251A3" w:rsidR="00637B41" w:rsidRDefault="00637B41" w:rsidP="00637B41">
      <w:pPr>
        <w:pStyle w:val="a9"/>
        <w:numPr>
          <w:ilvl w:val="0"/>
          <w:numId w:val="9"/>
        </w:numPr>
      </w:pPr>
      <w:r w:rsidRPr="00637B41">
        <w:t>High-profile corruption cases involving government-linked companies (GLCs) and senior officials fueled public outrage.</w:t>
      </w:r>
    </w:p>
    <w:p w14:paraId="1C9B95BA" w14:textId="69AB7FD4" w:rsidR="00637B41" w:rsidRPr="00637B41" w:rsidRDefault="00637B41" w:rsidP="00637B41">
      <w:pPr>
        <w:ind w:left="840"/>
        <w:rPr>
          <w:b/>
          <w:bCs/>
        </w:rPr>
      </w:pPr>
      <w:r w:rsidRPr="00637B41">
        <w:rPr>
          <w:b/>
          <w:bCs/>
        </w:rPr>
        <w:t>Legal Reforms</w:t>
      </w:r>
      <w:r w:rsidRPr="00637B41">
        <w:rPr>
          <w:rFonts w:hint="eastAsia"/>
          <w:b/>
          <w:bCs/>
        </w:rPr>
        <w:t>：</w:t>
      </w:r>
    </w:p>
    <w:p w14:paraId="791F007D" w14:textId="4ED2F46D" w:rsidR="00637B41" w:rsidRPr="00637B41" w:rsidRDefault="00637B41" w:rsidP="00637B41">
      <w:pPr>
        <w:pStyle w:val="a9"/>
        <w:numPr>
          <w:ilvl w:val="0"/>
          <w:numId w:val="13"/>
        </w:numPr>
      </w:pPr>
      <w:r w:rsidRPr="00637B41">
        <w:t>The government amended laws to enhance ACA's powers, enabling it to investigate higher-level corruption cases.</w:t>
      </w:r>
    </w:p>
    <w:p w14:paraId="26F0051E" w14:textId="0E3E895C" w:rsidR="00637B41" w:rsidRDefault="00637B41" w:rsidP="00637B41">
      <w:pPr>
        <w:pStyle w:val="a9"/>
        <w:numPr>
          <w:ilvl w:val="0"/>
          <w:numId w:val="13"/>
        </w:numPr>
      </w:pPr>
      <w:r w:rsidRPr="00637B41">
        <w:t>These reforms also expanded the agency’s jurisdiction to include corruption in private sector dealings.</w:t>
      </w:r>
    </w:p>
    <w:p w14:paraId="1B11CB81" w14:textId="0803A743" w:rsidR="00637B41" w:rsidRPr="00637B41" w:rsidRDefault="00637B41" w:rsidP="00637B41">
      <w:pPr>
        <w:ind w:left="840"/>
        <w:rPr>
          <w:b/>
          <w:bCs/>
        </w:rPr>
      </w:pPr>
      <w:r w:rsidRPr="00637B41">
        <w:rPr>
          <w:b/>
          <w:bCs/>
        </w:rPr>
        <w:t>Impact</w:t>
      </w:r>
      <w:r w:rsidRPr="00637B41">
        <w:rPr>
          <w:rFonts w:hint="eastAsia"/>
          <w:b/>
          <w:bCs/>
        </w:rPr>
        <w:t>：</w:t>
      </w:r>
    </w:p>
    <w:p w14:paraId="14B8CB50" w14:textId="29918F8B" w:rsidR="00637B41" w:rsidRPr="00637B41" w:rsidRDefault="00637B41" w:rsidP="00637B41">
      <w:pPr>
        <w:pStyle w:val="a9"/>
        <w:numPr>
          <w:ilvl w:val="0"/>
          <w:numId w:val="15"/>
        </w:numPr>
      </w:pPr>
      <w:r w:rsidRPr="00637B41">
        <w:t>Public confidence in anti-corruption efforts improved, but political interference remained a significant challenge.</w:t>
      </w:r>
    </w:p>
    <w:p w14:paraId="193A2C9E" w14:textId="77777777" w:rsidR="00637B41" w:rsidRDefault="00637B41" w:rsidP="00637B41">
      <w:pPr>
        <w:ind w:left="840"/>
      </w:pPr>
    </w:p>
    <w:p w14:paraId="684556DA" w14:textId="77777777" w:rsidR="00637B41" w:rsidRDefault="00637B41" w:rsidP="00637B41">
      <w:pPr>
        <w:ind w:left="840"/>
      </w:pPr>
    </w:p>
    <w:p w14:paraId="7AF8403E" w14:textId="77777777" w:rsidR="00637B41" w:rsidRDefault="00637B41" w:rsidP="00637B41">
      <w:pPr>
        <w:ind w:left="840"/>
        <w:rPr>
          <w:rFonts w:hint="eastAsia"/>
        </w:rPr>
      </w:pPr>
    </w:p>
    <w:p w14:paraId="1E996509" w14:textId="06897CB0" w:rsidR="00637B41" w:rsidRDefault="00637B41" w:rsidP="00637B41">
      <w:pPr>
        <w:pStyle w:val="a9"/>
        <w:numPr>
          <w:ilvl w:val="0"/>
          <w:numId w:val="7"/>
        </w:numPr>
        <w:rPr>
          <w:b/>
          <w:bCs/>
        </w:rPr>
      </w:pPr>
      <w:r w:rsidRPr="00637B41">
        <w:rPr>
          <w:b/>
          <w:bCs/>
        </w:rPr>
        <w:lastRenderedPageBreak/>
        <w:t>2009: Transformation from ACA to MACC</w:t>
      </w:r>
    </w:p>
    <w:p w14:paraId="520F39DB" w14:textId="7033BFEF" w:rsidR="00637B41" w:rsidRDefault="00637B41" w:rsidP="00637B41">
      <w:pPr>
        <w:pStyle w:val="a9"/>
        <w:numPr>
          <w:ilvl w:val="1"/>
          <w:numId w:val="7"/>
        </w:numPr>
        <w:rPr>
          <w:b/>
          <w:bCs/>
        </w:rPr>
      </w:pPr>
      <w:r w:rsidRPr="00637B41">
        <w:rPr>
          <w:b/>
          <w:bCs/>
        </w:rPr>
        <w:t>Driving Factors</w:t>
      </w:r>
      <w:r>
        <w:rPr>
          <w:rFonts w:hint="eastAsia"/>
          <w:b/>
          <w:bCs/>
        </w:rPr>
        <w:t>：</w:t>
      </w:r>
    </w:p>
    <w:p w14:paraId="5AEAEC74" w14:textId="61EF8FA1" w:rsidR="00637B41" w:rsidRPr="00637B41" w:rsidRDefault="00637B41" w:rsidP="00637B41">
      <w:pPr>
        <w:pStyle w:val="a9"/>
        <w:widowControl/>
        <w:numPr>
          <w:ilvl w:val="0"/>
          <w:numId w:val="16"/>
        </w:numPr>
        <w:spacing w:after="0" w:line="240" w:lineRule="auto"/>
        <w:rPr>
          <w:rFonts w:eastAsiaTheme="minorHAnsi" w:cs="宋体"/>
          <w:kern w:val="0"/>
          <w:szCs w:val="22"/>
          <w14:ligatures w14:val="none"/>
        </w:rPr>
      </w:pPr>
      <w:r w:rsidRPr="00637B41">
        <w:rPr>
          <w:rFonts w:eastAsiaTheme="minorHAnsi" w:cs="宋体"/>
          <w:kern w:val="0"/>
          <w:szCs w:val="22"/>
          <w14:ligatures w14:val="none"/>
        </w:rPr>
        <w:t>Domestic and international pressure: Reports from organizations like Transparency International and the United Nations highlighted the need for greater institutional independence.</w:t>
      </w:r>
    </w:p>
    <w:p w14:paraId="794522EC" w14:textId="24C0FB68" w:rsidR="00637B41" w:rsidRPr="00637B41" w:rsidRDefault="00637B41" w:rsidP="00637B41">
      <w:pPr>
        <w:pStyle w:val="a9"/>
        <w:numPr>
          <w:ilvl w:val="0"/>
          <w:numId w:val="16"/>
        </w:numPr>
        <w:rPr>
          <w:rFonts w:eastAsiaTheme="minorHAnsi" w:hint="eastAsia"/>
          <w:b/>
          <w:bCs/>
          <w:szCs w:val="22"/>
        </w:rPr>
      </w:pPr>
      <w:r w:rsidRPr="00637B41">
        <w:rPr>
          <w:rFonts w:eastAsiaTheme="minorHAnsi" w:cs="宋体"/>
          <w:kern w:val="0"/>
          <w:szCs w:val="22"/>
          <w14:ligatures w14:val="none"/>
        </w:rPr>
        <w:t>Economic rationale: Following the 2008 financial crisis, the government sought to rebuild investor confidence by addressing governance weaknesses.</w:t>
      </w:r>
    </w:p>
    <w:p w14:paraId="7D81CAFA" w14:textId="2A24DA95" w:rsidR="00637B41" w:rsidRDefault="00637B41" w:rsidP="00637B41">
      <w:pPr>
        <w:ind w:left="840"/>
        <w:rPr>
          <w:b/>
          <w:bCs/>
        </w:rPr>
      </w:pPr>
      <w:r w:rsidRPr="00637B41">
        <w:rPr>
          <w:b/>
          <w:bCs/>
        </w:rPr>
        <w:t>Structural Overhaul:</w:t>
      </w:r>
    </w:p>
    <w:p w14:paraId="55C0C280" w14:textId="1C0E7D73" w:rsidR="00C7286A" w:rsidRPr="00C7286A" w:rsidRDefault="00C7286A" w:rsidP="00C7286A">
      <w:pPr>
        <w:pStyle w:val="a9"/>
        <w:numPr>
          <w:ilvl w:val="0"/>
          <w:numId w:val="18"/>
        </w:numPr>
      </w:pPr>
      <w:r w:rsidRPr="00C7286A">
        <w:t>The ACA was restructured and renamed the Malaysian Anti-Corruption Commission (MACC).</w:t>
      </w:r>
    </w:p>
    <w:p w14:paraId="1CBFF5DC" w14:textId="4EC28F24" w:rsidR="00637B41" w:rsidRDefault="00C7286A" w:rsidP="00C7286A">
      <w:pPr>
        <w:pStyle w:val="a9"/>
        <w:numPr>
          <w:ilvl w:val="0"/>
          <w:numId w:val="18"/>
        </w:numPr>
      </w:pPr>
      <w:r w:rsidRPr="00C7286A">
        <w:t>The enactment of the Malaysian Anti-Corruption Commission Act 2009 granted MACC greater autonomy, especially in investigations, enforcement, and prosecutions.</w:t>
      </w:r>
    </w:p>
    <w:p w14:paraId="1E5880EC" w14:textId="77777777" w:rsidR="00C7286A" w:rsidRPr="00C7286A" w:rsidRDefault="00C7286A" w:rsidP="00C7286A">
      <w:pPr>
        <w:ind w:left="840"/>
      </w:pPr>
      <w:r w:rsidRPr="00C7286A">
        <w:rPr>
          <w:b/>
          <w:bCs/>
        </w:rPr>
        <w:t>Establishment of Oversight Bodies</w:t>
      </w:r>
      <w:r w:rsidRPr="00C7286A">
        <w:t>:</w:t>
      </w:r>
    </w:p>
    <w:p w14:paraId="4456AF42" w14:textId="77777777" w:rsidR="00C7286A" w:rsidRPr="00C7286A" w:rsidRDefault="00C7286A" w:rsidP="00C7286A">
      <w:pPr>
        <w:numPr>
          <w:ilvl w:val="0"/>
          <w:numId w:val="20"/>
        </w:numPr>
      </w:pPr>
      <w:r w:rsidRPr="00C7286A">
        <w:t>Independent advisory bodies, such as the Anti-Corruption Advisory Board and the Operations Review Panel, were created to monitor MACC's activities and enhance transparency.</w:t>
      </w:r>
    </w:p>
    <w:p w14:paraId="43656718" w14:textId="77777777" w:rsidR="00C7286A" w:rsidRDefault="00C7286A" w:rsidP="00C7286A"/>
    <w:p w14:paraId="031AB854" w14:textId="3967510A" w:rsidR="00C7286A" w:rsidRPr="00C7286A" w:rsidRDefault="00C7286A" w:rsidP="00C7286A">
      <w:pPr>
        <w:pStyle w:val="a9"/>
        <w:numPr>
          <w:ilvl w:val="0"/>
          <w:numId w:val="7"/>
        </w:numPr>
        <w:rPr>
          <w:b/>
          <w:bCs/>
        </w:rPr>
      </w:pPr>
      <w:r w:rsidRPr="00C7286A">
        <w:rPr>
          <w:b/>
          <w:bCs/>
        </w:rPr>
        <w:t>2010s: Embracing Digitalization and Public Engagement</w:t>
      </w:r>
    </w:p>
    <w:p w14:paraId="7C5611AE" w14:textId="77777777" w:rsidR="00C7286A" w:rsidRPr="00C7286A" w:rsidRDefault="00C7286A" w:rsidP="00C7286A">
      <w:pPr>
        <w:pStyle w:val="a9"/>
        <w:ind w:left="840"/>
        <w:rPr>
          <w:b/>
          <w:bCs/>
        </w:rPr>
      </w:pPr>
      <w:r w:rsidRPr="00C7286A">
        <w:rPr>
          <w:b/>
          <w:bCs/>
        </w:rPr>
        <w:t>Technological Advancements:</w:t>
      </w:r>
    </w:p>
    <w:p w14:paraId="0CF13554" w14:textId="77777777" w:rsidR="00C7286A" w:rsidRPr="00C7286A" w:rsidRDefault="00C7286A" w:rsidP="00C7286A">
      <w:pPr>
        <w:pStyle w:val="a9"/>
        <w:numPr>
          <w:ilvl w:val="0"/>
          <w:numId w:val="22"/>
        </w:numPr>
      </w:pPr>
      <w:r w:rsidRPr="00C7286A">
        <w:t>MACC introduced online reporting platforms and data analytics tools to improve investigative efficiency.</w:t>
      </w:r>
    </w:p>
    <w:p w14:paraId="1C978766" w14:textId="77777777" w:rsidR="00C7286A" w:rsidRPr="00C7286A" w:rsidRDefault="00C7286A" w:rsidP="00C7286A">
      <w:pPr>
        <w:pStyle w:val="a9"/>
        <w:numPr>
          <w:ilvl w:val="0"/>
          <w:numId w:val="22"/>
        </w:numPr>
      </w:pPr>
      <w:r w:rsidRPr="00C7286A">
        <w:t>Transparency tools were implemented to showcase progress and statistics on corruption cases to the public.</w:t>
      </w:r>
    </w:p>
    <w:p w14:paraId="6CBC526C" w14:textId="77777777" w:rsidR="00C7286A" w:rsidRPr="00C7286A" w:rsidRDefault="00C7286A" w:rsidP="00C7286A">
      <w:pPr>
        <w:pStyle w:val="a9"/>
        <w:ind w:left="840"/>
        <w:rPr>
          <w:b/>
          <w:bCs/>
        </w:rPr>
      </w:pPr>
      <w:r w:rsidRPr="00C7286A">
        <w:rPr>
          <w:b/>
          <w:bCs/>
        </w:rPr>
        <w:t>Public Education and Prevention:</w:t>
      </w:r>
    </w:p>
    <w:p w14:paraId="0FB2E2BD" w14:textId="77777777" w:rsidR="00C7286A" w:rsidRPr="00C7286A" w:rsidRDefault="00C7286A" w:rsidP="00C7286A">
      <w:pPr>
        <w:pStyle w:val="a9"/>
        <w:numPr>
          <w:ilvl w:val="0"/>
          <w:numId w:val="25"/>
        </w:numPr>
      </w:pPr>
      <w:r w:rsidRPr="00C7286A">
        <w:t>Anti-corruption awareness programs were launched in schools, universities, and community groups to foster a culture of integrity.</w:t>
      </w:r>
    </w:p>
    <w:p w14:paraId="5CB1168B" w14:textId="77777777" w:rsidR="00C7286A" w:rsidRDefault="00C7286A" w:rsidP="00C7286A">
      <w:pPr>
        <w:pStyle w:val="a9"/>
        <w:numPr>
          <w:ilvl w:val="0"/>
          <w:numId w:val="25"/>
        </w:numPr>
      </w:pPr>
      <w:r w:rsidRPr="00C7286A">
        <w:t>Collaborations with the media raised awareness through campaigns like International Anti-Corruption Day events.</w:t>
      </w:r>
    </w:p>
    <w:p w14:paraId="4FCD01A0" w14:textId="77777777" w:rsidR="00C7286A" w:rsidRPr="00C7286A" w:rsidRDefault="00C7286A" w:rsidP="00C7286A">
      <w:pPr>
        <w:ind w:left="780"/>
      </w:pPr>
      <w:r w:rsidRPr="00C7286A">
        <w:rPr>
          <w:b/>
          <w:bCs/>
        </w:rPr>
        <w:t>International Cooperation</w:t>
      </w:r>
      <w:r w:rsidRPr="00C7286A">
        <w:t>:</w:t>
      </w:r>
    </w:p>
    <w:p w14:paraId="06C44832" w14:textId="77777777" w:rsidR="00C7286A" w:rsidRPr="00C7286A" w:rsidRDefault="00C7286A" w:rsidP="00C7286A">
      <w:pPr>
        <w:numPr>
          <w:ilvl w:val="0"/>
          <w:numId w:val="27"/>
        </w:numPr>
      </w:pPr>
      <w:r w:rsidRPr="00C7286A">
        <w:t>MACC expanded its partnerships with international organizations, including ASEAN and the United Nations, to share expertise and address transnational corruption.</w:t>
      </w:r>
    </w:p>
    <w:p w14:paraId="4AB2F6B0" w14:textId="77777777" w:rsidR="00C7286A" w:rsidRPr="00C7286A" w:rsidRDefault="00C7286A" w:rsidP="00C7286A">
      <w:pPr>
        <w:ind w:left="780"/>
        <w:rPr>
          <w:rFonts w:hint="eastAsia"/>
        </w:rPr>
      </w:pPr>
    </w:p>
    <w:p w14:paraId="73D7D084" w14:textId="5A6D05CA" w:rsidR="00C7286A" w:rsidRDefault="00C7286A" w:rsidP="00C7286A">
      <w:pPr>
        <w:pStyle w:val="a9"/>
        <w:numPr>
          <w:ilvl w:val="0"/>
          <w:numId w:val="7"/>
        </w:numPr>
        <w:rPr>
          <w:b/>
          <w:bCs/>
        </w:rPr>
      </w:pPr>
      <w:r w:rsidRPr="00C7286A">
        <w:rPr>
          <w:b/>
          <w:bCs/>
        </w:rPr>
        <w:lastRenderedPageBreak/>
        <w:t>2020s: New Challenges and Future Directions</w:t>
      </w:r>
    </w:p>
    <w:p w14:paraId="7E668FB9" w14:textId="77777777" w:rsidR="00C7286A" w:rsidRPr="00C7286A" w:rsidRDefault="00C7286A" w:rsidP="00C7286A">
      <w:pPr>
        <w:pStyle w:val="a9"/>
        <w:ind w:left="840"/>
        <w:rPr>
          <w:b/>
          <w:bCs/>
        </w:rPr>
      </w:pPr>
      <w:r w:rsidRPr="00C7286A">
        <w:rPr>
          <w:b/>
          <w:bCs/>
        </w:rPr>
        <w:t>Political and Resource Constraints:</w:t>
      </w:r>
    </w:p>
    <w:p w14:paraId="3FA49721" w14:textId="77777777" w:rsidR="00C7286A" w:rsidRPr="00C7286A" w:rsidRDefault="00C7286A" w:rsidP="00C7286A">
      <w:pPr>
        <w:pStyle w:val="a9"/>
        <w:numPr>
          <w:ilvl w:val="0"/>
          <w:numId w:val="29"/>
        </w:numPr>
      </w:pPr>
      <w:r w:rsidRPr="00C7286A">
        <w:t>Despite greater powers, MACC’s independence is occasionally questioned due to perceived political interference in certain cases.</w:t>
      </w:r>
    </w:p>
    <w:p w14:paraId="2846AE9F" w14:textId="77777777" w:rsidR="00C7286A" w:rsidRDefault="00C7286A" w:rsidP="00C7286A">
      <w:pPr>
        <w:pStyle w:val="a9"/>
        <w:numPr>
          <w:ilvl w:val="0"/>
          <w:numId w:val="29"/>
        </w:numPr>
      </w:pPr>
      <w:r w:rsidRPr="00C7286A">
        <w:t>Limited resources hinder its capacity to address emerging forms of corruption, such as cybercrime and financial fraud.</w:t>
      </w:r>
    </w:p>
    <w:p w14:paraId="77CEEE4F" w14:textId="77777777" w:rsidR="00C7286A" w:rsidRPr="00C7286A" w:rsidRDefault="00C7286A" w:rsidP="00C7286A">
      <w:pPr>
        <w:ind w:left="780"/>
      </w:pPr>
      <w:r w:rsidRPr="00C7286A">
        <w:rPr>
          <w:b/>
          <w:bCs/>
        </w:rPr>
        <w:t>Future Reforms</w:t>
      </w:r>
      <w:r w:rsidRPr="00C7286A">
        <w:t>:</w:t>
      </w:r>
    </w:p>
    <w:p w14:paraId="589949D4" w14:textId="77777777" w:rsidR="00C7286A" w:rsidRPr="00C7286A" w:rsidRDefault="00C7286A" w:rsidP="00C7286A">
      <w:pPr>
        <w:pStyle w:val="a9"/>
        <w:numPr>
          <w:ilvl w:val="0"/>
          <w:numId w:val="31"/>
        </w:numPr>
      </w:pPr>
      <w:r w:rsidRPr="00C7286A">
        <w:t>Proposals include increased funding and specialized training for personnel.</w:t>
      </w:r>
    </w:p>
    <w:p w14:paraId="0BB2310C" w14:textId="77777777" w:rsidR="00C7286A" w:rsidRPr="00C7286A" w:rsidRDefault="00C7286A" w:rsidP="00C7286A">
      <w:pPr>
        <w:pStyle w:val="a9"/>
        <w:numPr>
          <w:ilvl w:val="0"/>
          <w:numId w:val="31"/>
        </w:numPr>
      </w:pPr>
      <w:r w:rsidRPr="00C7286A">
        <w:t>Strengthening collaborations with non-governmental organizations and international bodies to combat cross-border corruption.</w:t>
      </w:r>
    </w:p>
    <w:p w14:paraId="4009A0D3" w14:textId="77777777" w:rsidR="00C7286A" w:rsidRDefault="00C7286A" w:rsidP="00C7286A"/>
    <w:p w14:paraId="0A2AC69B" w14:textId="77777777" w:rsidR="00C7286A" w:rsidRDefault="00C7286A" w:rsidP="00C7286A">
      <w:pPr>
        <w:rPr>
          <w:b/>
          <w:bCs/>
        </w:rPr>
      </w:pPr>
      <w:r w:rsidRPr="007D07A1">
        <w:rPr>
          <w:b/>
          <w:bCs/>
        </w:rPr>
        <w:t>Summarize</w:t>
      </w:r>
    </w:p>
    <w:p w14:paraId="2611D4E5" w14:textId="77777777" w:rsidR="00C7286A" w:rsidRPr="007D07A1" w:rsidRDefault="00C7286A" w:rsidP="00C7286A">
      <w:pPr>
        <w:ind w:left="420"/>
      </w:pPr>
      <w:r>
        <w:rPr>
          <w:rFonts w:hint="eastAsia"/>
        </w:rPr>
        <w:t>Nowadays</w:t>
      </w:r>
      <w:r w:rsidRPr="007D07A1">
        <w:t>, MACC is constantly adapting to new challenges with a focus on preventive measures, public education and digital transparency tools. Although the Commission still faces obstacles such as limited resources and political pressure, the development from ACA to MACC marks a significant shift in Malaysia's anti-corruption landscape. MACC's history demonstrates Malaysia's ongoing efforts to strengthen its anti-corruption framework and promote a culture of integrity and accountability.</w:t>
      </w:r>
    </w:p>
    <w:p w14:paraId="57612476" w14:textId="77777777" w:rsidR="00C7286A" w:rsidRPr="00C7286A" w:rsidRDefault="00C7286A" w:rsidP="00C7286A">
      <w:pPr>
        <w:rPr>
          <w:rFonts w:hint="eastAsia"/>
        </w:rPr>
      </w:pPr>
    </w:p>
    <w:p w14:paraId="3FFF9097" w14:textId="77777777" w:rsidR="00C7286A" w:rsidRPr="00C7286A" w:rsidRDefault="00C7286A" w:rsidP="00C7286A">
      <w:pPr>
        <w:pStyle w:val="a9"/>
        <w:ind w:left="840"/>
        <w:rPr>
          <w:rFonts w:hint="eastAsia"/>
          <w:b/>
          <w:bCs/>
        </w:rPr>
      </w:pPr>
    </w:p>
    <w:sectPr w:rsidR="00C7286A" w:rsidRPr="00C72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8EF"/>
    <w:multiLevelType w:val="multilevel"/>
    <w:tmpl w:val="68C824C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13DF"/>
    <w:multiLevelType w:val="hybridMultilevel"/>
    <w:tmpl w:val="1520D726"/>
    <w:lvl w:ilvl="0" w:tplc="0409000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2" w15:restartNumberingAfterBreak="0">
    <w:nsid w:val="12B01E83"/>
    <w:multiLevelType w:val="multilevel"/>
    <w:tmpl w:val="684E085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B0F49"/>
    <w:multiLevelType w:val="hybridMultilevel"/>
    <w:tmpl w:val="F05A6C44"/>
    <w:lvl w:ilvl="0" w:tplc="CF4043BC">
      <w:numFmt w:val="bullet"/>
      <w:lvlText w:val=""/>
      <w:lvlJc w:val="left"/>
      <w:pPr>
        <w:ind w:left="1224" w:hanging="444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4" w15:restartNumberingAfterBreak="0">
    <w:nsid w:val="1B362167"/>
    <w:multiLevelType w:val="hybridMultilevel"/>
    <w:tmpl w:val="6D8E3CE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231F1789"/>
    <w:multiLevelType w:val="multilevel"/>
    <w:tmpl w:val="F70040AE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07CF9"/>
    <w:multiLevelType w:val="multilevel"/>
    <w:tmpl w:val="4DC035F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94035"/>
    <w:multiLevelType w:val="hybridMultilevel"/>
    <w:tmpl w:val="E12E4F76"/>
    <w:lvl w:ilvl="0" w:tplc="0409000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8" w15:restartNumberingAfterBreak="0">
    <w:nsid w:val="30782B83"/>
    <w:multiLevelType w:val="multilevel"/>
    <w:tmpl w:val="13E20B6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31A29"/>
    <w:multiLevelType w:val="multilevel"/>
    <w:tmpl w:val="A18E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44DAA"/>
    <w:multiLevelType w:val="multilevel"/>
    <w:tmpl w:val="8C24A8E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713EE"/>
    <w:multiLevelType w:val="hybridMultilevel"/>
    <w:tmpl w:val="AC1C5DD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2" w15:restartNumberingAfterBreak="0">
    <w:nsid w:val="4BA969D6"/>
    <w:multiLevelType w:val="hybridMultilevel"/>
    <w:tmpl w:val="0A6C13C2"/>
    <w:lvl w:ilvl="0" w:tplc="DA3CC16C">
      <w:start w:val="2"/>
      <w:numFmt w:val="decimal"/>
      <w:lvlText w:val="%1."/>
      <w:lvlJc w:val="left"/>
      <w:pPr>
        <w:ind w:left="12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3" w15:restartNumberingAfterBreak="0">
    <w:nsid w:val="4C436624"/>
    <w:multiLevelType w:val="hybridMultilevel"/>
    <w:tmpl w:val="5B761C68"/>
    <w:lvl w:ilvl="0" w:tplc="2A381508">
      <w:start w:val="1"/>
      <w:numFmt w:val="decimal"/>
      <w:lvlText w:val="%1."/>
      <w:lvlJc w:val="left"/>
      <w:pPr>
        <w:ind w:left="44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1D46FF4"/>
    <w:multiLevelType w:val="hybridMultilevel"/>
    <w:tmpl w:val="B246A0CC"/>
    <w:lvl w:ilvl="0" w:tplc="0409000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5" w15:restartNumberingAfterBreak="0">
    <w:nsid w:val="52CA53A0"/>
    <w:multiLevelType w:val="hybridMultilevel"/>
    <w:tmpl w:val="C29C5966"/>
    <w:lvl w:ilvl="0" w:tplc="CF4043BC">
      <w:numFmt w:val="bullet"/>
      <w:lvlText w:val=""/>
      <w:lvlJc w:val="left"/>
      <w:pPr>
        <w:ind w:left="2064" w:hanging="444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6" w15:restartNumberingAfterBreak="0">
    <w:nsid w:val="53D43A9E"/>
    <w:multiLevelType w:val="hybridMultilevel"/>
    <w:tmpl w:val="1C3A445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5BF10485"/>
    <w:multiLevelType w:val="hybridMultilevel"/>
    <w:tmpl w:val="84D44758"/>
    <w:lvl w:ilvl="0" w:tplc="2A381508">
      <w:start w:val="1"/>
      <w:numFmt w:val="decimal"/>
      <w:lvlText w:val="%1."/>
      <w:lvlJc w:val="left"/>
      <w:pPr>
        <w:ind w:left="122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8" w15:restartNumberingAfterBreak="0">
    <w:nsid w:val="5D5973E4"/>
    <w:multiLevelType w:val="hybridMultilevel"/>
    <w:tmpl w:val="B186EAB4"/>
    <w:lvl w:ilvl="0" w:tplc="03D45E8C">
      <w:start w:val="2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8D1271BE">
      <w:numFmt w:val="bullet"/>
      <w:lvlText w:val=""/>
      <w:lvlJc w:val="left"/>
      <w:pPr>
        <w:ind w:left="884" w:hanging="444"/>
      </w:pPr>
      <w:rPr>
        <w:rFonts w:ascii="等线" w:eastAsia="等线" w:hAnsi="等线" w:cstheme="minorBidi" w:hint="eastAsia"/>
        <w:b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11D5584"/>
    <w:multiLevelType w:val="hybridMultilevel"/>
    <w:tmpl w:val="E34EDA0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635C7B38"/>
    <w:multiLevelType w:val="multilevel"/>
    <w:tmpl w:val="DFF69C9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94716"/>
    <w:multiLevelType w:val="hybridMultilevel"/>
    <w:tmpl w:val="414C8246"/>
    <w:lvl w:ilvl="0" w:tplc="2A3815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79503BE"/>
    <w:multiLevelType w:val="hybridMultilevel"/>
    <w:tmpl w:val="699C0F0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3" w15:restartNumberingAfterBreak="0">
    <w:nsid w:val="6CEE378B"/>
    <w:multiLevelType w:val="multilevel"/>
    <w:tmpl w:val="A8A07C00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27696"/>
    <w:multiLevelType w:val="multilevel"/>
    <w:tmpl w:val="740C63F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C0E29"/>
    <w:multiLevelType w:val="hybridMultilevel"/>
    <w:tmpl w:val="9A3ED8B6"/>
    <w:lvl w:ilvl="0" w:tplc="DA3CC16C">
      <w:start w:val="2"/>
      <w:numFmt w:val="decimal"/>
      <w:lvlText w:val="%1."/>
      <w:lvlJc w:val="left"/>
      <w:pPr>
        <w:ind w:left="12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6" w15:restartNumberingAfterBreak="0">
    <w:nsid w:val="70DD3082"/>
    <w:multiLevelType w:val="multilevel"/>
    <w:tmpl w:val="419A101A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A4E95"/>
    <w:multiLevelType w:val="multilevel"/>
    <w:tmpl w:val="39F2823E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74A79"/>
    <w:multiLevelType w:val="multilevel"/>
    <w:tmpl w:val="F70040AE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ED036F"/>
    <w:multiLevelType w:val="hybridMultilevel"/>
    <w:tmpl w:val="B7EA0D1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0" w15:restartNumberingAfterBreak="0">
    <w:nsid w:val="7D47688C"/>
    <w:multiLevelType w:val="hybridMultilevel"/>
    <w:tmpl w:val="45E4B4B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057897032">
    <w:abstractNumId w:val="21"/>
  </w:num>
  <w:num w:numId="2" w16cid:durableId="1742100267">
    <w:abstractNumId w:val="17"/>
  </w:num>
  <w:num w:numId="3" w16cid:durableId="1674840176">
    <w:abstractNumId w:val="3"/>
  </w:num>
  <w:num w:numId="4" w16cid:durableId="1718237452">
    <w:abstractNumId w:val="25"/>
  </w:num>
  <w:num w:numId="5" w16cid:durableId="396318503">
    <w:abstractNumId w:val="12"/>
  </w:num>
  <w:num w:numId="6" w16cid:durableId="311326946">
    <w:abstractNumId w:val="13"/>
  </w:num>
  <w:num w:numId="7" w16cid:durableId="100564839">
    <w:abstractNumId w:val="18"/>
  </w:num>
  <w:num w:numId="8" w16cid:durableId="2052529008">
    <w:abstractNumId w:val="15"/>
  </w:num>
  <w:num w:numId="9" w16cid:durableId="614479428">
    <w:abstractNumId w:val="4"/>
  </w:num>
  <w:num w:numId="10" w16cid:durableId="806318569">
    <w:abstractNumId w:val="14"/>
  </w:num>
  <w:num w:numId="11" w16cid:durableId="1678581981">
    <w:abstractNumId w:val="1"/>
  </w:num>
  <w:num w:numId="12" w16cid:durableId="372199178">
    <w:abstractNumId w:val="30"/>
  </w:num>
  <w:num w:numId="13" w16cid:durableId="576525411">
    <w:abstractNumId w:val="19"/>
  </w:num>
  <w:num w:numId="14" w16cid:durableId="619796635">
    <w:abstractNumId w:val="9"/>
  </w:num>
  <w:num w:numId="15" w16cid:durableId="65543382">
    <w:abstractNumId w:val="29"/>
  </w:num>
  <w:num w:numId="16" w16cid:durableId="1670937199">
    <w:abstractNumId w:val="11"/>
  </w:num>
  <w:num w:numId="17" w16cid:durableId="7219284">
    <w:abstractNumId w:val="16"/>
  </w:num>
  <w:num w:numId="18" w16cid:durableId="571282498">
    <w:abstractNumId w:val="22"/>
  </w:num>
  <w:num w:numId="19" w16cid:durableId="600527229">
    <w:abstractNumId w:val="2"/>
  </w:num>
  <w:num w:numId="20" w16cid:durableId="997658231">
    <w:abstractNumId w:val="6"/>
  </w:num>
  <w:num w:numId="21" w16cid:durableId="139344270">
    <w:abstractNumId w:val="20"/>
  </w:num>
  <w:num w:numId="22" w16cid:durableId="2124306881">
    <w:abstractNumId w:val="27"/>
  </w:num>
  <w:num w:numId="23" w16cid:durableId="270600111">
    <w:abstractNumId w:val="8"/>
  </w:num>
  <w:num w:numId="24" w16cid:durableId="1383945504">
    <w:abstractNumId w:val="28"/>
  </w:num>
  <w:num w:numId="25" w16cid:durableId="944733890">
    <w:abstractNumId w:val="5"/>
  </w:num>
  <w:num w:numId="26" w16cid:durableId="1352533754">
    <w:abstractNumId w:val="10"/>
  </w:num>
  <w:num w:numId="27" w16cid:durableId="123549291">
    <w:abstractNumId w:val="23"/>
  </w:num>
  <w:num w:numId="28" w16cid:durableId="149685186">
    <w:abstractNumId w:val="24"/>
  </w:num>
  <w:num w:numId="29" w16cid:durableId="612783494">
    <w:abstractNumId w:val="0"/>
  </w:num>
  <w:num w:numId="30" w16cid:durableId="105855037">
    <w:abstractNumId w:val="26"/>
  </w:num>
  <w:num w:numId="31" w16cid:durableId="1456410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EB"/>
    <w:rsid w:val="00021032"/>
    <w:rsid w:val="00073AEB"/>
    <w:rsid w:val="00637B41"/>
    <w:rsid w:val="009B4F43"/>
    <w:rsid w:val="00C7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85A4"/>
  <w15:chartTrackingRefBased/>
  <w15:docId w15:val="{91A20039-657B-4EA5-BA69-EB514013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4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3A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A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A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A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A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A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A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A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A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3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3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3A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3A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3A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3A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3A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3A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3A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A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3A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3A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A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A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3A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3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WEI</dc:creator>
  <cp:keywords/>
  <dc:description/>
  <cp:lastModifiedBy>ZHAO WEI</cp:lastModifiedBy>
  <cp:revision>2</cp:revision>
  <dcterms:created xsi:type="dcterms:W3CDTF">2025-01-06T16:19:00Z</dcterms:created>
  <dcterms:modified xsi:type="dcterms:W3CDTF">2025-01-06T16:32:00Z</dcterms:modified>
</cp:coreProperties>
</file>