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webp" ContentType="image/webp"/>
  <Override PartName="/word/media/rId26.png" ContentType="image/png"/>
  <Override PartName="/word/media/rId24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b6f90acd74c4edf92fcb0bf34520692e2ebe9"/>
      <w:r>
        <w:t xml:space="preserve">We Don’t Need Entries — We Need Better Stops</w:t>
      </w:r>
      <w:bookmarkEnd w:id="20"/>
    </w:p>
    <w:p>
      <w:pPr>
        <w:pStyle w:val="Heading2"/>
      </w:pPr>
      <w:bookmarkStart w:id="21" w:name="Xe299ae5353726d3e55854b8f631d9e7d46a3420"/>
      <w:r>
        <w:t xml:space="preserve">26-2-5 | We Don’t Need Entries — We Need Better Stops</w:t>
      </w:r>
      <w:bookmarkEnd w:id="21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L1gE7g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Based on today’s overall market behavior, one thing becomes very clear:</w:t>
      </w:r>
    </w:p>
    <w:p>
      <w:pPr>
        <w:pStyle w:val="BodyText"/>
      </w:pPr>
      <w:r>
        <w:t xml:space="preserve">Moving the stop loss (trailing stop) is not about making more money —</w:t>
      </w:r>
      <w:r>
        <w:t xml:space="preserve"> </w:t>
      </w:r>
      <w:r>
        <w:t xml:space="preserve">it is about surviving in an uncertain market.</w:t>
      </w:r>
    </w:p>
    <w:p>
      <w:pPr>
        <w:pStyle w:val="Heading2"/>
      </w:pPr>
      <w:bookmarkStart w:id="23" w:name="btc"/>
      <w:r>
        <w:t xml:space="preserve">1️⃣ BTC</w:t>
      </w:r>
      <w:bookmarkEnd w:id="23"/>
    </w:p>
    <w:p>
      <w:pPr>
        <w:pStyle w:val="CaptionedFigure"/>
      </w:pPr>
      <w:r>
        <w:drawing>
          <wp:inline>
            <wp:extent cx="5334000" cy="3193051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UozGuN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BTC first showed a red warning line, indicating a potential bottom area (not a confirmed reversal).</w:t>
      </w:r>
      <w:r>
        <w:t xml:space="preserve"> </w:t>
      </w:r>
      <w:r>
        <w:t xml:space="preserve">Price then broke above the trendline at point A, which structurally provided a reference for possible entry.</w:t>
      </w:r>
    </w:p>
    <w:p>
      <w:pPr>
        <w:pStyle w:val="BodyText"/>
      </w:pPr>
      <w:r>
        <w:t xml:space="preserve">However, this breakout did not sustain for long.</w:t>
      </w:r>
      <w:r>
        <w:t xml:space="preserve"> </w:t>
      </w:r>
      <w:r>
        <w:t xml:space="preserve">Around area 2, strong bearish momentum quickly emerged.</w:t>
      </w:r>
    </w:p>
    <w:p>
      <w:pPr>
        <w:pStyle w:val="BodyText"/>
      </w:pPr>
      <w:r>
        <w:t xml:space="preserve">If one chose to follow the entry at point A, it became necessary to dynamically adjust the stop loss as price evolved — in other words, to trail the stop in order to protect floating profits or at least secure a breakeven exit.</w:t>
      </w:r>
    </w:p>
    <w:p>
      <w:pPr>
        <w:pStyle w:val="BodyText"/>
      </w:pPr>
      <w:r>
        <w:t xml:space="preserve">When market conditions show clear signs of fading momentum and strong two-sided competition,</w:t>
      </w:r>
      <w:r>
        <w:t xml:space="preserve"> </w:t>
      </w:r>
      <w:r>
        <w:t xml:space="preserve">prioritizing stop adjustment is always more important than holding and hoping.</w:t>
      </w:r>
    </w:p>
    <w:p>
      <w:pPr>
        <w:pStyle w:val="BodyText"/>
      </w:pPr>
      <w:r>
        <w:t xml:space="preserve">Later, near trendline 3, another pink bottom warning appeared, followed by an upward breakout at point B.</w:t>
      </w:r>
      <w:r>
        <w:t xml:space="preserve"> </w:t>
      </w:r>
      <w:r>
        <w:t xml:space="preserve">However, the quality of this breakout was relatively weak:</w:t>
      </w:r>
    </w:p>
    <w:p>
      <w:pPr>
        <w:numPr>
          <w:ilvl w:val="0"/>
          <w:numId w:val="1001"/>
        </w:numPr>
        <w:pStyle w:val="Compact"/>
      </w:pPr>
      <w:r>
        <w:t xml:space="preserve">The candles before point B broke the trendline very marginally, with closes nearly touching the line</w:t>
      </w:r>
    </w:p>
    <w:p>
      <w:pPr>
        <w:numPr>
          <w:ilvl w:val="0"/>
          <w:numId w:val="1001"/>
        </w:numPr>
        <w:pStyle w:val="Compact"/>
      </w:pPr>
      <w:r>
        <w:t xml:space="preserve">The candle at point B itself was a small-bodied pin bar</w:t>
      </w:r>
    </w:p>
    <w:p>
      <w:pPr>
        <w:numPr>
          <w:ilvl w:val="0"/>
          <w:numId w:val="1001"/>
        </w:numPr>
        <w:pStyle w:val="Compact"/>
      </w:pPr>
      <w:r>
        <w:t xml:space="preserve">The candle at point C showed a bearish pin bar with a long upper wick</w:t>
      </w:r>
    </w:p>
    <w:p>
      <w:pPr>
        <w:pStyle w:val="FirstParagraph"/>
      </w:pPr>
      <w:r>
        <w:t xml:space="preserve">These two candles clearly indicate a strong consolidation and battle between buyers and sellers, making this a low-quality entry area.</w:t>
      </w:r>
    </w:p>
    <w:p>
      <w:pPr>
        <w:pStyle w:val="BodyText"/>
      </w:pPr>
      <w:r>
        <w:t xml:space="preserve">If an entry was taken here, it would again require active stop trailing to protect any unrealized gains, rather than expecting smooth continuation.</w:t>
      </w:r>
    </w:p>
    <w:p>
      <w:pPr>
        <w:pStyle w:val="BodyText"/>
      </w:pPr>
      <w:r>
        <w:t xml:space="preserve">Finally, another red bottom warning appeared below trendline 4, and price broke upward at point D.</w:t>
      </w:r>
      <w:r>
        <w:t xml:space="preserve"> </w:t>
      </w:r>
      <w:r>
        <w:t xml:space="preserve">Structurally, this was a relatively clean bottom breakout, and the entry logic itself was reasonable.</w:t>
      </w:r>
    </w:p>
    <w:p>
      <w:pPr>
        <w:pStyle w:val="BodyText"/>
      </w:pPr>
      <w:r>
        <w:t xml:space="preserve">The issue arose from the price action after point D:</w:t>
      </w:r>
    </w:p>
    <w:p>
      <w:pPr>
        <w:numPr>
          <w:ilvl w:val="0"/>
          <w:numId w:val="1002"/>
        </w:numPr>
        <w:pStyle w:val="Compact"/>
      </w:pPr>
      <w:r>
        <w:t xml:space="preserve">The first candle showed an extremely long upper wick, forming a clear bearish pin bar</w:t>
      </w:r>
    </w:p>
    <w:p>
      <w:pPr>
        <w:numPr>
          <w:ilvl w:val="0"/>
          <w:numId w:val="1002"/>
        </w:numPr>
        <w:pStyle w:val="Compact"/>
      </w:pPr>
      <w:r>
        <w:t xml:space="preserve">The second candle pushed upward but failed to break above the prior wick high</w:t>
      </w:r>
    </w:p>
    <w:p>
      <w:pPr>
        <w:numPr>
          <w:ilvl w:val="0"/>
          <w:numId w:val="1002"/>
        </w:numPr>
        <w:pStyle w:val="Compact"/>
      </w:pPr>
      <w:r>
        <w:t xml:space="preserve">The third candle again formed a noticeable upper wick, with wick length approaching or exceeding the body</w:t>
      </w:r>
    </w:p>
    <w:p>
      <w:pPr>
        <w:pStyle w:val="FirstParagraph"/>
      </w:pPr>
      <w:r>
        <w:t xml:space="preserve">This sequence of candles suggests that bullish momentum was not dominant, and uncertainty increased significantly.</w:t>
      </w:r>
      <w:r>
        <w:t xml:space="preserve"> </w:t>
      </w:r>
      <w:r>
        <w:t xml:space="preserve">Under such conditions, trailing the stop to lock in profits and reduce drawdown risk is the more rational response.</w:t>
      </w:r>
    </w:p>
    <w:p>
      <w:pPr>
        <w:pStyle w:val="Heading2"/>
      </w:pPr>
      <w:bookmarkStart w:id="25" w:name="eth"/>
      <w:r>
        <w:t xml:space="preserve">2️⃣ ETH</w:t>
      </w:r>
      <w:bookmarkEnd w:id="25"/>
    </w:p>
    <w:p>
      <w:pPr>
        <w:pStyle w:val="CaptionedFigure"/>
      </w:pPr>
      <w:r>
        <w:drawing>
          <wp:inline>
            <wp:extent cx="5334000" cy="3207088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MuxMQZ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7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 Chart</w:t>
      </w:r>
    </w:p>
    <w:p>
      <w:pPr>
        <w:pStyle w:val="BodyText"/>
      </w:pPr>
      <w:r>
        <w:t xml:space="preserve">ETH first displayed a continuous pink warning zone, indicating a potential bottom area.</w:t>
      </w:r>
      <w:r>
        <w:t xml:space="preserve"> </w:t>
      </w:r>
      <w:r>
        <w:t xml:space="preserve">A trendline 1 was then drawn and broken upward at point A.</w:t>
      </w:r>
    </w:p>
    <w:p>
      <w:pPr>
        <w:pStyle w:val="BodyText"/>
      </w:pPr>
      <w:r>
        <w:t xml:space="preserve">However, several details are worth noting:</w:t>
      </w:r>
    </w:p>
    <w:p>
      <w:pPr>
        <w:numPr>
          <w:ilvl w:val="0"/>
          <w:numId w:val="1003"/>
        </w:numPr>
        <w:pStyle w:val="Compact"/>
      </w:pPr>
      <w:r>
        <w:t xml:space="preserve">The candles before point A broke the trendline very weakly</w:t>
      </w:r>
    </w:p>
    <w:p>
      <w:pPr>
        <w:numPr>
          <w:ilvl w:val="0"/>
          <w:numId w:val="1003"/>
        </w:numPr>
        <w:pStyle w:val="Compact"/>
      </w:pPr>
      <w:r>
        <w:t xml:space="preserve">The closing prices were extremely close to the trendline</w:t>
      </w:r>
    </w:p>
    <w:p>
      <w:pPr>
        <w:numPr>
          <w:ilvl w:val="0"/>
          <w:numId w:val="1003"/>
        </w:numPr>
        <w:pStyle w:val="Compact"/>
      </w:pPr>
      <w:r>
        <w:t xml:space="preserve">The candle at point A itself was a doji-like structure with a long upper wick</w:t>
      </w:r>
    </w:p>
    <w:p>
      <w:pPr>
        <w:pStyle w:val="FirstParagraph"/>
      </w:pPr>
      <w:r>
        <w:t xml:space="preserve">This type of candle typically reflects indecision rather than trend confirmation, making it a poor entry candidate.</w:t>
      </w:r>
    </w:p>
    <w:p>
      <w:pPr>
        <w:pStyle w:val="BodyText"/>
      </w:pPr>
      <w:r>
        <w:t xml:space="preserve">A trendline 2 then appeared and was broken upward at point B.</w:t>
      </w:r>
      <w:r>
        <w:t xml:space="preserve"> </w:t>
      </w:r>
      <w:r>
        <w:t xml:space="preserve">However, trendline 2 itself had not been validated by price, making its quality even lower than trendline 1.</w:t>
      </w:r>
      <w:r>
        <w:t xml:space="preserve"> </w:t>
      </w:r>
      <w:r>
        <w:t xml:space="preserve">In this case, waiting and observing remained the more reasonable choice.</w:t>
      </w:r>
    </w:p>
    <w:p>
      <w:pPr>
        <w:pStyle w:val="BodyText"/>
      </w:pPr>
      <w:r>
        <w:t xml:space="preserve">If one chose to follow the breakout at point B, the stop loss would need to be moved aggressively as price progressed.</w:t>
      </w:r>
      <w:r>
        <w:t xml:space="preserve"> </w:t>
      </w:r>
      <w:r>
        <w:t xml:space="preserve">Without trailing the stop — or when using a fixed risk–reward model — the renewed bearish pressure later on would likely result in a stop-out.</w:t>
      </w:r>
    </w:p>
    <w:p>
      <w:pPr>
        <w:pStyle w:val="BodyText"/>
      </w:pPr>
      <w:r>
        <w:t xml:space="preserve">A breakout also occurred at trendline 3, but the quality was again weak, with the close positioned very close to the trendline.</w:t>
      </w:r>
      <w:r>
        <w:t xml:space="preserve"> </w:t>
      </w:r>
      <w:r>
        <w:t xml:space="preserve">This setup could reasonably be skipped.</w:t>
      </w:r>
      <w:r>
        <w:t xml:space="preserve"> </w:t>
      </w:r>
      <w:r>
        <w:t xml:space="preserve">Even if entered, it carried a high probability of becoming a losing trade, depending on initial stop placement.</w:t>
      </w:r>
    </w:p>
    <w:p>
      <w:pPr>
        <w:pStyle w:val="BodyText"/>
      </w:pPr>
      <w:r>
        <w:t xml:space="preserve">Finally, trendline 4 was broken upward at point C, with a relatively cleaner breakout.</w:t>
      </w:r>
      <w:r>
        <w:t xml:space="preserve"> </w:t>
      </w:r>
      <w:r>
        <w:t xml:space="preserve">However, immediately after point C, a near-doji candle appeared, with the combined wick length clearly exceeding the candle body.</w:t>
      </w:r>
    </w:p>
    <w:p>
      <w:pPr>
        <w:pStyle w:val="BodyText"/>
      </w:pPr>
      <w:r>
        <w:t xml:space="preserve">This candle represents intense two-sided competition.</w:t>
      </w:r>
      <w:r>
        <w:t xml:space="preserve"> </w:t>
      </w:r>
      <w:r>
        <w:t xml:space="preserve">Upon seeing such price action, the more appropriate response is to trail the stop and protect existing profits, rather than allowing random market fluctuations to hit the original stop loss.</w:t>
      </w:r>
    </w:p>
    <w:p>
      <w:pPr>
        <w:pStyle w:val="Heading2"/>
      </w:pPr>
      <w:bookmarkStart w:id="27" w:name="gold"/>
      <w:r>
        <w:t xml:space="preserve">3️⃣ Gold</w:t>
      </w:r>
      <w:bookmarkEnd w:id="27"/>
    </w:p>
    <w:p>
      <w:pPr>
        <w:pStyle w:val="CaptionedFigure"/>
      </w:pPr>
      <w:r>
        <w:drawing>
          <wp:inline>
            <wp:extent cx="5334000" cy="3205078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i4gBnZ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Chart</w:t>
      </w:r>
    </w:p>
    <w:p>
      <w:pPr>
        <w:pStyle w:val="BodyText"/>
      </w:pPr>
      <w:r>
        <w:t xml:space="preserve">Compared to BTC and ETH, gold offered significantly higher-quality trading opportunities today.</w:t>
      </w:r>
    </w:p>
    <w:p>
      <w:pPr>
        <w:pStyle w:val="BodyText"/>
      </w:pPr>
      <w:r>
        <w:t xml:space="preserve">A thick pink bottom warning zone appeared first, indicating a potential bottom area.</w:t>
      </w:r>
      <w:r>
        <w:t xml:space="preserve"> </w:t>
      </w:r>
      <w:r>
        <w:t xml:space="preserve">Price then broke above trendline 1 at point A.</w:t>
      </w:r>
      <w:r>
        <w:t xml:space="preserve"> </w:t>
      </w:r>
      <w:r>
        <w:t xml:space="preserve">Both the candle quality and the breakout structure were clearly superior to those seen in BTC and ETH, making this a more reasonable follow-entry opportunity.</w:t>
      </w:r>
    </w:p>
    <w:p>
      <w:pPr>
        <w:pStyle w:val="BodyText"/>
      </w:pPr>
      <w:r>
        <w:t xml:space="preserve">Under this structure, continuous stop trailing allowed for the possibility of achieving a more favorable risk–reward outcome.</w:t>
      </w:r>
    </w:p>
    <w:p>
      <w:pPr>
        <w:pStyle w:val="BodyText"/>
      </w:pPr>
      <w:r>
        <w:t xml:space="preserve">It is important to clarify that area 2 is not a valid trendline, but rather an unformed and unverified structure, drawn only to illustrate the difference between confirmed and unconfirmed trendlines.</w:t>
      </w:r>
    </w:p>
    <w:p>
      <w:pPr>
        <w:pStyle w:val="BodyText"/>
      </w:pPr>
      <w:r>
        <w:t xml:space="preserve">During unformed trendline phases, price often deviates significantly.</w:t>
      </w:r>
      <w:r>
        <w:t xml:space="preserve"> </w:t>
      </w:r>
      <w:r>
        <w:t xml:space="preserve">Only after trendline 3 formed did the structure begin to stabilize. However, trendline 3 was still newly formed and had not yet been validated by the market.</w:t>
      </w:r>
    </w:p>
    <w:p>
      <w:pPr>
        <w:pStyle w:val="BodyText"/>
      </w:pPr>
      <w:r>
        <w:t xml:space="preserve">When trendline 3 was broken upward, observing rather than entering was a reasonable choice.</w:t>
      </w:r>
      <w:r>
        <w:t xml:space="preserve"> </w:t>
      </w:r>
      <w:r>
        <w:t xml:space="preserve">Additionally, the breakout candle showed a clear upper wick and a near-doji structure, reflecting strong disagreement between buyers and sellers.</w:t>
      </w:r>
      <w:r>
        <w:t xml:space="preserve"> </w:t>
      </w:r>
      <w:r>
        <w:t xml:space="preserve">As such, this opportunity could also be skipped.</w:t>
      </w:r>
    </w:p>
    <w:p>
      <w:pPr>
        <w:pStyle w:val="Heading2"/>
      </w:pPr>
      <w:bookmarkStart w:id="29" w:name="summary"/>
      <w:r>
        <w:t xml:space="preserve">Summary</w:t>
      </w:r>
      <w:bookmarkEnd w:id="29"/>
    </w:p>
    <w:p>
      <w:pPr>
        <w:pStyle w:val="FirstParagraph"/>
      </w:pPr>
      <w:r>
        <w:t xml:space="preserve">Today’s market action clearly demonstrates that:</w:t>
      </w:r>
    </w:p>
    <w:p>
      <w:pPr>
        <w:numPr>
          <w:ilvl w:val="0"/>
          <w:numId w:val="1004"/>
        </w:numPr>
        <w:pStyle w:val="Compact"/>
      </w:pPr>
      <w:r>
        <w:t xml:space="preserve">Not every signal requires an entry</w:t>
      </w:r>
    </w:p>
    <w:p>
      <w:pPr>
        <w:numPr>
          <w:ilvl w:val="0"/>
          <w:numId w:val="1004"/>
        </w:numPr>
        <w:pStyle w:val="Compact"/>
      </w:pPr>
      <w:r>
        <w:t xml:space="preserve">Not every entry will develop as expected</w:t>
      </w:r>
    </w:p>
    <w:p>
      <w:pPr>
        <w:numPr>
          <w:ilvl w:val="0"/>
          <w:numId w:val="1004"/>
        </w:numPr>
        <w:pStyle w:val="Compact"/>
      </w:pPr>
      <w:r>
        <w:t xml:space="preserve">The market is inherently uncertain and can reverse at any time</w:t>
      </w:r>
    </w:p>
    <w:p>
      <w:pPr>
        <w:pStyle w:val="FirstParagraph"/>
      </w:pPr>
      <w:r>
        <w:t xml:space="preserve">Therefore, the primary objective in trading should always be:</w:t>
      </w:r>
    </w:p>
    <w:p>
      <w:pPr>
        <w:pStyle w:val="BodyText"/>
      </w:pPr>
      <w:r>
        <w:t xml:space="preserve">Risk control, drawdown reduction, and capital preservation.</w:t>
      </w:r>
    </w:p>
    <w:p>
      <w:pPr>
        <w:pStyle w:val="BodyText"/>
      </w:pPr>
      <w:r>
        <w:t xml:space="preserve">Many setups may appear tradable on the surface but lack sufficient quality.</w:t>
      </w:r>
      <w:r>
        <w:t xml:space="preserve"> </w:t>
      </w:r>
      <w:r>
        <w:t xml:space="preserve">In the absence of high-probability opportunities, staying flat is often the optimal decision.</w:t>
      </w:r>
    </w:p>
    <w:p>
      <w:pPr>
        <w:pStyle w:val="BodyText"/>
      </w:pPr>
      <w:r>
        <w:t xml:space="preserve">Trading opportunities vary in quality.</w:t>
      </w:r>
      <w:r>
        <w:t xml:space="preserve"> </w:t>
      </w:r>
      <w:r>
        <w:t xml:space="preserve">By continuously filtering and refining one’s trading system and focusing only on higher-probability structures, a more sustainable long-term approach can be achieved.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webp" /><Relationship Type="http://schemas.openxmlformats.org/officeDocument/2006/relationships/image" Id="rId26" Target="media/rId26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2026-05-03T18:12:42Z</dcterms:created>
  <dcterms:modified xsi:type="dcterms:W3CDTF">2026-05-03T18:12:42Z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