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微软雅黑"/>
          <w:b/>
          <w:sz w:val="44"/>
        </w:rPr>
        <w:t>SniperTrendEA v8.6 升级说明</w:t>
      </w:r>
    </w:p>
    <w:p>
      <w:pPr>
        <w:jc w:val="center"/>
      </w:pPr>
      <w:r>
        <w:rPr>
          <w:rFonts w:ascii="Arial" w:hAnsi="Arial" w:eastAsia="微软雅黑"/>
          <w:color w:val="4472C4"/>
          <w:sz w:val="26"/>
        </w:rPr>
        <w:t>动能确认与点火失败管理版</w:t>
      </w:r>
    </w:p>
    <w:p/>
    <w:p>
      <w:pPr>
        <w:pStyle w:val="Heading1"/>
      </w:pPr>
      <w:r>
        <w:rPr>
          <w:rFonts w:ascii="Arial" w:hAnsi="Arial" w:eastAsia="微软雅黑"/>
        </w:rPr>
        <w:t>版本定位</w:t>
      </w:r>
    </w:p>
    <w:p>
      <w:r>
        <w:rPr>
          <w:rFonts w:ascii="Arial" w:hAnsi="Arial" w:eastAsia="微软雅黑"/>
          <w:b w:val="0"/>
          <w:sz w:val="22"/>
        </w:rPr>
        <w:t>v8.6「动能确认与点火失败管理版」在 v8.5「交易哲学融合版」基础上，进一步将 Z-Wei 交易体系中「突破质量评估」与「点火-跟随」理论落地到持仓管理层面，使 EA 不仅能「选对入场」，还能在「点火失败」时快速止损离场。</w:t>
      </w:r>
    </w:p>
    <w:p>
      <w:r>
        <w:rPr>
          <w:rFonts w:ascii="Arial" w:hAnsi="Arial" w:eastAsia="微软雅黑"/>
          <w:b w:val="0"/>
          <w:sz w:val="22"/>
        </w:rPr>
        <w:t>v8.6 完整保留 v8.5 五层入场过滤 + v8.4 多因子框架（ADX / 时间 / 波动率 / 日线 MA200），新增 2 项入场过滤 + 1 项持仓管理升级。</w:t>
      </w:r>
    </w:p>
    <w:p>
      <w:pPr>
        <w:pStyle w:val="Heading1"/>
      </w:pPr>
      <w:r>
        <w:rPr>
          <w:rFonts w:ascii="Arial" w:hAnsi="Arial" w:eastAsia="微软雅黑"/>
        </w:rPr>
        <w:t>三大核心升级（与文章理论一一对应）</w:t>
      </w:r>
    </w:p>
    <w:p>
      <w:pPr>
        <w:pStyle w:val="Heading2"/>
      </w:pPr>
      <w:r>
        <w:rPr>
          <w:rFonts w:ascii="Arial" w:hAnsi="Arial" w:eastAsia="微软雅黑"/>
        </w:rPr>
        <w:t>1. 双向博弈过滤  InpUseWickConflictFilter / InpMaxWickToBodyRatio</w:t>
      </w:r>
    </w:p>
    <w:p>
      <w:r>
        <w:rPr>
          <w:rFonts w:ascii="Arial" w:hAnsi="Arial" w:eastAsia="微软雅黑"/>
          <w:b/>
          <w:sz w:val="22"/>
        </w:rPr>
        <w:t>理论来源：《Not All Breakouts Are Equal》《Trade Like a Professional, Not a Gambler》</w:t>
      </w:r>
    </w:p>
    <w:p>
      <w:r>
        <w:rPr>
          <w:rFonts w:ascii="Arial" w:hAnsi="Arial" w:eastAsia="微软雅黑"/>
          <w:b w:val="0"/>
          <w:sz w:val="22"/>
        </w:rPr>
        <w:t>问题描述：v8.5 通过 InpBodyRatio 和 InpMaxOppositeShadow 分别检查实体占比和单边反向影线，但无法识别「双向激烈博弈」型 K 线——上下影线合计超过实体，说明多空双方仍在激烈争夺，突破缺乏决定性。</w:t>
      </w:r>
    </w:p>
    <w:p>
      <w:r>
        <w:rPr>
          <w:rFonts w:ascii="Arial" w:hAnsi="Arial" w:eastAsia="微软雅黑"/>
          <w:b w:val="0"/>
          <w:sz w:val="22"/>
        </w:rPr>
        <w:t>典型案例：ETH 趋势线 3 突破时，上下影线合计明显大于实体，属于低质量突破；黄金趋势线 2 突破后连续十字星，反映共识未能形成。</w:t>
      </w:r>
    </w:p>
    <w:p>
      <w:r>
        <w:rPr>
          <w:rFonts w:ascii="Arial" w:hAnsi="Arial" w:eastAsia="微软雅黑"/>
          <w:b/>
          <w:sz w:val="22"/>
        </w:rPr>
        <w:t>实现逻辑：</w:t>
      </w:r>
    </w:p>
    <w:p>
      <w:pPr>
        <w:pStyle w:val="ListBullet"/>
      </w:pPr>
      <w:r>
        <w:rPr>
          <w:rFonts w:ascii="Arial" w:hAnsi="Arial" w:eastAsia="微软雅黑"/>
          <w:sz w:val="22"/>
        </w:rPr>
        <w:t>计算 总影线/实体 比值：GetWickToBodyRatio()</w:t>
      </w:r>
    </w:p>
    <w:p>
      <w:pPr>
        <w:pStyle w:val="ListBullet"/>
      </w:pPr>
      <w:r>
        <w:rPr>
          <w:rFonts w:ascii="Arial" w:hAnsi="Arial" w:eastAsia="微软雅黑"/>
          <w:sz w:val="22"/>
        </w:rPr>
        <w:t>当 总影线/实体 &gt; InpMaxWickToBodyRatio 时拒绝入场</w:t>
      </w:r>
    </w:p>
    <w:p>
      <w:pPr>
        <w:pStyle w:val="ListBullet"/>
      </w:pPr>
      <w:r>
        <w:rPr>
          <w:rFonts w:ascii="Arial" w:hAnsi="Arial" w:eastAsia="微软雅黑"/>
          <w:sz w:val="22"/>
        </w:rPr>
        <w:t>默认值：1.0（总影线不超过实体）；激进风格可调至 1.2</w:t>
      </w:r>
    </w:p>
    <w:p>
      <w:r>
        <w:rPr>
          <w:rFonts w:ascii="Arial" w:hAnsi="Arial" w:eastAsia="微软雅黑"/>
          <w:b w:val="0"/>
          <w:sz w:val="22"/>
        </w:rPr>
        <w:t>对应函数：IsWickConflictCandle(int shift)</w:t>
      </w:r>
    </w:p>
    <w:p>
      <w:pPr>
        <w:pStyle w:val="Heading2"/>
      </w:pPr>
      <w:r>
        <w:rPr>
          <w:rFonts w:ascii="Arial" w:hAnsi="Arial" w:eastAsia="微软雅黑"/>
        </w:rPr>
        <w:t>2. 动能优势确认  InpRequireMomentumDominance</w:t>
      </w:r>
    </w:p>
    <w:p>
      <w:r>
        <w:rPr>
          <w:rFonts w:ascii="Arial" w:hAnsi="Arial" w:eastAsia="微软雅黑"/>
          <w:b/>
          <w:sz w:val="22"/>
        </w:rPr>
        <w:t>理论来源：《市场结构观察 #26-2-2》《High-Probability Structural Transitions》</w:t>
      </w:r>
    </w:p>
    <w:p>
      <w:r>
        <w:rPr>
          <w:rFonts w:ascii="Arial" w:hAnsi="Arial" w:eastAsia="微软雅黑"/>
          <w:b w:val="0"/>
          <w:sz w:val="22"/>
        </w:rPr>
        <w:t>问题描述：v8.5 只检查突破 K 线自身的实体占比，未对比近期反向 K 线的动能强度。文档反复强调：真正高质量的结构转化，突破 K 线的多方/空方动能必须明显强于前期的反向力量（如黄金 d 点强于 c 点，ETH 趋势线 3 突破强于 a/b 点）。</w:t>
      </w:r>
    </w:p>
    <w:p>
      <w:r>
        <w:rPr>
          <w:rFonts w:ascii="Arial" w:hAnsi="Arial" w:eastAsia="微软雅黑"/>
          <w:b/>
          <w:sz w:val="22"/>
        </w:rPr>
        <w:t>实现逻辑：</w:t>
      </w:r>
    </w:p>
    <w:p>
      <w:pPr>
        <w:pStyle w:val="ListBullet"/>
      </w:pPr>
      <w:r>
        <w:rPr>
          <w:rFonts w:ascii="Arial" w:hAnsi="Arial" w:eastAsia="微软雅黑"/>
          <w:sz w:val="22"/>
        </w:rPr>
        <w:t>回看近 InpMomentumLookback 根 K 线（默认 5）</w:t>
      </w:r>
    </w:p>
    <w:p>
      <w:pPr>
        <w:pStyle w:val="ListBullet"/>
      </w:pPr>
      <w:r>
        <w:rPr>
          <w:rFonts w:ascii="Arial" w:hAnsi="Arial" w:eastAsia="微软雅黑"/>
          <w:sz w:val="22"/>
        </w:rPr>
        <w:t>找出其中反向 K 线（做多看阴线，做空看阳线）的最大实体</w:t>
      </w:r>
    </w:p>
    <w:p>
      <w:pPr>
        <w:pStyle w:val="ListBullet"/>
      </w:pPr>
      <w:r>
        <w:rPr>
          <w:rFonts w:ascii="Arial" w:hAnsi="Arial" w:eastAsia="微软雅黑"/>
          <w:sz w:val="22"/>
        </w:rPr>
        <w:t>要求：突破 K 线实体 ≥ 最大反向实体 × InpMomentumMinRatio</w:t>
      </w:r>
    </w:p>
    <w:p>
      <w:pPr>
        <w:pStyle w:val="ListBullet"/>
      </w:pPr>
      <w:r>
        <w:rPr>
          <w:rFonts w:ascii="Arial" w:hAnsi="Arial" w:eastAsia="微软雅黑"/>
          <w:sz w:val="22"/>
        </w:rPr>
        <w:t>若期间无反向 K 线，则放行（无对比基准）</w:t>
      </w:r>
    </w:p>
    <w:p>
      <w:r>
        <w:rPr>
          <w:rFonts w:ascii="Arial" w:hAnsi="Arial" w:eastAsia="微软雅黑"/>
          <w:b w:val="0"/>
          <w:sz w:val="22"/>
        </w:rPr>
        <w:t>对应函数：HasMomentumDominance(bool forBuy, int shift)</w:t>
      </w:r>
    </w:p>
    <w:p>
      <w:r>
        <w:rPr>
          <w:rFonts w:ascii="Arial" w:hAnsi="Arial" w:eastAsia="微软雅黑"/>
          <w:b w:val="0"/>
          <w:sz w:val="22"/>
        </w:rPr>
        <w:t>默认值：InpMomentumMinRatio = 1.0（突破实体至少等于最大反向实体）</w:t>
      </w:r>
    </w:p>
    <w:p>
      <w:pPr>
        <w:pStyle w:val="Heading2"/>
      </w:pPr>
      <w:r>
        <w:rPr>
          <w:rFonts w:ascii="Arial" w:hAnsi="Arial" w:eastAsia="微软雅黑"/>
        </w:rPr>
        <w:t>3. 点火失败快速平仓  InpUseIgnitionExit</w:t>
      </w:r>
    </w:p>
    <w:p>
      <w:r>
        <w:rPr>
          <w:rFonts w:ascii="Arial" w:hAnsi="Arial" w:eastAsia="微软雅黑"/>
          <w:b/>
          <w:sz w:val="22"/>
        </w:rPr>
        <w:t>理论来源：《点火与跟随 (Ignition and Follow-Through)》</w:t>
      </w:r>
    </w:p>
    <w:p>
      <w:r>
        <w:rPr>
          <w:rFonts w:ascii="Arial" w:hAnsi="Arial" w:eastAsia="微软雅黑"/>
          <w:b w:val="0"/>
          <w:sz w:val="22"/>
        </w:rPr>
        <w:t>问题描述：v8.5 的 InpRequireFollowThrough 仅在入场前检查「是否有跟随」，但入场后若点火失败（如出现反向吞没 K 线），EA 只能等待原始止损被触发，造成不必要的大额亏损。文档以 BTC 案例说明：e 点做空后 f 点出现长下影反弹，说明空方点火失败，应在接近保本时快速离场。</w:t>
      </w:r>
    </w:p>
    <w:p>
      <w:r>
        <w:rPr>
          <w:rFonts w:ascii="Arial" w:hAnsi="Arial" w:eastAsia="微软雅黑"/>
          <w:b/>
          <w:sz w:val="22"/>
        </w:rPr>
        <w:t>实现逻辑：</w:t>
      </w:r>
    </w:p>
    <w:p>
      <w:pPr>
        <w:pStyle w:val="ListBullet"/>
      </w:pPr>
      <w:r>
        <w:rPr>
          <w:rFonts w:ascii="Arial" w:hAnsi="Arial" w:eastAsia="微软雅黑"/>
          <w:sz w:val="22"/>
        </w:rPr>
        <w:t>入场时记录入场 K 线时间与实体大小（g_entryBarTime / g_entryBodySize）</w:t>
      </w:r>
    </w:p>
    <w:p>
      <w:pPr>
        <w:pStyle w:val="ListBullet"/>
      </w:pPr>
      <w:r>
        <w:rPr>
          <w:rFonts w:ascii="Arial" w:hAnsi="Arial" w:eastAsia="微软雅黑"/>
          <w:sz w:val="22"/>
        </w:rPr>
        <w:t>入场后 InpIgnitionMaxBars 根 K 线内（默认 3），每根 K 线收盘检测点火失败信号</w:t>
      </w:r>
    </w:p>
    <w:p>
      <w:pPr>
        <w:pStyle w:val="ListBullet"/>
      </w:pPr>
      <w:r>
        <w:rPr>
          <w:rFonts w:ascii="Arial" w:hAnsi="Arial" w:eastAsia="微软雅黑"/>
          <w:sz w:val="22"/>
        </w:rPr>
        <w:t>多头点火失败触发条件：</w:t>
      </w:r>
    </w:p>
    <w:p>
      <w:pPr>
        <w:pStyle w:val="ListBullet"/>
      </w:pPr>
      <w:r>
        <w:rPr>
          <w:rFonts w:ascii="Arial" w:hAnsi="Arial" w:eastAsia="微软雅黑"/>
          <w:sz w:val="22"/>
        </w:rPr>
        <w:t xml:space="preserve">  · 反向阴线实体 ≥ 入场实体 × InpIgnitionEngulfRatio（默认 0.85）</w:t>
      </w:r>
    </w:p>
    <w:p>
      <w:pPr>
        <w:pStyle w:val="ListBullet"/>
      </w:pPr>
      <w:r>
        <w:rPr>
          <w:rFonts w:ascii="Arial" w:hAnsi="Arial" w:eastAsia="微软雅黑"/>
          <w:sz w:val="22"/>
        </w:rPr>
        <w:t xml:space="preserve">  · 看跌吞没入场 K 线</w:t>
      </w:r>
    </w:p>
    <w:p>
      <w:pPr>
        <w:pStyle w:val="ListBullet"/>
      </w:pPr>
      <w:r>
        <w:rPr>
          <w:rFonts w:ascii="Arial" w:hAnsi="Arial" w:eastAsia="微软雅黑"/>
          <w:sz w:val="22"/>
        </w:rPr>
        <w:t xml:space="preserve">  · 阳线但上影线 &gt; 45%（多方动能衰竭）</w:t>
      </w:r>
    </w:p>
    <w:p>
      <w:pPr>
        <w:pStyle w:val="ListBullet"/>
      </w:pPr>
      <w:r>
        <w:rPr>
          <w:rFonts w:ascii="Arial" w:hAnsi="Arial" w:eastAsia="微软雅黑"/>
          <w:sz w:val="22"/>
        </w:rPr>
        <w:t xml:space="preserve">  · 跟随乏力：阳线缩量且未创新高</w:t>
      </w:r>
    </w:p>
    <w:p>
      <w:pPr>
        <w:pStyle w:val="ListBullet"/>
      </w:pPr>
      <w:r>
        <w:rPr>
          <w:rFonts w:ascii="Arial" w:hAnsi="Arial" w:eastAsia="微软雅黑"/>
          <w:sz w:val="22"/>
        </w:rPr>
        <w:t>空头点火失败触发条件：</w:t>
      </w:r>
    </w:p>
    <w:p>
      <w:pPr>
        <w:pStyle w:val="ListBullet"/>
      </w:pPr>
      <w:r>
        <w:rPr>
          <w:rFonts w:ascii="Arial" w:hAnsi="Arial" w:eastAsia="微软雅黑"/>
          <w:sz w:val="22"/>
        </w:rPr>
        <w:t xml:space="preserve">  · 反向阳线实体 ≥ 入场实体 × 0.85</w:t>
      </w:r>
    </w:p>
    <w:p>
      <w:pPr>
        <w:pStyle w:val="ListBullet"/>
      </w:pPr>
      <w:r>
        <w:rPr>
          <w:rFonts w:ascii="Arial" w:hAnsi="Arial" w:eastAsia="微软雅黑"/>
          <w:sz w:val="22"/>
        </w:rPr>
        <w:t xml:space="preserve">  · 看涨吞没入场 K 线</w:t>
      </w:r>
    </w:p>
    <w:p>
      <w:pPr>
        <w:pStyle w:val="ListBullet"/>
      </w:pPr>
      <w:r>
        <w:rPr>
          <w:rFonts w:ascii="Arial" w:hAnsi="Arial" w:eastAsia="微软雅黑"/>
          <w:sz w:val="22"/>
        </w:rPr>
        <w:t xml:space="preserve">  · 阴线但下影线 &gt; 45%（空方动能衰竭）</w:t>
      </w:r>
    </w:p>
    <w:p>
      <w:pPr>
        <w:pStyle w:val="ListBullet"/>
      </w:pPr>
      <w:r>
        <w:rPr>
          <w:rFonts w:ascii="Arial" w:hAnsi="Arial" w:eastAsia="微软雅黑"/>
          <w:sz w:val="22"/>
        </w:rPr>
        <w:t xml:space="preserve">  · 跟随乏力：阴线缩量且未创新低</w:t>
      </w:r>
    </w:p>
    <w:p>
      <w:pPr>
        <w:pStyle w:val="ListBullet"/>
      </w:pPr>
      <w:r>
        <w:rPr>
          <w:rFonts w:ascii="Arial" w:hAnsi="Arial" w:eastAsia="微软雅黑"/>
          <w:sz w:val="22"/>
        </w:rPr>
        <w:t>保护机制：仅当浮亏 ≤ InpIgnitionMaxLossATR × ATR（默认 1.0）时才执行快速平仓，避免在正常回调中被误杀</w:t>
      </w:r>
    </w:p>
    <w:p>
      <w:r>
        <w:rPr>
          <w:rFonts w:ascii="Arial" w:hAnsi="Arial" w:eastAsia="微软雅黑"/>
          <w:b w:val="0"/>
          <w:sz w:val="22"/>
        </w:rPr>
        <w:t>对应函数：ManageIgnitionExit() / IsIgnitionFailedLong() / IsIgnitionFailedShort()</w:t>
      </w:r>
    </w:p>
    <w:p>
      <w:pPr>
        <w:pStyle w:val="Heading1"/>
      </w:pPr>
      <w:r>
        <w:rPr>
          <w:rFonts w:ascii="Arial" w:hAnsi="Arial" w:eastAsia="微软雅黑"/>
        </w:rPr>
        <w:t>升级后的七层过滤架构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D5E8F0" w:val="clear"/>
          </w:tcPr>
          <w:p>
            <w:r>
              <w:rPr>
                <w:b/>
                <w:sz w:val="20"/>
              </w:rPr>
              <w:t>层级</w:t>
            </w:r>
          </w:p>
        </w:tc>
        <w:tc>
          <w:tcPr>
            <w:tcW w:type="dxa" w:w="2266"/>
            <w:shd w:fill="D5E8F0" w:val="clear"/>
          </w:tcPr>
          <w:p>
            <w:r>
              <w:rPr>
                <w:b/>
                <w:sz w:val="20"/>
              </w:rPr>
              <w:t>过滤名称</w:t>
            </w:r>
          </w:p>
        </w:tc>
        <w:tc>
          <w:tcPr>
            <w:tcW w:type="dxa" w:w="2266"/>
            <w:shd w:fill="D5E8F0" w:val="clear"/>
          </w:tcPr>
          <w:p>
            <w:r>
              <w:rPr>
                <w:b/>
                <w:sz w:val="20"/>
              </w:rPr>
              <w:t>判断标准</w:t>
            </w:r>
          </w:p>
        </w:tc>
        <w:tc>
          <w:tcPr>
            <w:tcW w:type="dxa" w:w="2266"/>
            <w:shd w:fill="D5E8F0" w:val="clear"/>
          </w:tcPr>
          <w:p>
            <w:r>
              <w:rPr>
                <w:b/>
                <w:sz w:val="20"/>
              </w:rPr>
              <w:t>版本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第1层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方向正确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MA200 趋势 + ADX（可选）+ 日线 MA200（可选）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v8.4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第2层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结构成立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MACD 柱翻转 + 实体占比 ≥ 60%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v8.3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第3层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K线干脆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反向影线 ≤ 20%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v8.5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第4层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不追耗竭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振幅 ≤ 2.5×ATR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v8.5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第5层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共识形成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收盘创近 N 根极值（可选）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v8.5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第6层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无双向博弈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总影线 ≤ 实体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v8.6 新增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第7层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动能优势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实体强于近期反向 K 线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v8.6 新增</w:t>
            </w:r>
          </w:p>
        </w:tc>
      </w:tr>
    </w:tbl>
    <w:p/>
    <w:p>
      <w:pPr>
        <w:pStyle w:val="Heading1"/>
      </w:pPr>
      <w:r>
        <w:rPr>
          <w:rFonts w:ascii="Arial" w:hAnsi="Arial" w:eastAsia="微软雅黑"/>
        </w:rPr>
        <w:t>v8.5 → v8.6 变更对照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D5E8F0" w:val="clear"/>
          </w:tcPr>
          <w:p>
            <w:r>
              <w:rPr>
                <w:b/>
                <w:sz w:val="20"/>
              </w:rPr>
              <w:t>参数</w:t>
            </w:r>
          </w:p>
        </w:tc>
        <w:tc>
          <w:tcPr>
            <w:tcW w:type="dxa" w:w="2266"/>
            <w:shd w:fill="D5E8F0" w:val="clear"/>
          </w:tcPr>
          <w:p>
            <w:r>
              <w:rPr>
                <w:b/>
                <w:sz w:val="20"/>
              </w:rPr>
              <w:t>v8.5 默认</w:t>
            </w:r>
          </w:p>
        </w:tc>
        <w:tc>
          <w:tcPr>
            <w:tcW w:type="dxa" w:w="2266"/>
            <w:shd w:fill="D5E8F0" w:val="clear"/>
          </w:tcPr>
          <w:p>
            <w:r>
              <w:rPr>
                <w:b/>
                <w:sz w:val="20"/>
              </w:rPr>
              <w:t>v8.6 默认</w:t>
            </w:r>
          </w:p>
        </w:tc>
        <w:tc>
          <w:tcPr>
            <w:tcW w:type="dxa" w:w="2266"/>
            <w:shd w:fill="D5E8F0" w:val="clear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InpUseWickConflictFilter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新增：双向博弈过滤开关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InpMaxWickToBodyRatio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新增：总影线/实体最大比值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InpRequireMomentumDominance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新增：动能优势确认开关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InpMomentumLookback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新增：动能对比回看 K 线数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InpMomentumMinRatio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新增：动能最低比值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InpUseIgnitionExit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新增：点火失败快速平仓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InpIgnitionMaxBars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新增：入场后观察 K 线数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InpIgnitionEngulfRatio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0.85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新增：反向吞没触发阈值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InpIgnitionMaxLossATR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新增：点火止损最大亏损 ATR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InpMagicNumber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20260506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20260618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更新魔术号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InpComment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SniperEA_v8.5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SniperEA_v8.6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更新注释标识</w:t>
            </w:r>
          </w:p>
        </w:tc>
      </w:tr>
    </w:tbl>
    <w:p/>
    <w:p>
      <w:pPr>
        <w:pStyle w:val="Heading1"/>
      </w:pPr>
      <w:r>
        <w:rPr>
          <w:rFonts w:ascii="Arial" w:hAnsi="Arial" w:eastAsia="微软雅黑"/>
        </w:rPr>
        <w:t>参数推荐配置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D5E8F0" w:val="clear"/>
          </w:tcPr>
          <w:p>
            <w:r>
              <w:rPr>
                <w:b/>
                <w:sz w:val="20"/>
              </w:rPr>
              <w:t>参数</w:t>
            </w:r>
          </w:p>
        </w:tc>
        <w:tc>
          <w:tcPr>
            <w:tcW w:type="dxa" w:w="2266"/>
            <w:shd w:fill="D5E8F0" w:val="clear"/>
          </w:tcPr>
          <w:p>
            <w:r>
              <w:rPr>
                <w:b/>
                <w:sz w:val="20"/>
              </w:rPr>
              <w:t>XAUUSD H4（保守）</w:t>
            </w:r>
          </w:p>
        </w:tc>
        <w:tc>
          <w:tcPr>
            <w:tcW w:type="dxa" w:w="2266"/>
            <w:shd w:fill="D5E8F0" w:val="clear"/>
          </w:tcPr>
          <w:p>
            <w:r>
              <w:rPr>
                <w:b/>
                <w:sz w:val="20"/>
              </w:rPr>
              <w:t>XAUUSD H1（激进）</w:t>
            </w:r>
          </w:p>
        </w:tc>
        <w:tc>
          <w:tcPr>
            <w:tcW w:type="dxa" w:w="2266"/>
            <w:shd w:fill="D5E8F0" w:val="clear"/>
          </w:tcPr>
          <w:p>
            <w:r>
              <w:rPr>
                <w:b/>
                <w:sz w:val="20"/>
              </w:rPr>
              <w:t>BTCUSD H1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InpMaxWickToBodyRatio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1.2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InpRequireMomentumDominance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InpMomentumMinRatio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0.9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InpMomentumLookback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InpUseIgnitionExit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InpIgnitionMaxBars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InpIgnitionEngulfRatio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0.85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0.80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0.85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InpIgnitionMaxLossATR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0.8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1.2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InpMaxCandleATR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2.5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3.0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InpMaxOppositeShadow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0.20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0.25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0.20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InpRequireFollowThrough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InpMA200BufferATR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0.3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0.3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InpRiskPercent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0.5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0.3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0.3</w:t>
            </w:r>
          </w:p>
        </w:tc>
      </w:tr>
    </w:tbl>
    <w:p/>
    <w:p>
      <w:pPr>
        <w:pStyle w:val="Heading1"/>
      </w:pPr>
      <w:r>
        <w:rPr>
          <w:rFonts w:ascii="Arial" w:hAnsi="Arial" w:eastAsia="微软雅黑"/>
        </w:rPr>
        <w:t>升级后的交易哲学</w:t>
      </w:r>
    </w:p>
    <w:p>
      <w:r>
        <w:rPr>
          <w:rFonts w:ascii="Arial" w:hAnsi="Arial" w:eastAsia="微软雅黑"/>
          <w:b/>
          <w:sz w:val="22"/>
        </w:rPr>
        <w:t>v8.5 解决了「该不该开枪」的问题；v8.6 进一步解决「开枪后子弹有没有打中」的问题。</w:t>
      </w:r>
    </w:p>
    <w:p>
      <w:r>
        <w:rPr>
          <w:rFonts w:ascii="Arial" w:hAnsi="Arial" w:eastAsia="微软雅黑"/>
          <w:b w:val="0"/>
          <w:sz w:val="22"/>
        </w:rPr>
        <w:t>「入场是点火，持仓是等待跟随。火没点着，立刻撤退，保住子弹。」</w:t>
      </w:r>
    </w:p>
    <w:p>
      <w:r>
        <w:rPr>
          <w:rFonts w:ascii="Arial" w:hAnsi="Arial" w:eastAsia="微软雅黑"/>
          <w:b w:val="0"/>
          <w:sz w:val="22"/>
        </w:rPr>
        <w:t>v8.6 贯彻了 Z-Wei 体系的核心闭环：</w:t>
      </w:r>
    </w:p>
    <w:p>
      <w:pPr>
        <w:pStyle w:val="ListBullet"/>
      </w:pPr>
      <w:r>
        <w:rPr>
          <w:rFonts w:ascii="Arial" w:hAnsi="Arial" w:eastAsia="微软雅黑"/>
          <w:sz w:val="22"/>
        </w:rPr>
        <w:t>入场前：七层过滤确保只在高质量结构处开仓</w:t>
      </w:r>
    </w:p>
    <w:p>
      <w:pPr>
        <w:pStyle w:val="ListBullet"/>
      </w:pPr>
      <w:r>
        <w:rPr>
          <w:rFonts w:ascii="Arial" w:hAnsi="Arial" w:eastAsia="微软雅黑"/>
          <w:sz w:val="22"/>
        </w:rPr>
        <w:t>入场后：点火失败检测确保在无跟随时小亏离场</w:t>
      </w:r>
    </w:p>
    <w:p>
      <w:pPr>
        <w:pStyle w:val="ListBullet"/>
      </w:pPr>
      <w:r>
        <w:rPr>
          <w:rFonts w:ascii="Arial" w:hAnsi="Arial" w:eastAsia="微软雅黑"/>
          <w:sz w:val="22"/>
        </w:rPr>
        <w:t>持仓中：ATR 移动止盈保护已有利润</w:t>
      </w:r>
    </w:p>
    <w:p>
      <w:r>
        <w:rPr>
          <w:rFonts w:ascii="Arial" w:hAnsi="Arial" w:eastAsia="微软雅黑"/>
          <w:b w:val="0"/>
          <w:sz w:val="22"/>
        </w:rPr>
        <w:t>这正是文档中反复强调的：「控制回撤永远排在追求利润之前。」</w:t>
      </w:r>
    </w:p>
    <w:p>
      <w:pPr>
        <w:pStyle w:val="Heading1"/>
      </w:pPr>
      <w:r>
        <w:rPr>
          <w:rFonts w:ascii="Arial" w:hAnsi="Arial" w:eastAsia="微软雅黑"/>
        </w:rPr>
        <w:t>回测建议</w:t>
      </w:r>
    </w:p>
    <w:p>
      <w:r>
        <w:rPr>
          <w:rFonts w:ascii="Arial" w:hAnsi="Arial" w:eastAsia="微软雅黑"/>
          <w:b w:val="0"/>
          <w:sz w:val="22"/>
        </w:rPr>
        <w:t>在策略测试器中分三组对比测试：</w:t>
      </w:r>
    </w:p>
    <w:p>
      <w:pPr>
        <w:pStyle w:val="ListBullet"/>
      </w:pPr>
      <w:r>
        <w:rPr>
          <w:rFonts w:ascii="Arial" w:hAnsi="Arial" w:eastAsia="微软雅黑"/>
          <w:sz w:val="22"/>
        </w:rPr>
        <w:t>Group A：v8.5 参数（关闭 v8.6 三项新功能）</w:t>
      </w:r>
    </w:p>
    <w:p>
      <w:pPr>
        <w:pStyle w:val="ListBullet"/>
      </w:pPr>
      <w:r>
        <w:rPr>
          <w:rFonts w:ascii="Arial" w:hAnsi="Arial" w:eastAsia="微软雅黑"/>
          <w:sz w:val="22"/>
        </w:rPr>
        <w:t>Group B：v8.6 全开（推荐配置）</w:t>
      </w:r>
    </w:p>
    <w:p>
      <w:pPr>
        <w:pStyle w:val="ListBullet"/>
      </w:pPr>
      <w:r>
        <w:rPr>
          <w:rFonts w:ascii="Arial" w:hAnsi="Arial" w:eastAsia="微软雅黑"/>
          <w:sz w:val="22"/>
        </w:rPr>
        <w:t>Group C：v8.6 仅开启 InpUseIgnitionExit（观察持仓管理单独贡献）</w:t>
      </w:r>
    </w:p>
    <w:p>
      <w:r>
        <w:rPr>
          <w:rFonts w:ascii="Arial" w:hAnsi="Arial" w:eastAsia="微软雅黑"/>
          <w:b/>
          <w:sz w:val="22"/>
        </w:rPr>
        <w:t>重点观察指标：</w:t>
      </w:r>
    </w:p>
    <w:p>
      <w:pPr>
        <w:pStyle w:val="ListBullet"/>
      </w:pPr>
      <w:r>
        <w:rPr>
          <w:rFonts w:ascii="Arial" w:hAnsi="Arial" w:eastAsia="微软雅黑"/>
          <w:sz w:val="22"/>
        </w:rPr>
        <w:t>总交易次数：B 组应少于 A 组（约减少 10–25%，主要来自第6/7层过滤）</w:t>
      </w:r>
    </w:p>
    <w:p>
      <w:pPr>
        <w:pStyle w:val="ListBullet"/>
      </w:pPr>
      <w:r>
        <w:rPr>
          <w:rFonts w:ascii="Arial" w:hAnsi="Arial" w:eastAsia="微软雅黑"/>
          <w:sz w:val="22"/>
        </w:rPr>
        <w:t>胜率：B 组应高出 3–10%</w:t>
      </w:r>
    </w:p>
    <w:p>
      <w:pPr>
        <w:pStyle w:val="ListBullet"/>
      </w:pPr>
      <w:r>
        <w:rPr>
          <w:rFonts w:ascii="Arial" w:hAnsi="Arial" w:eastAsia="微软雅黑"/>
          <w:sz w:val="22"/>
        </w:rPr>
        <w:t>平均亏损/单笔：C 组应明显低于 A 组（点火止损生效）</w:t>
      </w:r>
    </w:p>
    <w:p>
      <w:pPr>
        <w:pStyle w:val="ListBullet"/>
      </w:pPr>
      <w:r>
        <w:rPr>
          <w:rFonts w:ascii="Arial" w:hAnsi="Arial" w:eastAsia="微软雅黑"/>
          <w:sz w:val="22"/>
        </w:rPr>
        <w:t>最大回撤：B 组应进一步降低</w:t>
      </w:r>
    </w:p>
    <w:p>
      <w:pPr>
        <w:pStyle w:val="ListBullet"/>
      </w:pPr>
      <w:r>
        <w:rPr>
          <w:rFonts w:ascii="Arial" w:hAnsi="Arial" w:eastAsia="微软雅黑"/>
          <w:sz w:val="22"/>
        </w:rPr>
        <w:t>盈亏比：B 组平均利润/平均亏损应提升</w:t>
      </w:r>
    </w:p>
    <w:p>
      <w:r>
        <w:rPr>
          <w:rFonts w:ascii="Arial" w:hAnsi="Arial" w:eastAsia="微软雅黑"/>
          <w:b w:val="0"/>
          <w:sz w:val="22"/>
        </w:rPr>
        <w:t>若 B 组交易次数过少（&lt; A 组的 50%），可放宽：InpMaxWickToBodyRatio 调至 1.2、InpMomentumMinRatio 调至 0.9。</w:t>
      </w:r>
    </w:p>
    <w:p>
      <w:r>
        <w:rPr>
          <w:rFonts w:ascii="Arial" w:hAnsi="Arial" w:eastAsia="微软雅黑"/>
          <w:b w:val="0"/>
          <w:sz w:val="22"/>
        </w:rPr>
        <w:t>若 C 组点火止损过于频繁（误杀有效持仓），可放宽：InpIgnitionMaxLossATR 调至 1.5 或 InpIgnitionMaxBars 调至 2。</w:t>
      </w:r>
    </w:p>
    <w:p>
      <w:pPr>
        <w:pStyle w:val="Heading1"/>
      </w:pPr>
      <w:r>
        <w:rPr>
          <w:rFonts w:ascii="Arial" w:hAnsi="Arial" w:eastAsia="微软雅黑"/>
        </w:rPr>
        <w:t>文件信息</w:t>
      </w:r>
    </w:p>
    <w:p>
      <w:pPr>
        <w:pStyle w:val="ListBullet"/>
      </w:pPr>
      <w:r>
        <w:rPr>
          <w:rFonts w:ascii="Arial" w:hAnsi="Arial" w:eastAsia="微软雅黑"/>
          <w:sz w:val="22"/>
        </w:rPr>
        <w:t>EA 文件：SniperTrendEA_v8.6.mq5</w:t>
      </w:r>
    </w:p>
    <w:p>
      <w:pPr>
        <w:pStyle w:val="ListBullet"/>
      </w:pPr>
      <w:r>
        <w:rPr>
          <w:rFonts w:ascii="Arial" w:hAnsi="Arial" w:eastAsia="微软雅黑"/>
          <w:sz w:val="22"/>
        </w:rPr>
        <w:t>版本号：8.60</w:t>
      </w:r>
    </w:p>
    <w:p>
      <w:pPr>
        <w:pStyle w:val="ListBullet"/>
      </w:pPr>
      <w:r>
        <w:rPr>
          <w:rFonts w:ascii="Arial" w:hAnsi="Arial" w:eastAsia="微软雅黑"/>
          <w:sz w:val="22"/>
        </w:rPr>
        <w:t>魔术号：20260618</w:t>
      </w:r>
    </w:p>
    <w:p>
      <w:pPr>
        <w:pStyle w:val="ListBullet"/>
      </w:pPr>
      <w:r>
        <w:rPr>
          <w:rFonts w:ascii="Arial" w:hAnsi="Arial" w:eastAsia="微软雅黑"/>
          <w:sz w:val="22"/>
        </w:rPr>
        <w:t>兼容：完整向下兼容 v8.5 / v8.4 全部参数，关闭 v8.6 新参数即可还原 v8.5 行为</w:t>
      </w:r>
    </w:p>
    <w:p/>
    <w:p>
      <w:pPr>
        <w:jc w:val="right"/>
      </w:pPr>
      <w:r>
        <w:rPr>
          <w:rFonts w:ascii="Arial" w:hAnsi="Arial" w:eastAsia="微软雅黑"/>
          <w:color w:val="888888"/>
          <w:sz w:val="18"/>
        </w:rPr>
        <w:t>文档生成日期：2026年6月18日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