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26-2-4 Review: Trendline Failure in a Ranging Session</w:t>
      </w:r>
    </w:p>
    <w:p>
      <w:pPr>
        <w:pStyle w:val="Heading1"/>
      </w:pPr>
      <w:r>
        <w:t>Market Environment: Typical Ranging Session</w:t>
      </w:r>
    </w:p>
    <w:p>
      <w:r>
        <w:t>Today’s session is characterized by structural disorder and trend inefficiency. This type of market often creates the illusion of opportunity, while very few setups actually meet structural requirements.</w:t>
      </w:r>
    </w:p>
    <w:p>
      <w:pPr>
        <w:pStyle w:val="Heading2"/>
      </w:pPr>
      <w:r>
        <w:t>ETH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4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BTC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2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BTC displayed a classic intraday range structure. Several apparent “trendline” formations appeared on the chart, but they share the same structural issues:</w:t>
        <w:br/>
        <w:br/>
        <w:t>• Trendline ①: Broke shortly after forming, without repeated market validation. This behaves more like structural noise than a confirmed trend.</w:t>
        <w:br/>
        <w:t>• Trendline ②: Formation time was too short and lacked testing. Reversal probability at this level remains weak.</w:t>
        <w:br/>
        <w:br/>
        <w:t>Two later zones showed bottom-type signals, but: Candle count insufficient | No valid trendline construction | Structural criteria not met.</w:t>
        <w:br/>
        <w:t>Conclusion: Trendline methodology offered little practical value on BTC today. The session favored observation rather than participation.</w:t>
      </w:r>
    </w:p>
    <w:p>
      <w:pPr>
        <w:pStyle w:val="Heading1"/>
      </w:pPr>
      <w:r>
        <w:t>ETH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6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ETH showed slightly clearer structure than BTC, but still within a rotational environment.</w:t>
        <w:br/>
        <w:br/>
        <w:t>• Trendline ①: Loss of structure at point A followed by a downside break at B. This confirmed a short-term bullish-to-bearish structural shift.</w:t>
        <w:br/>
        <w:t>• Trendline ③: Upside break at C confirmed a bearish-to-bullish shift, but momentum sustainability was weak.</w:t>
        <w:br/>
        <w:t>• Trendline ④ region: Candles D and E both printed upper wicks at nearly the same level, indicating supply repeatedly entered at the same resistance. The later reversal at point F aligns with this supply response.</w:t>
      </w:r>
    </w:p>
    <w:p>
      <w:pPr>
        <w:pStyle w:val="Heading1"/>
      </w:pPr>
      <w:r>
        <w:t>Gold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7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6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Gold showed a similar condition to BTC — limited structural opportunity.</w:t>
        <w:br/>
        <w:br/>
        <w:t>• Trendline ① was only marginally valid. Temporary internal violations reduce its structural strength.</w:t>
        <w:br/>
        <w:t>• Point A: The downside break candle showed a long lower wick and a near-bullish pinbar structure, representing a low-quality break.</w:t>
        <w:br/>
        <w:t>• Point B: Waiting for confirmation significantly widened the stop distance, reducing trade efficiency.</w:t>
      </w:r>
    </w:p>
    <w:p>
      <w:pPr>
        <w:pStyle w:val="Heading1"/>
      </w:pPr>
      <w:r>
        <w:t>Summary</w:t>
      </w:r>
    </w:p>
    <w:p>
      <w:r>
        <w:t>Today’s market characteristics include frequent swings and many signals that appear valid but lack structural qualification. Trendline methodology weakened under ranging conditions. Non-participation aligns with structural discipline. The focus remains on waiting for clean structure to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