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一人公司：多资产宏观交易与风控战略大纲（V2.0</w:t>
      </w:r>
      <w:r>
        <w:rPr>
          <w:rFonts w:eastAsia="等线" w:ascii="Arial" w:cs="Arial" w:hAnsi="Arial"/>
          <w:b w:val="true"/>
          <w:sz w:val="52"/>
        </w:rPr>
        <w:t xml:space="preserve"> 旗舰版）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第一章：全局风控与底线纪律（铁律，不可突破）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核心原则：一人公司资金体量有限、抗风险能力弱，所有风控纪律均为“保命线”，无任何例外情况，哪怕预判行情大概率正确，也需严格执行，杜绝侥幸心理。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单笔交易绝对回撤纪律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定义：任何单品种、单次建仓（包括分批建仓的总仓位），其预设的最大止损额度，绝对不得超过账户总资金的2%。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实操细则：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分批建仓要求：若采用分批建仓（如3次建仓），需提前计算总止损金额，每次建仓的止损叠加后，不得超过总资金2%；若前批次已触发止损，剩余批次不得再建仓。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止损设置要求：建仓后10分钟内必须设置固定止损（不可设置浮动止损替代固定止损），止损位一旦设定，不得手动修改放宽（可缩小止损，不可扩大）。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例外禁止：严禁以“行情回调后会反弹”“临时调整止损不影响整体”为由，突破2%回撤限制，违规一次，暂停交易1周复盘。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账户熔断机制（账户安全总开关）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触发条件：当月账户总权益（现金+持仓市值）较当月月初权益回撤达到10%（含10%）时，立即触发熔断。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执行流程：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第一步：触发熔断后，10分钟内强制平仓所有带杠杆的头寸（包括贵金属、原油、股指、加密货币杠杆仓位），无杠杆头寸（如现货加密货币、现金）可保留，但不得新增任何仓位。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第二步：强制休息至少3个完整交易日（自然日不算，需为对应市场交易日），期间仅进行纯复盘，不得看盘、不得挂单、不得研究新交易机会。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复盘要求：需形成书面复盘报告（不少于500字），明确回撤原因（是止损执行不到位、品种判断失误、事件驱动应对不当还是其他）、整改措施，复盘通过后，方可恢复交易；若复盘不合格，延长休息2个交易日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补充说明：若当月回撤达到8%，触发“预警机制”，立即减半所有现有杠杆仓位，且不得开新仓，直至回撤回落至8%以下。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事件驱动回避纪律（规避黑天鹅核心）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核心目标：规避重大事件引发的极端波动，防止单一事件导致账户大幅回撤，重点针对美联储相关事件，延伸至其他全球核心事件。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具体执行：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联储相关：FOMC利率决议、鲍威尔讲话公布前2小时，必须将所有非美元直接相关的边缘品种（如非美货币交叉盘、与美元关联度低的小众商品）减仓50%以上，剩余仓位需收紧止损（止损额度调整为总资金的0.5%以内）；严禁重仓（仓位超过总资金10%）对赌决议结果或鲍威尔讲话，哪怕有明确的预判方向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重大事件：全球央行利率决议（欧央行、英央行、日本央行等）、全球重大地缘冲突升级、重要经济数据（美国非农、CPI、GDP）公布前1小时，参照美联储事件标准，对相关关联品种减仓30%-50%，收紧止损，严禁重仓博弈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事件后操作：事件公布后1小时内，严禁新开仓，观望至少1小时，待行情波动趋于平稳、趋势明确后，再考虑是否建仓。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第二章：各大类资产专属交易原则（实操落地版）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核心原则：每个资产板块有其独特的波动逻辑、驱动因素和风险点，需针对性制定交易规则，结合全局风控纪律，做到“板块适配、风险可控、盈利可复制”。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【1】贵金属板块（黄金 XAU、白银 XAG）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核心逻辑：黄金以“避险+通胀+美元”为核心驱动，白银兼具贵金属属性和工业属性，波动率高于黄金，需利用金银联动判断方向，规避极端波动风险。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1.1 金银联动交易法（方向判断核心）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核心规律：白银（XAG）是黄金的高杠杆兄弟，波动率通常是黄金的1.5-2倍，流动性略弱于黄金，其走势往往先于黄金出现明确方向，是贵金属板块的“先行指标”。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实操应用：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震荡行情：当黄金处于区间震荡（震荡幅度≤15美元/盎司），白银率先突破震荡区间上沿/下沿，且突破后30分钟内没有回踩破位，可预判黄金后续会跟随突破，此时可轻仓（不超过总资金3%）跟随白银方向建仓黄金，止损设置在白银突破位下方/上方1倍波动率处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行情：当黄金处于明确上升/下降趋势，白银波动率放大（超过黄金2倍），可适度加仓白银（仓位不超过总资金5%），利用其高波动放大盈利，但需收紧止损（止损额度为总资金1%以内），一旦白银出现反转信号（如跌破5日均线），立即平仓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反向提醒：若黄金突破关键点位，但白银未跟随，甚至反向走弱，说明黄金突破大概率是假突破，需立即平仓黄金，规避回调风险。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1.2 黄金暴跌熔断纪律（规避流动性危机）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触发条件：在无重大经济数据、无重大地缘事件公布的情况下，黄金15分钟内急跌超过30美元/盎司（含30美元），触发暴跌熔断。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执行规则：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严禁抄底：无论跌幅多大、是否处于历史低位，均不得在2小时内建仓抄底，避免遭遇机构砸盘、流动性枯竭导致的进一步暴跌。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观望要求：2小时内仅观察行情，不做任何交易操作，重点关注成交量变化（若成交量急剧放大，说明抛压未结束；若成交量萎缩，可适当关注后续反弹机会）。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操作：2小时后，若行情趋于平稳（15分钟内波动≤5美元），可轻仓（不超过总资金2%）尝试反弹，止损设置在暴跌最低点下方3美元；若2小时后仍继续下跌，继续观望，直至出现明确止跌信号（如十字星、反弹突破10分钟均线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【2】能源板块（原油 WTI/Brent）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核心逻辑：原油受库存数据、地缘政治、全球需求、OPEC+减产政策四大因素驱动，波动剧烈，短线受数据影响大，长线受供需格局影响，需重点把控数据和地缘风险。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 库存数据纪律（短线风控核心）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核心数据：每周三晚间（美东时间10:30，北京时间次日凌晨04:30）公布的美国EIA原油库存数据，是影响原油短线波动的核心数据，波动幅度通常在2-5美元/桶。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执行规则：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持仓限制：数据公布前10分钟，严禁持有原油短线重仓单（短线仓位定义为持仓时间≤24小时，重仓单定义为仓位超过总资金8%）；若已持有短线仓位，需在10分钟内减仓至总资金3%以内，或直接平仓。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数据后操作：数据公布后5分钟内，严禁新开仓，观望5分钟，待行情波动稳定、方向明确后，再考虑建仓；若数据与预期偏差过大（如预期减少100万桶，实际增加500万桶），需等待15分钟，确认趋势后再操作。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补充：每周四凌晨的API原油库存数据（EIA前瞻数据），若数据与预期偏差超过300万桶，需提前调整原油仓位，参照EIA数据前的纪律执行。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地缘溢价处理（规避“买预期卖事实”陷阱）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核心场景：突发中东地缘冲突（如伊朗、沙特相关冲突）、红海航道紧张等事件，导致原油跳涨（跳涨幅度≥3美元/桶），此时需警惕“买预期、卖事实”的行情反转。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执行规则：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判断标准：跳涨后48小时内，重点关注是否有实质性的原油产区设施被炸毁、航道彻底封锁、OPEC+紧急减产等实质性利好；若没有上述实质性事件，说明上涨仅为地缘情绪推动，溢价不可持续。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策略：若无实质性利好，需准备高位做空地缘溢价回落，建仓时机选择在跳涨后24-48小时，仓位不超过总资金5%，止损设置在跳涨最高点上方1美元；若有实质性利好，可轻仓跟随多单，止损设置在跳涨起点下方0.5美元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止损要求：地缘事件不确定性强，无论多空，止损不得超过总资金1.5%，严禁扛单，若触发止损，立即离场，不再跟进该轮地缘驱动行情。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【3】全球股指板块（SPX500、A50）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核心逻辑：SPX500（标普500）受美国经济数据、美联储政策、美股财报、VIX恐慌指数影响；A50受中国央行流动性、中美关系、美元兑离岸人民币汇率（USD/CNH）、A股走势影响，两者均需关注跨市场联动因素。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SPX500 与 VIX 联动纪律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核心关联：VIX（恐慌指数）是SPX500的“波动率晴雨表”，VIX越高，SPX500波动率越大，行情越不稳定，止损被打穿的概率越高。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执行规则：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位限制：交易SPX500前，必须先查看VIX数值；若VIX突破30（恐慌情绪加剧），SPX500单笔交易仓位必须强制减半（常规单笔仓位不超过总资金6%，减半后不超过3%）；若VIX突破40，严禁交易SPX500，直至VIX回落至30以下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止损调整：VIX在20-30之间（正常波动率），止损设置为常规幅度（如SPX500指数50点）；VIX突破30后，止损收紧至常规幅度的50%（如25点），避免波动率放大导致止损被打穿。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联动参考：若SPX500上涨，但VIX同步上涨，说明上涨行情不可持续，大概率是反弹，需立即减仓；若SPX500下跌，VIX大幅上涨，说明恐慌抛售加剧，需观望，严禁抄底。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富时 A50 交易逻辑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核心驱动：A50的核心定价权受两大因素影响最大，优先级：中国央行流动性政策（降准、降息、逆回购等）＞美元兑离岸人民币汇率（USD/CNH），同时需兼顾A股沪深300走势、中美贸易/金融政策变动。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执行规则：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动性驱动：若有明确的降准、降息预期（如央行表态、经济数据疲软暗示宽松），可轻仓布局A50多单（仓位不超过总资金5%），止损设置在近期低点下方1%；若央行释放收紧流动性信号，立即平仓多单，可轻仓做空（仓位不超过3%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率影响：美元兑离岸人民币（USD/CNH）大幅升值（人民币贬值），说明外资流出压力增大，A50多头必须谨慎，此时需减仓50%以上，若USD/CNH突破关键点位（如7.4），立即平仓多单；若USD/CNH大幅贬值（人民币升值），可适度加仓A50多单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联动参考：交易A50时，需同步查看A股沪深300指数、港股恒生指数走势，若三者同步走强，可适度加仓；若出现背离（如A50上涨，沪深300下跌），需立即减仓，规避回调风险。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【4】加密货币板块（BTC及其他主流币种）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核心逻辑：加密货币（以BTC为首）7x24小时交易，无涨跌幅限制，流动性不均衡（周末、美股休市期间流动性极差），波动剧烈，受监管政策、机构资金、市场情绪影响大，重点规避流动性陷阱。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周末陷阱规避纪律（核心风控点）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问题：周末（周六、周日）尤其是美股休市期间（美股周一至周五交易，对应国内周二至周六凌晨），加密货币市场流动性极差，买卖盘差距大，容易出现“假突破”“画门”（突破后快速反转）行情，胜率极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执行规则：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严禁突破跟随：周末期间，无论BTC及其他币种出现何种方向的重大突破（暴涨≥10%、暴跌≥10%），严禁跟随建仓，哪怕突破形态完美，也需放弃，避免周一美股开盘后出现反转。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仓限制：周末前（周五美股收盘前），需将所有加密货币杠杆仓位平仓，仅可保留少量现货仓位（不超过总资金3%），且现货仓位需设置止损（止损额度为总资金1%以内），避免周末突发监管政策、黑天鹅事件导致大幅亏损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周一操作：周一美股开盘后1小时内，观望行情，确认周末突破是否有效（若突破后持续放量，无回踩，可轻仓跟随；若突破后快速回踩，视为假突破，严禁建仓）。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补充纪律（加密货币专属）</w:t>
      </w:r>
      <w:bookmarkEnd w:id="16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监管风险：任何国家/地区出台加密货币监管收紧政策（如禁止交易、冻结账户），立即平仓所有相关币种仓位，不再跟进该币种，直至监管政策明确宽松。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仓位限制：BTC单笔交易仓位不超过总资金5%，其他主流币种（ETH、SOL等）单笔仓位不超过总资金3%，小众币种（市值排名50以后）严禁交易，规避流动性枯竭风险。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【5】国内期权板块（2026年进军专项战略）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核心定位：2026年重点布局板块，以“低风险、稳收益”为核心，优先掌握期权基础策略，规避时间价值、波动率带来的亏损，不追求高风险投机。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核心原则：买方当彩票（以小博大，控制成本），卖方当收租（稳健赚取权利金，严格对冲），坚决不做高风险裸买、裸卖策略。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时间价值（Theta）敬畏纪律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核心认知：期权买方的时间价值（Theta）始终为负，随着到期日临近，时间价值衰减速度会急剧加快，尤其是深度虚值（OTM）期权，到期前可能归零，风险极高。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执行规则：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买方操作：严禁长期持有深度虚值（OTM）期权，持有时间不得超过7个交易日；若持有期间，期权未达到预期涨幅（如预期上涨50%，3个交易日内仅上涨10%），立即平仓离场，避免时间价值持续衰减。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合约选择：优先选择到期日在1个月以上、轻度虚值或实值期权，规避到期日不足15天的短期合约（时间价值衰减过快）；买方仓位不超过总资金2%，单个合约持仓不超过总资金1%。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卖方操作：卖方（收租）需选择到期日在1-3个月、轻度虚值期权，确保有足够的时间让期权归零，同时需预留保证金，避免被行权导致亏损。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波动率（IV）纪律（规避高位接盘）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核心认知：隐含波动率（IV）反映市场对未来行情波动的预期，IV越高，期权价格越高，买方成本越高，盈利难度越大；重大会议、财报发布前，IV通常会大幅飙升，此时买方接盘风险极高。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执行规则：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禁高位接盘：在重大会议（如两会、中央经济工作会议）、重要财报（如龙头企业财报）发布前，若隐含波动率（IV）处于历史高位（超过近6个月均值的120%），严禁高位做期权买方，避免IV回落导致期权价格下跌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替代策略：若需在IV高位操作，宁可选择跨式策略（同时买看涨、看跌期权，赚取波动率波动收益），或裸卖虚值期权（需严格对冲，如搭配现货、期货对冲），严禁裸买期权。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IV回落操作：重大事件公布后，IV通常会快速回落，此时可轻仓做买方（持有时间不超过3个交易日），赚取价格波动收益，止损设置在期权成本的50%。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第三章：分析师工作流与报告规范（一人公司专属，贴合老板需求）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核心目标：为老板提供精准、高效、有价值的交易参考，规避单一品种分析的局限性，强化跨市场联动思维，同时时刻提醒老板坚守风控底线，确保交易决策科学、理性。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3.1 分析师工作流（标准化执行）</w:t>
      </w:r>
      <w:bookmarkEnd w:id="21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每日早间（9:00前）：梳理当日核心事件（如数据公布、会议、地缘动态），重点标注影响各大类资产的关键因素（如当日有EIA数据，重点关联原油、黄金、美元），形成《当日核心事件清单》。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盘中跟踪（交易时间内）：实时监控持仓品种及关联品种走势，重点关注波动率、成交量变化，若出现触发风控纪律的情况（如黄金暴跌、账户回撤接近预警线），立即向老板汇报，并提出平仓、减仓建议。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老板提问响应：老板询问任何一个品种的交易建议、行情判断时，必须运用跨市场联动思维，全面分析，不局限于单一品种，确保建议有逻辑、有依据。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每日收盘后（18:00前）：形成《每日交易复盘报告》，包括当日持仓情况、盈亏情况、行情复盘、风控执行情况、次日操作建议，提交给老板。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每周周末：形成《每周交易总结报告》，梳理本周各大类资产走势、交易盈亏、风控执行亮点与不足、下周交易计划，提交给老板。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3.2 老板提问响应规范（核心要求）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核心原则：回答需简洁、精准、有联动性，既给出明确观点，又说明逻辑依据，同时提醒风险，贴合一人公司的风控需求。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示例规范：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若老板问“原油今日能否建仓”：需回答“今日不建议建仓，核心原因有两点：1. 今日晚间有EIA原油库存数据，按照纪律，数据前10分钟严禁重仓，且当前原油受中东地缘情绪推动，无实质性利好，需警惕溢价回落；2. 从跨市场联动看，原油上涨会推升通胀预期，进而影响黄金走势，若原油回调，黄金可能同步回调，需整体观望，待数据公布后再做决策。”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老板问“SPX500近期走势如何，能否加仓”：需回答“近期SPX500震荡上行，但需重点关注VIX恐慌指数，当前VIX处于25左右（正常区间），但近期美国CPI数据即将公布，若CPI超预期，美联储加息预期升温，VIX可能突破30，按照纪律，VIX突破30需减半仓位，因此当前不建议加仓，维持现有仓位，收紧止损，等待CPI数据公布后再调整。同时，SPX500走势与美债收益率联动，若美债收益率上涨，SPX500可能承压，需同步关注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3.3 报告规范（统一格式，强化警示）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所有提交给老板的报告（每日复盘、每周总结、品种分析报告），需遵循以下规范：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格式要求：标题明确（如《2026年X月X日每日交易复盘报告》），分点清晰（分“持仓情况、盈亏分析、行情复盘、风控执行、次日建议”5个模块），语言简洁，避免冗余，重点数据加粗标注。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核心要求：报告中必须包含“跨市场联动分析”模块，无论分析哪个品种，都需关联相关资产（如分析黄金，关联美元、原油、通胀预期；分析A50，关联USD/CNH、央行政策），体现全局思维。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警示要求：报告的最后，必须加上专属座右铭警示，一字不可修改，具体内容：“老板，截断亏损，让利润奔跑。跨市场对冲是我们的护城河，保住本金永远是第一位的。”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补充要求：若当日/当周有违规操作（如未执行止损、突破仓位限制），需在报告中明确说明违规情况、原因及整改措施，不得隐瞒。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第四章：补充说明（一人公司专属适配）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资金管理：一人公司资金有限，建议将总资金分为三部分，比例为：现金60%（备用资金，应对回撤、突发事件）、杠杆仓位30%（贵金属、原油、股指、加密货币）、无杠杆仓位10%（现货、低风险期权），严禁将所有资金投入杠杆交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纪律执行：所有风控纪律、交易原则，均需严格执行，无任何例外；若因违规操作导致账户回撤超过15%，立即暂停所有交易，全面复盘，重新梳理交易逻辑，直至形成完善的整改方案。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战略调整：2026年重点推进国内期权板块布局，前期以学习、模拟交易为主，逐步过渡到实盘交易，不急于求成，优先保证风险可控；其他板块维持现有交易节奏，逐步优化策略，提升盈利稳定性。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1847">
    <w:lvl>
      <w:numFmt w:val="bullet"/>
      <w:suff w:val="tab"/>
      <w:lvlText w:val="•"/>
      <w:rPr>
        <w:color w:val="3370ff"/>
      </w:rPr>
    </w:lvl>
  </w:abstractNum>
  <w:abstractNum w:abstractNumId="641848">
    <w:lvl>
      <w:numFmt w:val="bullet"/>
      <w:suff w:val="tab"/>
      <w:lvlText w:val="•"/>
      <w:rPr>
        <w:color w:val="3370ff"/>
      </w:rPr>
    </w:lvl>
  </w:abstractNum>
  <w:abstractNum w:abstractNumId="641849">
    <w:lvl>
      <w:numFmt w:val="bullet"/>
      <w:suff w:val="tab"/>
      <w:lvlText w:val="•"/>
      <w:rPr>
        <w:color w:val="3370ff"/>
      </w:rPr>
    </w:lvl>
  </w:abstractNum>
  <w:abstractNum w:abstractNumId="641850">
    <w:lvl>
      <w:numFmt w:val="bullet"/>
      <w:suff w:val="tab"/>
      <w:lvlText w:val="•"/>
      <w:rPr>
        <w:color w:val="3370ff"/>
      </w:rPr>
    </w:lvl>
  </w:abstractNum>
  <w:abstractNum w:abstractNumId="641851">
    <w:lvl>
      <w:numFmt w:val="bullet"/>
      <w:suff w:val="tab"/>
      <w:lvlText w:val="•"/>
      <w:rPr>
        <w:color w:val="3370ff"/>
      </w:rPr>
    </w:lvl>
  </w:abstractNum>
  <w:abstractNum w:abstractNumId="641852">
    <w:lvl>
      <w:numFmt w:val="bullet"/>
      <w:suff w:val="tab"/>
      <w:lvlText w:val="•"/>
      <w:rPr>
        <w:color w:val="3370ff"/>
      </w:rPr>
    </w:lvl>
  </w:abstractNum>
  <w:abstractNum w:abstractNumId="641853">
    <w:lvl>
      <w:numFmt w:val="bullet"/>
      <w:suff w:val="tab"/>
      <w:lvlText w:val="•"/>
      <w:rPr>
        <w:color w:val="3370ff"/>
      </w:rPr>
    </w:lvl>
  </w:abstractNum>
  <w:abstractNum w:abstractNumId="641854">
    <w:lvl>
      <w:numFmt w:val="bullet"/>
      <w:suff w:val="tab"/>
      <w:lvlText w:val="•"/>
      <w:rPr>
        <w:color w:val="3370ff"/>
      </w:rPr>
    </w:lvl>
  </w:abstractNum>
  <w:abstractNum w:abstractNumId="641855">
    <w:lvl>
      <w:numFmt w:val="bullet"/>
      <w:suff w:val="tab"/>
      <w:lvlText w:val="•"/>
      <w:rPr>
        <w:color w:val="3370ff"/>
      </w:rPr>
    </w:lvl>
  </w:abstractNum>
  <w:abstractNum w:abstractNumId="641856">
    <w:lvl>
      <w:numFmt w:val="bullet"/>
      <w:suff w:val="tab"/>
      <w:lvlText w:val="•"/>
      <w:rPr>
        <w:color w:val="3370ff"/>
      </w:rPr>
    </w:lvl>
  </w:abstractNum>
  <w:abstractNum w:abstractNumId="641857">
    <w:lvl>
      <w:numFmt w:val="bullet"/>
      <w:suff w:val="tab"/>
      <w:lvlText w:val="•"/>
      <w:rPr>
        <w:color w:val="3370ff"/>
      </w:rPr>
    </w:lvl>
  </w:abstractNum>
  <w:abstractNum w:abstractNumId="641858">
    <w:lvl>
      <w:numFmt w:val="bullet"/>
      <w:suff w:val="tab"/>
      <w:lvlText w:val="•"/>
      <w:rPr>
        <w:color w:val="3370ff"/>
      </w:rPr>
    </w:lvl>
  </w:abstractNum>
  <w:abstractNum w:abstractNumId="641859">
    <w:lvl>
      <w:numFmt w:val="bullet"/>
      <w:suff w:val="tab"/>
      <w:lvlText w:val="•"/>
      <w:rPr>
        <w:color w:val="3370ff"/>
      </w:rPr>
    </w:lvl>
  </w:abstractNum>
  <w:abstractNum w:abstractNumId="641860">
    <w:lvl>
      <w:numFmt w:val="bullet"/>
      <w:suff w:val="tab"/>
      <w:lvlText w:val="•"/>
      <w:rPr>
        <w:color w:val="3370ff"/>
      </w:rPr>
    </w:lvl>
  </w:abstractNum>
  <w:abstractNum w:abstractNumId="641861">
    <w:lvl>
      <w:numFmt w:val="bullet"/>
      <w:suff w:val="tab"/>
      <w:lvlText w:val="•"/>
      <w:rPr>
        <w:color w:val="3370ff"/>
      </w:rPr>
    </w:lvl>
  </w:abstractNum>
  <w:abstractNum w:abstractNumId="641862">
    <w:lvl>
      <w:numFmt w:val="bullet"/>
      <w:suff w:val="tab"/>
      <w:lvlText w:val="•"/>
      <w:rPr>
        <w:color w:val="3370ff"/>
      </w:rPr>
    </w:lvl>
  </w:abstractNum>
  <w:abstractNum w:abstractNumId="641863">
    <w:lvl>
      <w:numFmt w:val="bullet"/>
      <w:suff w:val="tab"/>
      <w:lvlText w:val="•"/>
      <w:rPr>
        <w:color w:val="3370ff"/>
      </w:rPr>
    </w:lvl>
  </w:abstractNum>
  <w:abstractNum w:abstractNumId="641864">
    <w:lvl>
      <w:numFmt w:val="bullet"/>
      <w:suff w:val="tab"/>
      <w:lvlText w:val="•"/>
      <w:rPr>
        <w:color w:val="3370ff"/>
      </w:rPr>
    </w:lvl>
  </w:abstractNum>
  <w:abstractNum w:abstractNumId="641865">
    <w:lvl>
      <w:numFmt w:val="bullet"/>
      <w:suff w:val="tab"/>
      <w:lvlText w:val="•"/>
      <w:rPr>
        <w:color w:val="3370ff"/>
      </w:rPr>
    </w:lvl>
  </w:abstractNum>
  <w:abstractNum w:abstractNumId="641866">
    <w:lvl>
      <w:numFmt w:val="bullet"/>
      <w:suff w:val="tab"/>
      <w:lvlText w:val="•"/>
      <w:rPr>
        <w:color w:val="3370ff"/>
      </w:rPr>
    </w:lvl>
  </w:abstractNum>
  <w:abstractNum w:abstractNumId="641867">
    <w:lvl>
      <w:numFmt w:val="bullet"/>
      <w:suff w:val="tab"/>
      <w:lvlText w:val="•"/>
      <w:rPr>
        <w:color w:val="3370ff"/>
      </w:rPr>
    </w:lvl>
  </w:abstractNum>
  <w:abstractNum w:abstractNumId="641868">
    <w:lvl>
      <w:numFmt w:val="bullet"/>
      <w:suff w:val="tab"/>
      <w:lvlText w:val="•"/>
      <w:rPr>
        <w:color w:val="3370ff"/>
      </w:rPr>
    </w:lvl>
  </w:abstractNum>
  <w:abstractNum w:abstractNumId="641869">
    <w:lvl>
      <w:numFmt w:val="bullet"/>
      <w:suff w:val="tab"/>
      <w:lvlText w:val="•"/>
      <w:rPr>
        <w:color w:val="3370ff"/>
      </w:rPr>
    </w:lvl>
  </w:abstractNum>
  <w:abstractNum w:abstractNumId="641870">
    <w:lvl>
      <w:numFmt w:val="bullet"/>
      <w:suff w:val="tab"/>
      <w:lvlText w:val="•"/>
      <w:rPr>
        <w:color w:val="3370ff"/>
      </w:rPr>
    </w:lvl>
  </w:abstractNum>
  <w:abstractNum w:abstractNumId="641871">
    <w:lvl>
      <w:numFmt w:val="bullet"/>
      <w:suff w:val="tab"/>
      <w:lvlText w:val="•"/>
      <w:rPr>
        <w:color w:val="3370ff"/>
      </w:rPr>
    </w:lvl>
  </w:abstractNum>
  <w:abstractNum w:abstractNumId="641872">
    <w:lvl>
      <w:numFmt w:val="bullet"/>
      <w:suff w:val="tab"/>
      <w:lvlText w:val="•"/>
      <w:rPr>
        <w:color w:val="3370ff"/>
      </w:rPr>
    </w:lvl>
  </w:abstractNum>
  <w:abstractNum w:abstractNumId="641873">
    <w:lvl>
      <w:numFmt w:val="bullet"/>
      <w:suff w:val="tab"/>
      <w:lvlText w:val="•"/>
      <w:rPr>
        <w:color w:val="3370ff"/>
      </w:rPr>
    </w:lvl>
  </w:abstractNum>
  <w:abstractNum w:abstractNumId="641874">
    <w:lvl>
      <w:numFmt w:val="bullet"/>
      <w:suff w:val="tab"/>
      <w:lvlText w:val="•"/>
      <w:rPr>
        <w:color w:val="3370ff"/>
      </w:rPr>
    </w:lvl>
  </w:abstractNum>
  <w:abstractNum w:abstractNumId="641875">
    <w:lvl>
      <w:numFmt w:val="bullet"/>
      <w:suff w:val="tab"/>
      <w:lvlText w:val="•"/>
      <w:rPr>
        <w:color w:val="3370ff"/>
      </w:rPr>
    </w:lvl>
  </w:abstractNum>
  <w:abstractNum w:abstractNumId="641876">
    <w:lvl>
      <w:numFmt w:val="bullet"/>
      <w:suff w:val="tab"/>
      <w:lvlText w:val="•"/>
      <w:rPr>
        <w:color w:val="3370ff"/>
      </w:rPr>
    </w:lvl>
  </w:abstractNum>
  <w:abstractNum w:abstractNumId="641877">
    <w:lvl>
      <w:numFmt w:val="bullet"/>
      <w:suff w:val="tab"/>
      <w:lvlText w:val="•"/>
      <w:rPr>
        <w:color w:val="3370ff"/>
      </w:rPr>
    </w:lvl>
  </w:abstractNum>
  <w:abstractNum w:abstractNumId="641878">
    <w:lvl>
      <w:numFmt w:val="bullet"/>
      <w:suff w:val="tab"/>
      <w:lvlText w:val="•"/>
      <w:rPr>
        <w:color w:val="3370ff"/>
      </w:rPr>
    </w:lvl>
  </w:abstractNum>
  <w:abstractNum w:abstractNumId="641879">
    <w:lvl>
      <w:numFmt w:val="bullet"/>
      <w:suff w:val="tab"/>
      <w:lvlText w:val="•"/>
      <w:rPr>
        <w:color w:val="3370ff"/>
      </w:rPr>
    </w:lvl>
  </w:abstractNum>
  <w:abstractNum w:abstractNumId="641880">
    <w:lvl>
      <w:numFmt w:val="bullet"/>
      <w:suff w:val="tab"/>
      <w:lvlText w:val="•"/>
      <w:rPr>
        <w:color w:val="3370ff"/>
      </w:rPr>
    </w:lvl>
  </w:abstractNum>
  <w:abstractNum w:abstractNumId="641881">
    <w:lvl>
      <w:numFmt w:val="bullet"/>
      <w:suff w:val="tab"/>
      <w:lvlText w:val="•"/>
      <w:rPr>
        <w:color w:val="3370ff"/>
      </w:rPr>
    </w:lvl>
  </w:abstractNum>
  <w:abstractNum w:abstractNumId="641882">
    <w:lvl>
      <w:numFmt w:val="bullet"/>
      <w:suff w:val="tab"/>
      <w:lvlText w:val="•"/>
      <w:rPr>
        <w:color w:val="3370ff"/>
      </w:rPr>
    </w:lvl>
  </w:abstractNum>
  <w:abstractNum w:abstractNumId="641883">
    <w:lvl>
      <w:numFmt w:val="bullet"/>
      <w:suff w:val="tab"/>
      <w:lvlText w:val="•"/>
      <w:rPr>
        <w:color w:val="3370ff"/>
      </w:rPr>
    </w:lvl>
  </w:abstractNum>
  <w:abstractNum w:abstractNumId="641884">
    <w:lvl>
      <w:numFmt w:val="bullet"/>
      <w:suff w:val="tab"/>
      <w:lvlText w:val="•"/>
      <w:rPr>
        <w:color w:val="3370ff"/>
      </w:rPr>
    </w:lvl>
  </w:abstractNum>
  <w:abstractNum w:abstractNumId="641885">
    <w:lvl>
      <w:numFmt w:val="bullet"/>
      <w:suff w:val="tab"/>
      <w:lvlText w:val="•"/>
      <w:rPr>
        <w:color w:val="3370ff"/>
      </w:rPr>
    </w:lvl>
  </w:abstractNum>
  <w:abstractNum w:abstractNumId="641886">
    <w:lvl>
      <w:start w:val="1"/>
      <w:numFmt w:val="decimal"/>
      <w:suff w:val="tab"/>
      <w:lvlText w:val="%1."/>
      <w:rPr>
        <w:color w:val="3370ff"/>
      </w:rPr>
    </w:lvl>
  </w:abstractNum>
  <w:abstractNum w:abstractNumId="641887">
    <w:lvl>
      <w:start w:val="2"/>
      <w:numFmt w:val="decimal"/>
      <w:suff w:val="tab"/>
      <w:lvlText w:val="%1."/>
      <w:rPr>
        <w:color w:val="3370ff"/>
      </w:rPr>
    </w:lvl>
  </w:abstractNum>
  <w:abstractNum w:abstractNumId="641888">
    <w:lvl>
      <w:start w:val="3"/>
      <w:numFmt w:val="decimal"/>
      <w:suff w:val="tab"/>
      <w:lvlText w:val="%1."/>
      <w:rPr>
        <w:color w:val="3370ff"/>
      </w:rPr>
    </w:lvl>
  </w:abstractNum>
  <w:abstractNum w:abstractNumId="641889">
    <w:lvl>
      <w:start w:val="4"/>
      <w:numFmt w:val="decimal"/>
      <w:suff w:val="tab"/>
      <w:lvlText w:val="%1."/>
      <w:rPr>
        <w:color w:val="3370ff"/>
      </w:rPr>
    </w:lvl>
  </w:abstractNum>
  <w:abstractNum w:abstractNumId="641890">
    <w:lvl>
      <w:start w:val="5"/>
      <w:numFmt w:val="decimal"/>
      <w:suff w:val="tab"/>
      <w:lvlText w:val="%1."/>
      <w:rPr>
        <w:color w:val="3370ff"/>
      </w:rPr>
    </w:lvl>
  </w:abstractNum>
  <w:abstractNum w:abstractNumId="641891">
    <w:lvl>
      <w:numFmt w:val="bullet"/>
      <w:suff w:val="tab"/>
      <w:lvlText w:val="•"/>
      <w:rPr>
        <w:color w:val="3370ff"/>
      </w:rPr>
    </w:lvl>
  </w:abstractNum>
  <w:abstractNum w:abstractNumId="641892">
    <w:lvl>
      <w:numFmt w:val="bullet"/>
      <w:suff w:val="tab"/>
      <w:lvlText w:val="•"/>
      <w:rPr>
        <w:color w:val="3370ff"/>
      </w:rPr>
    </w:lvl>
  </w:abstractNum>
  <w:abstractNum w:abstractNumId="641893">
    <w:lvl>
      <w:numFmt w:val="bullet"/>
      <w:suff w:val="tab"/>
      <w:lvlText w:val="•"/>
      <w:rPr>
        <w:color w:val="3370ff"/>
      </w:rPr>
    </w:lvl>
  </w:abstractNum>
  <w:abstractNum w:abstractNumId="641894">
    <w:lvl>
      <w:numFmt w:val="bullet"/>
      <w:suff w:val="tab"/>
      <w:lvlText w:val="•"/>
      <w:rPr>
        <w:color w:val="3370ff"/>
      </w:rPr>
    </w:lvl>
  </w:abstractNum>
  <w:abstractNum w:abstractNumId="641895">
    <w:lvl>
      <w:numFmt w:val="bullet"/>
      <w:suff w:val="tab"/>
      <w:lvlText w:val="•"/>
      <w:rPr>
        <w:color w:val="3370ff"/>
      </w:rPr>
    </w:lvl>
  </w:abstractNum>
  <w:abstractNum w:abstractNumId="641896">
    <w:lvl>
      <w:numFmt w:val="bullet"/>
      <w:suff w:val="tab"/>
      <w:lvlText w:val="•"/>
      <w:rPr>
        <w:color w:val="3370ff"/>
      </w:rPr>
    </w:lvl>
  </w:abstractNum>
  <w:num w:numId="1">
    <w:abstractNumId w:val="641847"/>
  </w:num>
  <w:num w:numId="2">
    <w:abstractNumId w:val="641848"/>
  </w:num>
  <w:num w:numId="3">
    <w:abstractNumId w:val="641849"/>
  </w:num>
  <w:num w:numId="4">
    <w:abstractNumId w:val="641850"/>
  </w:num>
  <w:num w:numId="5">
    <w:abstractNumId w:val="641851"/>
  </w:num>
  <w:num w:numId="6">
    <w:abstractNumId w:val="641852"/>
  </w:num>
  <w:num w:numId="7">
    <w:abstractNumId w:val="641853"/>
  </w:num>
  <w:num w:numId="8">
    <w:abstractNumId w:val="641854"/>
  </w:num>
  <w:num w:numId="9">
    <w:abstractNumId w:val="641855"/>
  </w:num>
  <w:num w:numId="10">
    <w:abstractNumId w:val="641856"/>
  </w:num>
  <w:num w:numId="11">
    <w:abstractNumId w:val="641857"/>
  </w:num>
  <w:num w:numId="12">
    <w:abstractNumId w:val="641858"/>
  </w:num>
  <w:num w:numId="13">
    <w:abstractNumId w:val="641859"/>
  </w:num>
  <w:num w:numId="14">
    <w:abstractNumId w:val="641860"/>
  </w:num>
  <w:num w:numId="15">
    <w:abstractNumId w:val="641861"/>
  </w:num>
  <w:num w:numId="16">
    <w:abstractNumId w:val="641862"/>
  </w:num>
  <w:num w:numId="17">
    <w:abstractNumId w:val="641863"/>
  </w:num>
  <w:num w:numId="18">
    <w:abstractNumId w:val="641864"/>
  </w:num>
  <w:num w:numId="19">
    <w:abstractNumId w:val="641865"/>
  </w:num>
  <w:num w:numId="20">
    <w:abstractNumId w:val="641866"/>
  </w:num>
  <w:num w:numId="21">
    <w:abstractNumId w:val="641867"/>
  </w:num>
  <w:num w:numId="22">
    <w:abstractNumId w:val="641868"/>
  </w:num>
  <w:num w:numId="23">
    <w:abstractNumId w:val="641869"/>
  </w:num>
  <w:num w:numId="24">
    <w:abstractNumId w:val="641870"/>
  </w:num>
  <w:num w:numId="25">
    <w:abstractNumId w:val="641871"/>
  </w:num>
  <w:num w:numId="26">
    <w:abstractNumId w:val="641872"/>
  </w:num>
  <w:num w:numId="27">
    <w:abstractNumId w:val="641873"/>
  </w:num>
  <w:num w:numId="28">
    <w:abstractNumId w:val="641874"/>
  </w:num>
  <w:num w:numId="29">
    <w:abstractNumId w:val="641875"/>
  </w:num>
  <w:num w:numId="30">
    <w:abstractNumId w:val="641876"/>
  </w:num>
  <w:num w:numId="31">
    <w:abstractNumId w:val="641877"/>
  </w:num>
  <w:num w:numId="32">
    <w:abstractNumId w:val="641878"/>
  </w:num>
  <w:num w:numId="33">
    <w:abstractNumId w:val="641879"/>
  </w:num>
  <w:num w:numId="34">
    <w:abstractNumId w:val="641880"/>
  </w:num>
  <w:num w:numId="35">
    <w:abstractNumId w:val="641881"/>
  </w:num>
  <w:num w:numId="36">
    <w:abstractNumId w:val="641882"/>
  </w:num>
  <w:num w:numId="37">
    <w:abstractNumId w:val="641883"/>
  </w:num>
  <w:num w:numId="38">
    <w:abstractNumId w:val="641884"/>
  </w:num>
  <w:num w:numId="39">
    <w:abstractNumId w:val="641885"/>
  </w:num>
  <w:num w:numId="40">
    <w:abstractNumId w:val="641886"/>
  </w:num>
  <w:num w:numId="41">
    <w:abstractNumId w:val="641887"/>
  </w:num>
  <w:num w:numId="42">
    <w:abstractNumId w:val="641888"/>
  </w:num>
  <w:num w:numId="43">
    <w:abstractNumId w:val="641889"/>
  </w:num>
  <w:num w:numId="44">
    <w:abstractNumId w:val="641890"/>
  </w:num>
  <w:num w:numId="45">
    <w:abstractNumId w:val="641891"/>
  </w:num>
  <w:num w:numId="46">
    <w:abstractNumId w:val="641892"/>
  </w:num>
  <w:num w:numId="47">
    <w:abstractNumId w:val="641893"/>
  </w:num>
  <w:num w:numId="48">
    <w:abstractNumId w:val="641894"/>
  </w:num>
  <w:num w:numId="49">
    <w:abstractNumId w:val="641895"/>
  </w:num>
  <w:num w:numId="50">
    <w:abstractNumId w:val="6418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2026-04-25T17:46:56Z</dcterms:created>
  <dc:creator>Apache POI</dc:creator>
</cp:coreProperties>
</file>