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56"/>
          <w:szCs w:val="56"/>
        </w:rPr>
        <w:t xml:space="preserve">铜锭进口业务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333333"/>
          <w:sz w:val="36"/>
          <w:szCs w:val="36"/>
        </w:rPr>
        <w:t xml:space="preserve">月度/季度汇总报告</w:t>
      </w:r>
    </w:p>
    <w:p>
      <w:pPr>
        <w:spacing w:before="120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报告周期：□ 月度（____年__月）    □ 季度（第__季度）</w:t>
      </w:r>
    </w:p>
    <w:p>
      <w:pPr>
        <w:spacing w:before="40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报告日期：________________</w:t>
      </w:r>
    </w:p>
    <w:p>
      <w:pPr>
        <w:spacing w:before="600"/>
      </w:pP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编制人：________________    审核人：________________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一、关键绩效指标（KPI）总览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本期实际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本期目标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完成率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较上期变化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采购原料总量（吨）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成品铜锭产量（吨）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平均出铜率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总加工损耗率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业务整体完成率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平均单笔业务周期（天）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异常事件数量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实际利润率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主要问题汇总：</w:t>
      </w:r>
    </w:p>
    <w:p>
      <w:r>
        <w:rPr>
          <w:rFonts w:ascii="微软雅黑" w:cs="微软雅黑" w:eastAsia="微软雅黑" w:hAnsi="微软雅黑"/>
          <w:color w:val="888888"/>
          <w:sz w:val="18"/>
          <w:szCs w:val="18"/>
        </w:rPr>
        <w:t xml:space="preserve">（请在此处详细填写各阶段主要问题及改进建议）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二、各阶段执行情况统计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计划业务数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实际完成数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完成率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平均耗时（天）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原料采购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加工环节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境外发运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>境内清关与交割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铜锭进口业务 月度/季度汇总报告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铜锭进口业务 月度/季度汇总报告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铜锭进口业务 月度/季度汇总报告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2026-05-10T04:20:41.983Z</dcterms:created>
  <dcterms:modified xsi:type="dcterms:W3CDTF">2026-05-10T04:20:41.983Z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