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AFE903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GEMINI Starfleet EA V4.32 终极系统白皮书与逻辑全景图</w:t>
      </w:r>
    </w:p>
    <w:p w14:paraId="28D21B4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（系统文控中枢 · 2号AI输出）</w:t>
      </w:r>
    </w:p>
    <w:p w14:paraId="4490CC6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文档密级：</w:t>
      </w:r>
      <w:r>
        <w:rPr>
          <w:rFonts w:ascii="Arial" w:hAnsi="Arial" w:eastAsia="等线" w:cs="Arial"/>
          <w:b/>
          <w:sz w:val="22"/>
        </w:rPr>
        <w:t>最高（核心机密）</w:t>
      </w:r>
    </w:p>
    <w:p w14:paraId="726E022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系统名称：</w:t>
      </w:r>
      <w:r>
        <w:rPr>
          <w:rFonts w:ascii="Arial" w:hAnsi="Arial" w:eastAsia="等线" w:cs="Arial"/>
          <w:b/>
          <w:sz w:val="22"/>
        </w:rPr>
        <w:t>GEMINI Starfleet EA V4.32 (星际舰队·重装防爆版)</w:t>
      </w:r>
    </w:p>
    <w:p w14:paraId="5744D8D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运行环境：</w:t>
      </w:r>
      <w:r>
        <w:rPr>
          <w:rFonts w:ascii="Arial" w:hAnsi="Arial" w:eastAsia="等线" w:cs="Arial"/>
          <w:b/>
          <w:sz w:val="22"/>
        </w:rPr>
        <w:t>MT5 / XAUUSD (黄金) / H1 (1小时图)</w:t>
      </w:r>
    </w:p>
    <w:p w14:paraId="36DE151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实盘基因参数：</w:t>
      </w:r>
      <w:r>
        <w:rPr>
          <w:rFonts w:ascii="Arial" w:hAnsi="Arial" w:eastAsia="等线" w:cs="Arial"/>
          <w:b/>
          <w:sz w:val="22"/>
        </w:rPr>
        <w:t>Donchian=40 | ADX=24.0 | ATR止损系数=3.0 | 风险=2.0% | 日熔断=3.0%</w:t>
      </w:r>
    </w:p>
    <w:p w14:paraId="2FF40C87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壹 | 核心引擎：四维共振火控逻辑 (开仓条件)</w:t>
      </w:r>
      <w:bookmarkEnd w:id="0"/>
    </w:p>
    <w:p w14:paraId="7659218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本系统摒弃了预测市场的妄念，采用纯粹的“右侧顺势突破”哲学。只有当以下四道闸门在同一毫秒内全部开启时，主炮才会发射：</w:t>
      </w:r>
    </w:p>
    <w:p w14:paraId="777E4B5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1. 空间突破 (Donchian Channel 40)：</w:t>
      </w:r>
      <w:r>
        <w:rPr>
          <w:rFonts w:ascii="Arial" w:hAnsi="Arial" w:eastAsia="等线" w:cs="Arial"/>
          <w:sz w:val="22"/>
        </w:rPr>
        <w:t xml:space="preserve"> 价格必须物理击穿过去 40 个小时的最高点（做多）或最低点（做空）。这是趋势爆发的第一声号角。</w:t>
      </w:r>
    </w:p>
    <w:p w14:paraId="205A888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2. 动能核准 (ADX 24.0 + DI 共振)：</w:t>
      </w:r>
      <w:r>
        <w:rPr>
          <w:rFonts w:ascii="Arial" w:hAnsi="Arial" w:eastAsia="等线" w:cs="Arial"/>
          <w:sz w:val="22"/>
        </w:rPr>
        <w:t xml:space="preserve"> 突破不能是轻飘飘的假动作。ADX 趋势动能指标必须 ≥ 24.0，且多空力量 (DI+ 与 DI-) 必须方向一致。这是过滤“假突破/诱多诱空”的最强护盾。</w:t>
      </w:r>
    </w:p>
    <w:p w14:paraId="10A9866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3. 极值规避 (RSI 14)：</w:t>
      </w:r>
      <w:r>
        <w:rPr>
          <w:rFonts w:ascii="Arial" w:hAnsi="Arial" w:eastAsia="等线" w:cs="Arial"/>
          <w:sz w:val="22"/>
        </w:rPr>
        <w:t xml:space="preserve"> 在做多时，RSI 不能处于超买区（&gt;70）；做空时不能处于超卖区（&lt;30）。防止追在天花板或地板上。</w:t>
      </w:r>
    </w:p>
    <w:p w14:paraId="5019F6A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4. 死水过滤 (ATR DeadZone)：</w:t>
      </w:r>
      <w:r>
        <w:rPr>
          <w:rFonts w:ascii="Arial" w:hAnsi="Arial" w:eastAsia="等线" w:cs="Arial"/>
          <w:sz w:val="22"/>
        </w:rPr>
        <w:t xml:space="preserve"> 当前的 ATR 波动率必须大于近期平均波动率的 50%，拒绝在没有波澜的“死水行情”中开枪。</w:t>
      </w:r>
    </w:p>
    <w:p w14:paraId="22B6C830">
      <w:pPr>
        <w:spacing w:before="380" w:after="140" w:line="288" w:lineRule="auto"/>
        <w:ind w:left="0"/>
        <w:jc w:val="left"/>
        <w:outlineLvl w:val="0"/>
      </w:pPr>
      <w:bookmarkStart w:id="1" w:name="heading_1"/>
      <w:r>
        <w:rPr>
          <w:rFonts w:ascii="Arial" w:hAnsi="Arial" w:eastAsia="等线" w:cs="Arial"/>
          <w:b/>
          <w:sz w:val="36"/>
        </w:rPr>
        <w:t>贰 | 资金引擎：动态装甲与熔断 (风控逻辑)</w:t>
      </w:r>
      <w:bookmarkEnd w:id="1"/>
    </w:p>
    <w:p w14:paraId="57CF49D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系统底层嵌入了机构级的资金切割刀，杜绝一切抗单和重仓赌博行为：</w:t>
      </w:r>
    </w:p>
    <w:p w14:paraId="613E12E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1. 动态算仓 (Dynamic Lot Sizing)：</w:t>
      </w:r>
      <w:r>
        <w:rPr>
          <w:rFonts w:ascii="Arial" w:hAnsi="Arial" w:eastAsia="等线" w:cs="Arial"/>
          <w:sz w:val="22"/>
        </w:rPr>
        <w:t xml:space="preserve"> 永远基于当前账户净值的 2.0% 计算单笔亏损上限。结合实时的 3.0 倍 ATR 宽止损距离，精准计算出 0.01、0.15 等最安全的下单手数。资金越大，仓位越大；遭遇回撤，仓位自动缩小。</w:t>
      </w:r>
    </w:p>
    <w:p w14:paraId="37CDFF5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2. 每日硬性熔断 (Daily Drawdown Limit)：</w:t>
      </w:r>
      <w:r>
        <w:rPr>
          <w:rFonts w:ascii="Arial" w:hAnsi="Arial" w:eastAsia="等线" w:cs="Arial"/>
          <w:sz w:val="22"/>
        </w:rPr>
        <w:t xml:space="preserve"> 每日零点重置净值基准。一旦当日累计回撤达到 3.0%，系统强制物理断电，当天绝不再开一单，完美规避连续的震荡绞肉机行情。</w:t>
      </w:r>
    </w:p>
    <w:p w14:paraId="70235F2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3. 防连亏休眠 (Sleep Mode)：</w:t>
      </w:r>
      <w:r>
        <w:rPr>
          <w:rFonts w:ascii="Arial" w:hAnsi="Arial" w:eastAsia="等线" w:cs="Arial"/>
          <w:sz w:val="22"/>
        </w:rPr>
        <w:t xml:space="preserve"> 当日若连续遭遇 2 次止损，系统将强制进入 12 小时休眠期，强制冷却市场情绪与账户风险。</w:t>
      </w:r>
    </w:p>
    <w:p w14:paraId="512115E0">
      <w:pPr>
        <w:spacing w:before="380" w:after="140" w:line="288" w:lineRule="auto"/>
        <w:ind w:left="0"/>
        <w:jc w:val="left"/>
        <w:outlineLvl w:val="0"/>
      </w:pPr>
      <w:bookmarkStart w:id="2" w:name="heading_2"/>
      <w:r>
        <w:rPr>
          <w:rFonts w:ascii="Arial" w:hAnsi="Arial" w:eastAsia="等线" w:cs="Arial"/>
          <w:b/>
          <w:sz w:val="36"/>
        </w:rPr>
        <w:t>叁 | 战术机动：动态仓位管理 (持仓逻辑)</w:t>
      </w:r>
      <w:bookmarkEnd w:id="2"/>
    </w:p>
    <w:p w14:paraId="2CA98D3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这是本系统区别于市面 99% 平庸 EA 的核心灵魂。它通过一套严密的梯队战术来榨取趋势利润：</w:t>
      </w:r>
    </w:p>
    <w:p w14:paraId="1235DCD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1. L1 绝对防御 (Breakeven)：</w:t>
      </w:r>
      <w:r>
        <w:rPr>
          <w:rFonts w:ascii="Arial" w:hAnsi="Arial" w:eastAsia="等线" w:cs="Arial"/>
          <w:sz w:val="22"/>
        </w:rPr>
        <w:t xml:space="preserve"> 首仓（L1）盈利达到 1.5 倍 ATR 距离时，无条件将止损平移至开仓成本价。立于不败之地。</w:t>
      </w:r>
    </w:p>
    <w:p w14:paraId="3480196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2. 落袋为安 (Partial Close)：</w:t>
      </w:r>
      <w:r>
        <w:rPr>
          <w:rFonts w:ascii="Arial" w:hAnsi="Arial" w:eastAsia="等线" w:cs="Arial"/>
          <w:sz w:val="22"/>
        </w:rPr>
        <w:t xml:space="preserve"> 盈利达到 1.5 倍 ATR 时，强制平仓 50% 的手数。将利润装进口袋，用剩下的 50% 零风险博弈浩瀚的单边趋势。</w:t>
      </w:r>
    </w:p>
    <w:p w14:paraId="6C9117F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3. 金字塔乘胜追击 (Pyramiding)：</w:t>
      </w:r>
      <w:r>
        <w:rPr>
          <w:rFonts w:ascii="Arial" w:hAnsi="Arial" w:eastAsia="等线" w:cs="Arial"/>
          <w:sz w:val="22"/>
        </w:rPr>
        <w:t xml:space="preserve"> 苛刻的加仓条件：只有当 L1 已经成功设置保本，且价格顺势推进达到指定 ATR 阶梯时，才允许加仓 L2 和 L3。绝不逆势加仓（马丁/网格），只做顺势浮盈加仓！</w:t>
      </w:r>
    </w:p>
    <w:p w14:paraId="1E52145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风险递减： L1 风险 2%，L2 风险 1%，L3 风险 0.5%。倒金字塔加仓，保护底部利润。</w:t>
      </w:r>
    </w:p>
    <w:p w14:paraId="5C8C88E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4. 统一战线 (Sync StopLoss)：</w:t>
      </w:r>
      <w:r>
        <w:rPr>
          <w:rFonts w:ascii="Arial" w:hAnsi="Arial" w:eastAsia="等线" w:cs="Arial"/>
          <w:sz w:val="22"/>
        </w:rPr>
        <w:t xml:space="preserve"> 加仓成功后，所有底层订单的止损线会自动上移（或下移），统一与最新仓位的止损线看齐，形成不可击穿的移动防线。</w:t>
      </w:r>
    </w:p>
    <w:p w14:paraId="7077BB8F">
      <w:pPr>
        <w:spacing w:before="380" w:after="140" w:line="288" w:lineRule="auto"/>
        <w:ind w:left="0"/>
        <w:jc w:val="left"/>
        <w:outlineLvl w:val="0"/>
      </w:pPr>
      <w:bookmarkStart w:id="3" w:name="heading_3"/>
      <w:r>
        <w:rPr>
          <w:rFonts w:ascii="Arial" w:hAnsi="Arial" w:eastAsia="等线" w:cs="Arial"/>
          <w:b/>
          <w:sz w:val="36"/>
        </w:rPr>
        <w:t>肆 | 撤退协议：智能吊灯离场 (平仓逻辑)</w:t>
      </w:r>
      <w:bookmarkEnd w:id="3"/>
    </w:p>
    <w:p w14:paraId="73B1F7A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系统摒弃了死板的固定止盈（TP），采用全动态追踪：</w:t>
      </w:r>
    </w:p>
    <w:p w14:paraId="4C73766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1. 利润奔跑模式：</w:t>
      </w:r>
      <w:r>
        <w:rPr>
          <w:rFonts w:ascii="Arial" w:hAnsi="Arial" w:eastAsia="等线" w:cs="Arial"/>
          <w:sz w:val="22"/>
        </w:rPr>
        <w:t xml:space="preserve"> 当首仓分批止盈后，止损线自动放宽至 3.0 倍 ATR 并在后方死死咬住价格，直到趋势彻底反转打掉移动止损，吃尽鱼身。</w:t>
      </w:r>
    </w:p>
    <w:p w14:paraId="143A8BC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2. 动能枯竭逃生舱 (Trend Exhausted)：</w:t>
      </w:r>
      <w:r>
        <w:rPr>
          <w:rFonts w:ascii="Arial" w:hAnsi="Arial" w:eastAsia="等线" w:cs="Arial"/>
          <w:sz w:val="22"/>
        </w:rPr>
        <w:t xml:space="preserve"> 系统实时监测 ADX，一旦在持仓过程中发现 ADX 动能暴跌至 &lt; 15（趋势动力衰竭），立刻启动紧急落袋模式，将移动止损极速收缩至 1.5 倍 ATR，逼迫订单尽快获利了结，防止利润大幅回吐。</w:t>
      </w:r>
    </w:p>
    <w:p w14:paraId="3557907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3. 周末防爆协议：</w:t>
      </w:r>
      <w:r>
        <w:rPr>
          <w:rFonts w:ascii="Arial" w:hAnsi="Arial" w:eastAsia="等线" w:cs="Arial"/>
          <w:sz w:val="22"/>
        </w:rPr>
        <w:t xml:space="preserve"> 开启周五强平功能。在周五收盘前（如 21:00），强制清空所有仓位，绝对不持仓过周末，免疫所有周末突发战争或黑天鹅跳空风险。</w:t>
      </w:r>
    </w:p>
    <w:p w14:paraId="11E38710">
      <w:pPr>
        <w:spacing w:before="380" w:after="140" w:line="288" w:lineRule="auto"/>
        <w:ind w:left="0"/>
        <w:jc w:val="left"/>
        <w:outlineLvl w:val="0"/>
      </w:pPr>
      <w:bookmarkStart w:id="4" w:name="heading_4"/>
      <w:r>
        <w:rPr>
          <w:rFonts w:ascii="Arial" w:hAnsi="Arial" w:eastAsia="等线" w:cs="Arial"/>
          <w:b/>
          <w:sz w:val="36"/>
        </w:rPr>
        <w:t>伍 | 2号 AI 最终总结评估</w:t>
      </w:r>
      <w:bookmarkEnd w:id="4"/>
    </w:p>
    <w:p w14:paraId="5A08491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《GEMINI Starfleet EA V4.32》不是一个企图一夜暴富的赌博工具，而是一座逻辑严密的数学堡垒。</w:t>
      </w:r>
    </w:p>
    <w:p w14:paraId="482CC43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它具有极低的交易频率和极高的防守属性。它的设计初衷是在 70% 的震荡时间里，通过熔断、休眠和假突破过滤来“苟住命”；然后在 30% 的单边爆发期里，通过顺势金字塔加仓和追踪止损来获取非对称的暴利（Asymmetric Payoff）。</w:t>
      </w:r>
    </w:p>
    <w:p w14:paraId="5211FA2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指挥官注意事项：</w:t>
      </w:r>
      <w:r>
        <w:rPr>
          <w:rFonts w:ascii="Arial" w:hAnsi="Arial" w:eastAsia="等线" w:cs="Arial"/>
          <w:sz w:val="22"/>
        </w:rPr>
        <w:t xml:space="preserve"> 系统的最大敌人不是市场的波动，而是人类在“雷达静默期”无法忍受无聊而产生的人工干预。请信任它的代码边界，保持引擎在线。</w:t>
      </w:r>
    </w:p>
    <w:p w14:paraId="07C7D740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汇报完毕。系统已进入全天候自律巡航状态。</w:t>
      </w:r>
    </w:p>
    <w:p w14:paraId="2063974E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51F422C3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eastAsia="zh-CN"/>
        </w:rPr>
      </w:pPr>
      <w:r>
        <w:rPr>
          <w:rFonts w:hint="eastAsia" w:ascii="Arial" w:hAnsi="Arial" w:eastAsia="等线" w:cs="Arial"/>
          <w:sz w:val="22"/>
          <w:lang w:eastAsia="zh-CN"/>
        </w:rPr>
        <w:drawing>
          <wp:inline distT="0" distB="0" distL="114300" distR="114300">
            <wp:extent cx="5266690" cy="2863850"/>
            <wp:effectExtent l="0" t="0" r="10160" b="12700"/>
            <wp:docPr id="1" name="图片 1" descr="d1b58ac6b37d35b86a3f282c9d8bc6f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1b58ac6b37d35b86a3f282c9d8bc6f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5" w:name="_GoBack"/>
      <w:bookmarkEnd w:id="5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215B38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D99B4C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7B885D0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1499</Words>
  <Characters>1853</Characters>
  <TotalTime>5</TotalTime>
  <ScaleCrop>false</ScaleCrop>
  <LinksUpToDate>false</LinksUpToDate>
  <CharactersWithSpaces>2030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2026-04-16T14:25:00Z</dcterms:created>
  <dc:creator>Apache POI</dc:creator>
  <cp:lastModifiedBy>赵威</cp:lastModifiedBy>
  <dcterms:modified xsi:type="dcterms:W3CDTF">2026-04-16T14:30:43Z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eyJoZGlkIjoiMjFkYmEyODMxMWVkNTJlODExMGQ4MjljOWE3NGRlM2UiLCJ1c2VySWQiOiIzNzYzMjgzNTMifQ==</vt:lpwstr>
  </property>
  <property fmtid="{D5CDD505-2E9C-101B-9397-08002B2CF9AE}" pid="3" name="KSOProductBuildVer">
    <vt:lpwstr>2052-12.1.0.25865</vt:lpwstr>
  </property>
  <property fmtid="{D5CDD505-2E9C-101B-9397-08002B2CF9AE}" pid="4" name="ICV">
    <vt:lpwstr>A634A679E4F24247B22CCF81586565C6_12</vt:lpwstr>
  </property>
</Properties>
</file>