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6B157">
      <w:pPr>
        <w:pStyle w:val="2"/>
        <w:keepNext w:val="0"/>
        <w:keepLines w:val="0"/>
        <w:widowControl/>
        <w:suppressLineNumbers w:val="0"/>
        <w:spacing w:line="20" w:lineRule="atLeast"/>
      </w:pPr>
      <w:r>
        <w:t>SniperTrendEA v8.5 升级说明</w:t>
      </w:r>
    </w:p>
    <w:p w14:paraId="752298D4">
      <w:pPr>
        <w:pStyle w:val="3"/>
        <w:keepNext w:val="0"/>
        <w:keepLines w:val="0"/>
        <w:widowControl/>
        <w:suppressLineNumbers w:val="0"/>
        <w:spacing w:line="20" w:lineRule="atLeast"/>
      </w:pPr>
      <w:r>
        <w:t>版本定位</w:t>
      </w:r>
    </w:p>
    <w:p w14:paraId="561FEE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v8.5「交易哲学融合版」 在 v8.4「多因子优化版」（ADX / 时间 / 波动率 / 日线MA200）的基础上，深度融入了 Z-Wei 交易体系的核心思想，使 EA 真正向"狙击手"进化。</w:t>
      </w:r>
    </w:p>
    <w:p w14:paraId="14216547">
      <w:pPr>
        <w:pStyle w:val="3"/>
        <w:keepNext w:val="0"/>
        <w:keepLines w:val="0"/>
        <w:widowControl/>
        <w:suppressLineNumbers w:val="0"/>
        <w:spacing w:line="20" w:lineRule="atLeast"/>
      </w:pPr>
      <w:r>
        <w:t>五大核心升级（与文章理论一一对应）</w:t>
      </w:r>
    </w:p>
    <w:p w14:paraId="7E2CBE08">
      <w:pPr>
        <w:pStyle w:val="4"/>
        <w:keepNext w:val="0"/>
        <w:keepLines w:val="0"/>
        <w:widowControl/>
        <w:suppressLineNumbers w:val="0"/>
        <w:spacing w:line="20" w:lineRule="atLeast"/>
      </w:pPr>
      <w:r>
        <w:t>1. 危险K线过滤 InpMaxCandleATR</w:t>
      </w:r>
    </w:p>
    <w:p w14:paraId="306DEB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理论来源：《危险的K线 (The Dangerous Candle)》</w:t>
      </w:r>
    </w:p>
    <w:p w14:paraId="7B6541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问题描述：原版 EA 只看实体占比 ≥ 60%，但一根振幅达到 ATR 3 倍以上的"巨阳/巨阴"虽然实体占比也很高，本质上却是订单失衡（FVG）的耗竭点，往往是反转高点/低点。EA 在此处入场等同于"FOMO 追高"。</w:t>
      </w:r>
    </w:p>
    <w:p w14:paraId="5DFC90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实现逻辑：</w:t>
      </w:r>
    </w:p>
    <w:p w14:paraId="689ED2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C++</w:t>
      </w:r>
    </w:p>
    <w:p w14:paraId="21C3E732">
      <w:pPr>
        <w:keepNext w:val="0"/>
        <w:keepLines w:val="0"/>
        <w:widowControl/>
        <w:suppressLineNumbers w:val="0"/>
        <w:bidi w:val="0"/>
        <w:jc w:val="left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4078F2"/>
          <w:kern w:val="0"/>
          <w:sz w:val="24"/>
          <w:szCs w:val="24"/>
          <w:lang w:val="en-US" w:eastAsia="zh-CN" w:bidi="ar"/>
        </w:rPr>
        <w:t>IsDangerousCandle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shift,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atr)</w:t>
      </w:r>
      <w:r>
        <w:rPr>
          <w:rFonts w:hint="default" w:ascii="Consolas" w:hAnsi="Consolas" w:eastAsia="Consolas" w:cs="Consolas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>{</w:t>
      </w:r>
      <w:r>
        <w:rPr>
          <w:rFonts w:hint="default" w:ascii="Consolas" w:hAnsi="Consolas" w:eastAsia="Consolas" w:cs="Consolas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range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High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Low;</w:t>
      </w:r>
      <w:r>
        <w:rPr>
          <w:rFonts w:hint="default" w:ascii="Consolas" w:hAnsi="Consolas" w:eastAsia="Consolas" w:cs="Consolas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(range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atr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InpMaxCandleATR);</w:t>
      </w:r>
      <w:r>
        <w:rPr>
          <w:rFonts w:hint="default" w:ascii="Consolas" w:hAnsi="Consolas" w:eastAsia="Consolas" w:cs="Consolas"/>
          <w:color w:val="A0A1A7"/>
          <w:kern w:val="0"/>
          <w:sz w:val="24"/>
          <w:szCs w:val="24"/>
          <w:lang w:val="en-US" w:eastAsia="zh-CN" w:bidi="ar"/>
        </w:rPr>
        <w:t xml:space="preserve"> // 默认 2.5 倍</w:t>
      </w:r>
      <w:r>
        <w:rPr>
          <w:rFonts w:hint="default" w:ascii="Consolas" w:hAnsi="Consolas" w:eastAsia="Consolas" w:cs="Consolas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>}</w:t>
      </w:r>
    </w:p>
    <w:p w14:paraId="07CE00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默认值：2.5 × ATR（建议黄金/BTC 调到 2.0-3.0）</w:t>
      </w:r>
    </w:p>
    <w:p w14:paraId="5C0DE183">
      <w:pPr>
        <w:pStyle w:val="4"/>
        <w:keepNext w:val="0"/>
        <w:keepLines w:val="0"/>
        <w:widowControl/>
        <w:suppressLineNumbers w:val="0"/>
        <w:spacing w:line="20" w:lineRule="atLeast"/>
      </w:pPr>
      <w:r>
        <w:t>2. 单边影线惩罚 InpMaxOppositeShadow</w:t>
      </w:r>
    </w:p>
    <w:p w14:paraId="25F8F9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理论来源：《市场结构观察 #26-2-2》关于"K线干脆度"的论述</w:t>
      </w:r>
    </w:p>
    <w:p w14:paraId="67834C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问题描述：原版 EA 的 BodyRatio 是混合判断（实体÷总长），但实际上：</w:t>
      </w:r>
    </w:p>
    <w:p w14:paraId="001BA4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•做多最忌讳上影线（卖压在最后压制）</w:t>
      </w:r>
    </w:p>
    <w:p w14:paraId="7789F1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•做空最忌讳下影线（买盘在最后承接）</w:t>
      </w:r>
    </w:p>
    <w:p w14:paraId="29AC7C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只看实体占比无法分辨这两种"质量陷阱"。</w:t>
      </w:r>
    </w:p>
    <w:p w14:paraId="6A74A4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实现逻辑：分离上影线 / 下影线占比，做多严控上影、做空严控下影。</w:t>
      </w:r>
    </w:p>
    <w:p w14:paraId="1CE5CD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默认值：0.20（反向影线不超过 K 线总长的 20%）</w:t>
      </w:r>
    </w:p>
    <w:p w14:paraId="576B631C">
      <w:pPr>
        <w:pStyle w:val="4"/>
        <w:keepNext w:val="0"/>
        <w:keepLines w:val="0"/>
        <w:widowControl/>
        <w:suppressLineNumbers w:val="0"/>
        <w:spacing w:line="20" w:lineRule="atLeast"/>
      </w:pPr>
      <w:r>
        <w:t>3. 自适应 MA200 震荡带 InpMA200BufferATR</w:t>
      </w:r>
    </w:p>
    <w:p w14:paraId="6EA42E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理论来源：《分形几何思维解读市场》—— 不同市场状态需要不同的"容差"</w:t>
      </w:r>
    </w:p>
    <w:p w14:paraId="0EEE17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问题描述：原版用固定点数 Buffer，对 BTC 和黄金这种波动剧烈的品种很不友好；高波动期容易被穿透形成假震荡，低波动期又过度宽松。</w:t>
      </w:r>
    </w:p>
    <w:p w14:paraId="6C1C63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实现逻辑：</w:t>
      </w:r>
    </w:p>
    <w:p w14:paraId="127FFB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C++</w:t>
      </w:r>
    </w:p>
    <w:p w14:paraId="4AFCA40D">
      <w:pPr>
        <w:keepNext w:val="0"/>
        <w:keepLines w:val="0"/>
        <w:widowControl/>
        <w:suppressLineNumbers w:val="0"/>
        <w:bidi w:val="0"/>
        <w:jc w:val="left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ma200Buffer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atr1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InpMA200BufferATR;</w:t>
      </w:r>
      <w:r>
        <w:rPr>
          <w:rFonts w:hint="default" w:ascii="Consolas" w:hAnsi="Consolas" w:eastAsia="Consolas" w:cs="Consolas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aboveMA200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(prevClose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ma200 </w:t>
      </w:r>
      <w:r>
        <w:rPr>
          <w:rFonts w:hint="default" w:ascii="Consolas" w:hAnsi="Consolas" w:eastAsia="Consolas" w:cs="Consolas"/>
          <w:color w:val="A626A4"/>
          <w:kern w:val="0"/>
          <w:sz w:val="24"/>
          <w:szCs w:val="24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383A42"/>
          <w:kern w:val="0"/>
          <w:sz w:val="24"/>
          <w:szCs w:val="24"/>
          <w:lang w:val="en-US" w:eastAsia="zh-CN" w:bidi="ar"/>
        </w:rPr>
        <w:t xml:space="preserve"> ma200Buffer);</w:t>
      </w:r>
    </w:p>
    <w:p w14:paraId="4C32D2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默认值：0.0（保持严格过滤，可调 0.3-0.5 用于震荡识别）</w:t>
      </w:r>
    </w:p>
    <w:p w14:paraId="60068B3E">
      <w:pPr>
        <w:pStyle w:val="4"/>
        <w:keepNext w:val="0"/>
        <w:keepLines w:val="0"/>
        <w:widowControl/>
        <w:suppressLineNumbers w:val="0"/>
        <w:spacing w:line="20" w:lineRule="atLeast"/>
      </w:pPr>
      <w:r>
        <w:t>4. 点火与跟随确认 InpRequireFollowThrough</w:t>
      </w:r>
    </w:p>
    <w:p w14:paraId="6A3DAC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理论来源：《点火与跟随》—— 真正的趋势启动需要"共识"形成</w:t>
      </w:r>
    </w:p>
    <w:p w14:paraId="767C6D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问题描述：MACD 柱状图翻转 + 实体K线很容易在震荡区频繁出现假信号。需要一个"价格层面的最终确认"。</w:t>
      </w:r>
    </w:p>
    <w:p w14:paraId="76F50D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实现逻辑：要求突破 K 线的收盘价创出近 N 根 K 线的极值（多头创新高，空头创新低），证明确实有"跟随者"加入。</w:t>
      </w:r>
    </w:p>
    <w:p w14:paraId="2337F0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默认值：false（保守参数，开启后将进一步降低交易频次但提高质量）</w:t>
      </w:r>
    </w:p>
    <w:p w14:paraId="63E4508B">
      <w:pPr>
        <w:pStyle w:val="4"/>
        <w:keepNext w:val="0"/>
        <w:keepLines w:val="0"/>
        <w:widowControl/>
        <w:suppressLineNumbers w:val="0"/>
        <w:spacing w:line="20" w:lineRule="atLeast"/>
      </w:pPr>
      <w:r>
        <w:t>5. 保留 v8.4 全部多因子框架</w:t>
      </w:r>
      <w:bookmarkStart w:id="0" w:name="_GoBack"/>
      <w:bookmarkEnd w:id="0"/>
    </w:p>
    <w:p w14:paraId="2F7AB8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完整保留 ADX、时间过滤、波动率过滤、日线 MA200 趋势确认。新增过滤层与原有过滤层串联工作，全部通过才会入场。</w:t>
      </w:r>
    </w:p>
    <w:p w14:paraId="3F4603CF">
      <w:pPr>
        <w:pStyle w:val="3"/>
        <w:keepNext w:val="0"/>
        <w:keepLines w:val="0"/>
        <w:widowControl/>
        <w:suppressLineNumbers w:val="0"/>
        <w:spacing w:line="20" w:lineRule="atLeast"/>
      </w:pPr>
      <w:r>
        <w:t>参数推荐配置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980"/>
        <w:gridCol w:w="1980"/>
        <w:gridCol w:w="1155"/>
      </w:tblGrid>
      <w:tr w14:paraId="0851D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ED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3FF75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XAUUSD H4 (保守)</w:t>
            </w:r>
          </w:p>
        </w:tc>
        <w:tc>
          <w:tcPr>
            <w:tcW w:w="0" w:type="auto"/>
            <w:shd w:val="clear"/>
            <w:vAlign w:val="center"/>
          </w:tcPr>
          <w:p w14:paraId="2578F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XAUUSD H1 (激进)</w:t>
            </w:r>
          </w:p>
        </w:tc>
        <w:tc>
          <w:tcPr>
            <w:tcW w:w="0" w:type="auto"/>
            <w:shd w:val="clear"/>
            <w:vAlign w:val="center"/>
          </w:tcPr>
          <w:p w14:paraId="1BECB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BTCUSD H1</w:t>
            </w:r>
          </w:p>
        </w:tc>
      </w:tr>
      <w:tr w14:paraId="2342C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49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InpMaxCandleATR</w:t>
            </w:r>
          </w:p>
        </w:tc>
        <w:tc>
          <w:tcPr>
            <w:tcW w:w="0" w:type="auto"/>
            <w:shd w:val="clear"/>
            <w:vAlign w:val="center"/>
          </w:tcPr>
          <w:p w14:paraId="4FD92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/>
            <w:vAlign w:val="center"/>
          </w:tcPr>
          <w:p w14:paraId="1BF76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</w:t>
            </w:r>
          </w:p>
        </w:tc>
        <w:tc>
          <w:tcPr>
            <w:tcW w:w="0" w:type="auto"/>
            <w:shd w:val="clear"/>
            <w:vAlign w:val="center"/>
          </w:tcPr>
          <w:p w14:paraId="78FD0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</w:tr>
      <w:tr w14:paraId="245AA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29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InpMaxOppositeShadow</w:t>
            </w:r>
          </w:p>
        </w:tc>
        <w:tc>
          <w:tcPr>
            <w:tcW w:w="0" w:type="auto"/>
            <w:shd w:val="clear"/>
            <w:vAlign w:val="center"/>
          </w:tcPr>
          <w:p w14:paraId="0B4E8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  <w:tc>
          <w:tcPr>
            <w:tcW w:w="0" w:type="auto"/>
            <w:shd w:val="clear"/>
            <w:vAlign w:val="center"/>
          </w:tcPr>
          <w:p w14:paraId="5364E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</w:t>
            </w:r>
          </w:p>
        </w:tc>
        <w:tc>
          <w:tcPr>
            <w:tcW w:w="0" w:type="auto"/>
            <w:shd w:val="clear"/>
            <w:vAlign w:val="center"/>
          </w:tcPr>
          <w:p w14:paraId="040BF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</w:tr>
      <w:tr w14:paraId="3274E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BF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InpRequireFollowThrough</w:t>
            </w:r>
          </w:p>
        </w:tc>
        <w:tc>
          <w:tcPr>
            <w:tcW w:w="0" w:type="auto"/>
            <w:shd w:val="clear"/>
            <w:vAlign w:val="center"/>
          </w:tcPr>
          <w:p w14:paraId="73049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/>
            <w:vAlign w:val="center"/>
          </w:tcPr>
          <w:p w14:paraId="682D0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 w14:paraId="2EE34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</w:tr>
      <w:tr w14:paraId="5E19F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B3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InpFollowThroughBars</w:t>
            </w:r>
          </w:p>
        </w:tc>
        <w:tc>
          <w:tcPr>
            <w:tcW w:w="0" w:type="auto"/>
            <w:shd w:val="clear"/>
            <w:vAlign w:val="center"/>
          </w:tcPr>
          <w:p w14:paraId="1A1C9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02D9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381B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26343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41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InpMA200BufferATR</w:t>
            </w:r>
          </w:p>
        </w:tc>
        <w:tc>
          <w:tcPr>
            <w:tcW w:w="0" w:type="auto"/>
            <w:shd w:val="clear"/>
            <w:vAlign w:val="center"/>
          </w:tcPr>
          <w:p w14:paraId="552FC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/>
            <w:vAlign w:val="center"/>
          </w:tcPr>
          <w:p w14:paraId="3DEBC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7B2D3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</w:tr>
      <w:tr w14:paraId="32AA2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27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InpRiskPercent</w:t>
            </w:r>
          </w:p>
        </w:tc>
        <w:tc>
          <w:tcPr>
            <w:tcW w:w="0" w:type="auto"/>
            <w:shd w:val="clear"/>
            <w:vAlign w:val="center"/>
          </w:tcPr>
          <w:p w14:paraId="22A09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10D58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6A0A7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</w:tr>
    </w:tbl>
    <w:p w14:paraId="51A56A54">
      <w:pPr>
        <w:pStyle w:val="3"/>
        <w:keepNext w:val="0"/>
        <w:keepLines w:val="0"/>
        <w:widowControl/>
        <w:suppressLineNumbers w:val="0"/>
        <w:spacing w:line="20" w:lineRule="atLeast"/>
      </w:pPr>
      <w:r>
        <w:t>升级后的交易哲学</w:t>
      </w:r>
    </w:p>
    <w:p w14:paraId="0B58BE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"我宁愿放过 100 个机会，也不在低质量的环境中浪费一颗子弹。"</w:t>
      </w:r>
    </w:p>
    <w:p w14:paraId="3F6F06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v8.5 通过 5 层质量过滤 真正贯彻了：</w:t>
      </w:r>
    </w:p>
    <w:p w14:paraId="2E0A14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1.方向正确（MA200 趋势 + ADX）</w:t>
      </w:r>
    </w:p>
    <w:p w14:paraId="043124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2.结构成立（MACD 翻转 + 实体占比）</w:t>
      </w:r>
    </w:p>
    <w:p w14:paraId="30AF81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3.K线干脆（反向影线限制）</w:t>
      </w:r>
    </w:p>
    <w:p w14:paraId="3B72AB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4.不追耗竭（危险K线过滤）</w:t>
      </w:r>
    </w:p>
    <w:p w14:paraId="6C3B86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5.共识形成（跟随确认）</w:t>
      </w:r>
    </w:p>
    <w:p w14:paraId="7A178C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这正是您一再强调的："我们去适应市场，只抓我们能理解的那部分行情。"</w:t>
      </w:r>
    </w:p>
    <w:p w14:paraId="2C08054A">
      <w:pPr>
        <w:pStyle w:val="3"/>
        <w:keepNext w:val="0"/>
        <w:keepLines w:val="0"/>
        <w:widowControl/>
        <w:suppressLineNumbers w:val="0"/>
        <w:spacing w:line="20" w:lineRule="atLeast"/>
      </w:pPr>
      <w:r>
        <w:t>回测建议</w:t>
      </w:r>
    </w:p>
    <w:p w14:paraId="7A49DD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在策略测试器中分两组对比测试：</w:t>
      </w:r>
    </w:p>
    <w:p w14:paraId="00F5B3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•Group A：仅 v8.4 多因子（关闭 v8.5 新增项）</w:t>
      </w:r>
    </w:p>
    <w:p w14:paraId="10BD5D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•Group B：v8.5 全开</w:t>
      </w:r>
    </w:p>
    <w:p w14:paraId="0260DE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重点观察以下指标：</w:t>
      </w:r>
    </w:p>
    <w:p w14:paraId="182FE9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•总交易次数：B 组应显著少于 A 组（约减少 30-50%）</w:t>
      </w:r>
    </w:p>
    <w:p w14:paraId="03CAF8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•胜率：B 组应高出 5-15%</w:t>
      </w:r>
    </w:p>
    <w:p w14:paraId="77918F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•最大回撤：B 组应明显降低</w:t>
      </w:r>
    </w:p>
    <w:p w14:paraId="0CA178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•平均利润/单笔：B 组应更高</w:t>
      </w:r>
    </w:p>
    <w:p w14:paraId="266109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 B 组在牺牲交易频次后没能换来更好的盈亏比，则需要放宽 v8.5 的新参数。</w:t>
      </w:r>
    </w:p>
    <w:p w14:paraId="01E818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62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2026-05-05T17:52:42Z</dcterms:created>
  <dc:creator>Administrator</dc:creator>
  <cp:lastModifiedBy>赵威</cp:lastModifiedBy>
  <dcterms:modified xsi:type="dcterms:W3CDTF">2026-05-05T17:52:49Z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eyJoZGlkIjoiMjFkYmEyODMxMWVkNTJlODExMGQ4MjljOWE3NGRlM2UiLCJ1c2VySWQiOiIzNzYzMjgzNTMifQ==</vt:lpwstr>
  </property>
  <property fmtid="{D5CDD505-2E9C-101B-9397-08002B2CF9AE}" pid="4" name="ICV">
    <vt:lpwstr>C0F6BA1E2AA848FEB17AFE4DD51E8052_12</vt:lpwstr>
  </property>
</Properties>
</file>