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85475">
      <w:pPr>
        <w:pStyle w:val="3"/>
        <w:jc w:val="center"/>
      </w:pPr>
      <w:r>
        <w:rPr>
          <w:rFonts w:ascii="宋体" w:hAnsi="宋体" w:eastAsia="宋体"/>
          <w:b/>
          <w:color w:val="1F497D"/>
          <w:sz w:val="36"/>
        </w:rPr>
        <w:t>哈萨克斯坦废旧电缆线进口加工铜锭业务标准流程 v1.0</w:t>
      </w:r>
    </w:p>
    <w:p w14:paraId="0527BC91">
      <w:pPr>
        <w:pBdr>
          <w:bottom w:val="single" w:color="2E74B5" w:sz="6" w:space="1"/>
        </w:pBdr>
      </w:pPr>
    </w:p>
    <w:p w14:paraId="7134D238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文件名称：哈萨克斯坦废旧电缆线进口加工铜锭业务标准流程　版本：v1.0</w:t>
      </w:r>
    </w:p>
    <w:p w14:paraId="797221E4">
      <w:pPr>
        <w:rPr>
          <w:rFonts w:ascii="宋体" w:hAnsi="宋体" w:eastAsia="宋体"/>
          <w:b w:val="0"/>
          <w:sz w:val="22"/>
        </w:rPr>
      </w:pPr>
    </w:p>
    <w:p w14:paraId="2AFFCF1D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业务模式：境外采购 → 加工 → 境外发运 → 境内清关交割</w:t>
      </w:r>
    </w:p>
    <w:p w14:paraId="6F0B8621">
      <w:pPr>
        <w:rPr>
          <w:rFonts w:ascii="宋体" w:hAnsi="宋体" w:eastAsia="宋体"/>
          <w:b w:val="0"/>
          <w:sz w:val="22"/>
        </w:rPr>
      </w:pPr>
    </w:p>
    <w:p w14:paraId="0E55C852">
      <w:pPr>
        <w:pStyle w:val="4"/>
        <w:rPr>
          <w:rFonts w:ascii="宋体" w:hAnsi="宋体" w:eastAsia="宋体"/>
          <w:b/>
          <w:color w:val="2E74B5"/>
          <w:sz w:val="30"/>
        </w:rPr>
      </w:pPr>
      <w:r>
        <w:rPr>
          <w:rFonts w:ascii="宋体" w:hAnsi="宋体" w:eastAsia="宋体"/>
          <w:b/>
          <w:color w:val="2E74B5"/>
          <w:sz w:val="30"/>
        </w:rPr>
        <w:t>阶段一：原料采购（哈萨克斯坦境内）</w:t>
      </w:r>
    </w:p>
    <w:p w14:paraId="1F015F60"/>
    <w:p w14:paraId="422BCCA9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筛选合格卖方（必须具备正规生产、销售、出口资质）</w:t>
      </w:r>
    </w:p>
    <w:p w14:paraId="240A2846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签订《境外采购合同》</w:t>
      </w:r>
    </w:p>
    <w:p w14:paraId="6495F588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确认货权真实性（合同主体一致）</w:t>
      </w:r>
    </w:p>
    <w:p w14:paraId="11E9973C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现场验货 + 过磅 + 拍照取证</w:t>
      </w:r>
    </w:p>
    <w:p w14:paraId="62FDC029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装车发运至加工厂</w:t>
      </w:r>
    </w:p>
    <w:p w14:paraId="662F16D2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工厂二次验货（过磅 + 抽样）</w:t>
      </w:r>
    </w:p>
    <w:p w14:paraId="26F70454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合格后支付货款</w:t>
      </w:r>
    </w:p>
    <w:p w14:paraId="5524018C">
      <w:pPr>
        <w:pStyle w:val="4"/>
        <w:rPr>
          <w:rFonts w:ascii="宋体" w:hAnsi="宋体" w:eastAsia="宋体"/>
          <w:b/>
          <w:color w:val="2E74B5"/>
          <w:sz w:val="30"/>
        </w:rPr>
      </w:pPr>
      <w:r>
        <w:rPr>
          <w:rFonts w:ascii="宋体" w:hAnsi="宋体" w:eastAsia="宋体"/>
          <w:b/>
          <w:color w:val="2E74B5"/>
          <w:sz w:val="30"/>
        </w:rPr>
        <w:t>阶段二：加工环节</w:t>
      </w:r>
    </w:p>
    <w:p w14:paraId="7F990D8E"/>
    <w:p w14:paraId="5874885C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进炉前精确核算损耗（误差 ≤ 1%）</w:t>
      </w:r>
    </w:p>
    <w:p w14:paraId="68E38FB0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如为代加工，签订《加工合同》</w:t>
      </w:r>
    </w:p>
    <w:p w14:paraId="606A26DD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熔炼加工</w:t>
      </w:r>
    </w:p>
    <w:p w14:paraId="558636E8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成品过磅 + 品味检测（≥99.5%）</w:t>
      </w:r>
    </w:p>
    <w:p w14:paraId="670F498C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加工完成结算</w:t>
      </w:r>
    </w:p>
    <w:p w14:paraId="0F70A722">
      <w:pPr>
        <w:pStyle w:val="4"/>
        <w:rPr>
          <w:rFonts w:ascii="宋体" w:hAnsi="宋体" w:eastAsia="宋体"/>
          <w:b/>
          <w:color w:val="2E74B5"/>
          <w:sz w:val="30"/>
        </w:rPr>
      </w:pPr>
      <w:r>
        <w:rPr>
          <w:rFonts w:ascii="宋体" w:hAnsi="宋体" w:eastAsia="宋体"/>
          <w:b/>
          <w:color w:val="2E74B5"/>
          <w:sz w:val="30"/>
        </w:rPr>
        <w:t>阶段三：境外装车发运</w:t>
      </w:r>
    </w:p>
    <w:p w14:paraId="1CE16EE1"/>
    <w:p w14:paraId="72137D1E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准备全套随车单证（原产地证、检测报告、生产许可证等）</w:t>
      </w:r>
    </w:p>
    <w:p w14:paraId="74BEF0F5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委托当地专业报关行报关</w:t>
      </w:r>
    </w:p>
    <w:p w14:paraId="5A7F756F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签订《物流运输协议》或《货代协议》</w:t>
      </w:r>
    </w:p>
    <w:p w14:paraId="79B0D1A2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监控离境时间节点</w:t>
      </w:r>
    </w:p>
    <w:p w14:paraId="3FE6B046">
      <w:pPr>
        <w:pStyle w:val="4"/>
        <w:rPr>
          <w:rFonts w:ascii="宋体" w:hAnsi="宋体" w:eastAsia="宋体"/>
          <w:b/>
          <w:color w:val="2E74B5"/>
          <w:sz w:val="30"/>
        </w:rPr>
      </w:pPr>
    </w:p>
    <w:p w14:paraId="75F95D51">
      <w:pPr>
        <w:pStyle w:val="4"/>
        <w:rPr>
          <w:rFonts w:ascii="宋体" w:hAnsi="宋体" w:eastAsia="宋体"/>
          <w:b/>
          <w:color w:val="2E74B5"/>
          <w:sz w:val="30"/>
        </w:rPr>
      </w:pPr>
    </w:p>
    <w:p w14:paraId="50174995">
      <w:pPr>
        <w:pStyle w:val="4"/>
        <w:rPr>
          <w:rFonts w:ascii="宋体" w:hAnsi="宋体" w:eastAsia="宋体"/>
          <w:b/>
          <w:color w:val="2E74B5"/>
          <w:sz w:val="30"/>
        </w:rPr>
      </w:pPr>
      <w:r>
        <w:rPr>
          <w:rFonts w:ascii="宋体" w:hAnsi="宋体" w:eastAsia="宋体"/>
          <w:b/>
          <w:color w:val="2E74B5"/>
          <w:sz w:val="30"/>
        </w:rPr>
        <w:t>阶段四：境内清关与交割</w:t>
      </w:r>
    </w:p>
    <w:p w14:paraId="3A88FC73"/>
    <w:p w14:paraId="2508C75E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提前将单证转交境内清关公司</w:t>
      </w:r>
    </w:p>
    <w:p w14:paraId="43B505A0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清关完成后现场验货</w:t>
      </w:r>
    </w:p>
    <w:p w14:paraId="769B067D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签订《国际贸易合同》</w:t>
      </w:r>
    </w:p>
    <w:p w14:paraId="0812E8D5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客户付全款后提货</w:t>
      </w:r>
    </w:p>
    <w:p w14:paraId="23660F0C">
      <w:pPr>
        <w:pStyle w:val="4"/>
      </w:pPr>
      <w:r>
        <w:rPr>
          <w:rFonts w:ascii="宋体" w:hAnsi="宋体" w:eastAsia="宋体"/>
          <w:b/>
          <w:color w:val="2E74B5"/>
          <w:sz w:val="30"/>
        </w:rPr>
        <w:t>第二部分：具体合同模板要点</w:t>
      </w:r>
    </w:p>
    <w:p w14:paraId="51C17D40">
      <w:pPr>
        <w:pStyle w:val="5"/>
      </w:pPr>
      <w:r>
        <w:rPr>
          <w:rFonts w:ascii="宋体" w:hAnsi="宋体" w:eastAsia="宋体"/>
          <w:b/>
          <w:color w:val="2E74B5"/>
          <w:sz w:val="26"/>
        </w:rPr>
        <w:t>1. 《境外采购合同》模板要点</w:t>
      </w:r>
    </w:p>
    <w:p w14:paraId="76F3381B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合同标题：哈萨克斯坦废旧电缆线采购合同</w:t>
      </w:r>
    </w:p>
    <w:p w14:paraId="57C7EB57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买卖双方完整信息（名称、统一社会信用代码、法定代表人、地址、开户行、账号）</w:t>
      </w:r>
    </w:p>
    <w:p w14:paraId="6A082DB5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货物明细表（品种、规格、预计重量、出铜率区间、单价计算公式）</w:t>
      </w:r>
    </w:p>
    <w:p w14:paraId="4FE3339D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质量标准与验收方法</w:t>
      </w:r>
    </w:p>
    <w:p w14:paraId="38B58DC7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定价方式：按到岸当日沪铜期货价下浮X% 或 按实际出铜率结算</w:t>
      </w:r>
    </w:p>
    <w:p w14:paraId="4D607CEE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付款方式与节点（建议30%-50%预付 + 工厂二次验货后付尾款）</w:t>
      </w:r>
    </w:p>
    <w:p w14:paraId="7AD1404B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10%境外增值税退税条款</w:t>
      </w:r>
    </w:p>
    <w:p w14:paraId="5F350526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违约责任与索赔条款</w:t>
      </w:r>
    </w:p>
    <w:p w14:paraId="16E5B8C8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争议解决（建议中国仲裁）</w:t>
      </w:r>
    </w:p>
    <w:p w14:paraId="1941D082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生效条件与份数</w:t>
      </w:r>
    </w:p>
    <w:p w14:paraId="2CB51FA4">
      <w:pPr>
        <w:pStyle w:val="16"/>
        <w:ind w:left="420"/>
      </w:pPr>
    </w:p>
    <w:p w14:paraId="73CACFFD">
      <w:pPr>
        <w:pStyle w:val="5"/>
        <w:numPr>
          <w:ilvl w:val="0"/>
          <w:numId w:val="7"/>
        </w:numPr>
        <w:rPr>
          <w:rFonts w:ascii="宋体" w:hAnsi="宋体" w:eastAsia="宋体"/>
          <w:b/>
          <w:color w:val="2E74B5"/>
          <w:sz w:val="26"/>
        </w:rPr>
      </w:pPr>
      <w:r>
        <w:rPr>
          <w:rFonts w:ascii="宋体" w:hAnsi="宋体" w:eastAsia="宋体"/>
          <w:b/>
          <w:color w:val="2E74B5"/>
          <w:sz w:val="26"/>
        </w:rPr>
        <w:t>《加工合同》模板要点</w:t>
      </w:r>
    </w:p>
    <w:p w14:paraId="1C0CDDC5">
      <w:pPr>
        <w:numPr>
          <w:numId w:val="0"/>
        </w:numPr>
      </w:pPr>
      <w:bookmarkStart w:id="0" w:name="_GoBack"/>
      <w:bookmarkEnd w:id="0"/>
    </w:p>
    <w:p w14:paraId="66FE9FC7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合同标题：废旧电缆线加工合同</w:t>
      </w:r>
    </w:p>
    <w:p w14:paraId="52E4DE4A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委托方与受托方信息</w:t>
      </w:r>
    </w:p>
    <w:p w14:paraId="7AFBAF41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原料重量、预计出铜率、允许损耗比例</w:t>
      </w:r>
    </w:p>
    <w:p w14:paraId="7B77AAAF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成品铜锭最低重量标准（例如20吨原料 ≥17.94吨铜锭）</w:t>
      </w:r>
    </w:p>
    <w:p w14:paraId="0AF200A3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成品品味要求（≥99.5%）</w:t>
      </w:r>
    </w:p>
    <w:p w14:paraId="167CDE13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加工费标准及结算方式</w:t>
      </w:r>
    </w:p>
    <w:p w14:paraId="72CEB7CA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双方责任划分</w:t>
      </w:r>
    </w:p>
    <w:p w14:paraId="27BF101C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违约责任</w:t>
      </w:r>
    </w:p>
    <w:p w14:paraId="07E8F9FB">
      <w:pPr>
        <w:pStyle w:val="16"/>
        <w:numPr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1C00D503">
      <w:pPr>
        <w:pStyle w:val="16"/>
        <w:numPr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6CF51F67">
      <w:pPr>
        <w:pStyle w:val="16"/>
        <w:numPr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75F0082A">
      <w:pPr>
        <w:pStyle w:val="16"/>
        <w:numPr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4CEFB12D">
      <w:pPr>
        <w:pStyle w:val="16"/>
        <w:numPr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4E29FCA8">
      <w:pPr>
        <w:pStyle w:val="16"/>
        <w:numPr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1DB64CD5">
      <w:pPr>
        <w:pStyle w:val="16"/>
        <w:numPr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1CFFED17">
      <w:pPr>
        <w:pStyle w:val="16"/>
        <w:numPr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014AA9AA">
      <w:pPr>
        <w:pStyle w:val="5"/>
        <w:numPr>
          <w:ilvl w:val="0"/>
          <w:numId w:val="7"/>
        </w:numPr>
        <w:ind w:left="0" w:leftChars="0" w:firstLine="0" w:firstLineChars="0"/>
        <w:rPr>
          <w:rFonts w:ascii="宋体" w:hAnsi="宋体" w:eastAsia="宋体"/>
          <w:b/>
          <w:color w:val="2E74B5"/>
          <w:sz w:val="26"/>
        </w:rPr>
      </w:pPr>
      <w:r>
        <w:rPr>
          <w:rFonts w:ascii="宋体" w:hAnsi="宋体" w:eastAsia="宋体"/>
          <w:b/>
          <w:color w:val="2E74B5"/>
          <w:sz w:val="26"/>
        </w:rPr>
        <w:t>《国际贸易合同》模板要点</w:t>
      </w:r>
    </w:p>
    <w:p w14:paraId="1F065637">
      <w:pPr>
        <w:numPr>
          <w:numId w:val="0"/>
        </w:numPr>
        <w:ind w:leftChars="0"/>
      </w:pPr>
    </w:p>
    <w:p w14:paraId="24CE696A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合同标题：铜锭销售合同</w:t>
      </w:r>
    </w:p>
    <w:p w14:paraId="5B519C79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买卖双方信息</w:t>
      </w:r>
    </w:p>
    <w:p w14:paraId="32D7453C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两种交易模式明确约定：</w:t>
      </w:r>
    </w:p>
    <w:p w14:paraId="5D710CB0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 xml:space="preserve">  模式一：签合同锁货锁价（15天内交割）</w:t>
      </w:r>
    </w:p>
    <w:p w14:paraId="004D3F66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 xml:space="preserve">  模式二：现货全款（收取30%以上定金）</w:t>
      </w:r>
    </w:p>
    <w:p w14:paraId="1102092A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价格条款（长江价下浮X%、基准日）</w:t>
      </w:r>
    </w:p>
    <w:p w14:paraId="1555CCF9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质量验收与异议期</w:t>
      </w:r>
    </w:p>
    <w:p w14:paraId="36A976C9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付款方式与节点</w:t>
      </w:r>
    </w:p>
    <w:p w14:paraId="52C9B224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交货方式（自提或送货）</w:t>
      </w:r>
    </w:p>
    <w:p w14:paraId="32C5A06A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争议解决（建议中国仲裁）</w:t>
      </w:r>
    </w:p>
    <w:p w14:paraId="6CB665B6">
      <w:pPr>
        <w:pStyle w:val="4"/>
      </w:pPr>
      <w:r>
        <w:rPr>
          <w:rFonts w:ascii="宋体" w:hAnsi="宋体" w:eastAsia="宋体"/>
          <w:b/>
          <w:color w:val="2E74B5"/>
          <w:sz w:val="30"/>
        </w:rPr>
        <w:t>第三部分：《业务流程记录表》模板</w:t>
      </w:r>
    </w:p>
    <w:p w14:paraId="75F3CF08">
      <w:r>
        <w:rPr>
          <w:rFonts w:ascii="宋体" w:hAnsi="宋体" w:eastAsia="宋体"/>
          <w:b w:val="0"/>
          <w:sz w:val="22"/>
        </w:rPr>
        <w:t>使用说明：</w:t>
      </w:r>
    </w:p>
    <w:p w14:paraId="5DA86299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每单业务必须填写此表</w:t>
      </w:r>
    </w:p>
    <w:p w14:paraId="001F872A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关键节点需拍照存档</w:t>
      </w:r>
    </w:p>
    <w:p w14:paraId="1D9A5EA0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异常情况必须详细记录处理过程</w:t>
      </w:r>
    </w:p>
    <w:p w14:paraId="592758C7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每阶段结束由责任人签字</w:t>
      </w:r>
    </w:p>
    <w:p w14:paraId="7B3CC242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 w14:paraId="04F53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2E74B5"/>
          </w:tcPr>
          <w:p w14:paraId="4732CE24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w="1008" w:type="dxa"/>
            <w:shd w:val="clear" w:color="auto" w:fill="2E74B5"/>
          </w:tcPr>
          <w:p w14:paraId="5CF551E9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业务阶段</w:t>
            </w:r>
          </w:p>
        </w:tc>
        <w:tc>
          <w:tcPr>
            <w:tcW w:w="1008" w:type="dxa"/>
            <w:shd w:val="clear" w:color="auto" w:fill="2E74B5"/>
          </w:tcPr>
          <w:p w14:paraId="4ECB8E69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具体步骤</w:t>
            </w:r>
          </w:p>
        </w:tc>
        <w:tc>
          <w:tcPr>
            <w:tcW w:w="1008" w:type="dxa"/>
            <w:shd w:val="clear" w:color="auto" w:fill="2E74B5"/>
          </w:tcPr>
          <w:p w14:paraId="3DD75628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责任人</w:t>
            </w:r>
          </w:p>
        </w:tc>
        <w:tc>
          <w:tcPr>
            <w:tcW w:w="1008" w:type="dxa"/>
            <w:shd w:val="clear" w:color="auto" w:fill="2E74B5"/>
          </w:tcPr>
          <w:p w14:paraId="71F584C5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计划完成时间</w:t>
            </w:r>
          </w:p>
        </w:tc>
        <w:tc>
          <w:tcPr>
            <w:tcW w:w="1008" w:type="dxa"/>
            <w:shd w:val="clear" w:color="auto" w:fill="2E74B5"/>
          </w:tcPr>
          <w:p w14:paraId="6BF26F51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实际完成时间</w:t>
            </w:r>
          </w:p>
        </w:tc>
        <w:tc>
          <w:tcPr>
            <w:tcW w:w="1008" w:type="dxa"/>
            <w:shd w:val="clear" w:color="auto" w:fill="2E74B5"/>
          </w:tcPr>
          <w:p w14:paraId="72570C03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关键记录</w:t>
            </w:r>
          </w:p>
        </w:tc>
        <w:tc>
          <w:tcPr>
            <w:tcW w:w="1008" w:type="dxa"/>
            <w:shd w:val="clear" w:color="auto" w:fill="2E74B5"/>
          </w:tcPr>
          <w:p w14:paraId="306FBB7C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异常情况及处理</w:t>
            </w:r>
          </w:p>
        </w:tc>
        <w:tc>
          <w:tcPr>
            <w:tcW w:w="1008" w:type="dxa"/>
            <w:shd w:val="clear" w:color="auto" w:fill="2E74B5"/>
          </w:tcPr>
          <w:p w14:paraId="2EADB052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签字确认</w:t>
            </w:r>
          </w:p>
        </w:tc>
      </w:tr>
      <w:tr w14:paraId="5711A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31F3A0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1008" w:type="dxa"/>
          </w:tcPr>
          <w:p w14:paraId="75CAAC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原料采购</w:t>
            </w:r>
          </w:p>
        </w:tc>
        <w:tc>
          <w:tcPr>
            <w:tcW w:w="1008" w:type="dxa"/>
          </w:tcPr>
          <w:p w14:paraId="18850D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签订采购合同</w:t>
            </w:r>
          </w:p>
        </w:tc>
        <w:tc>
          <w:tcPr>
            <w:tcW w:w="1008" w:type="dxa"/>
          </w:tcPr>
          <w:p w14:paraId="496F20AD">
            <w:pPr>
              <w:spacing w:after="0" w:line="240" w:lineRule="auto"/>
            </w:pPr>
          </w:p>
        </w:tc>
        <w:tc>
          <w:tcPr>
            <w:tcW w:w="1008" w:type="dxa"/>
          </w:tcPr>
          <w:p w14:paraId="46E2C9DC">
            <w:pPr>
              <w:spacing w:after="0" w:line="240" w:lineRule="auto"/>
            </w:pPr>
          </w:p>
        </w:tc>
        <w:tc>
          <w:tcPr>
            <w:tcW w:w="1008" w:type="dxa"/>
          </w:tcPr>
          <w:p w14:paraId="5C485283">
            <w:pPr>
              <w:spacing w:after="0" w:line="240" w:lineRule="auto"/>
            </w:pPr>
          </w:p>
        </w:tc>
        <w:tc>
          <w:tcPr>
            <w:tcW w:w="1008" w:type="dxa"/>
          </w:tcPr>
          <w:p w14:paraId="7F28BC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合同编号</w:t>
            </w:r>
          </w:p>
        </w:tc>
        <w:tc>
          <w:tcPr>
            <w:tcW w:w="1008" w:type="dxa"/>
          </w:tcPr>
          <w:p w14:paraId="28B5B4FF">
            <w:pPr>
              <w:spacing w:after="0" w:line="240" w:lineRule="auto"/>
            </w:pPr>
          </w:p>
        </w:tc>
        <w:tc>
          <w:tcPr>
            <w:tcW w:w="1008" w:type="dxa"/>
          </w:tcPr>
          <w:p w14:paraId="6C0C780A">
            <w:pPr>
              <w:spacing w:after="0" w:line="240" w:lineRule="auto"/>
            </w:pPr>
          </w:p>
        </w:tc>
      </w:tr>
      <w:tr w14:paraId="3394E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DEEAF1"/>
          </w:tcPr>
          <w:p w14:paraId="70B42C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1008" w:type="dxa"/>
            <w:shd w:val="clear" w:color="auto" w:fill="DEEAF1"/>
          </w:tcPr>
          <w:p w14:paraId="6804B0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原料采购</w:t>
            </w:r>
          </w:p>
        </w:tc>
        <w:tc>
          <w:tcPr>
            <w:tcW w:w="1008" w:type="dxa"/>
            <w:shd w:val="clear" w:color="auto" w:fill="DEEAF1"/>
          </w:tcPr>
          <w:p w14:paraId="32B2C3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现场验货过磅</w:t>
            </w:r>
          </w:p>
        </w:tc>
        <w:tc>
          <w:tcPr>
            <w:tcW w:w="1008" w:type="dxa"/>
            <w:shd w:val="clear" w:color="auto" w:fill="DEEAF1"/>
          </w:tcPr>
          <w:p w14:paraId="4AA90601">
            <w:pPr>
              <w:spacing w:after="0" w:line="240" w:lineRule="auto"/>
            </w:pPr>
          </w:p>
        </w:tc>
        <w:tc>
          <w:tcPr>
            <w:tcW w:w="1008" w:type="dxa"/>
            <w:shd w:val="clear" w:color="auto" w:fill="DEEAF1"/>
          </w:tcPr>
          <w:p w14:paraId="2B2631D7">
            <w:pPr>
              <w:spacing w:after="0" w:line="240" w:lineRule="auto"/>
            </w:pPr>
          </w:p>
        </w:tc>
        <w:tc>
          <w:tcPr>
            <w:tcW w:w="1008" w:type="dxa"/>
            <w:shd w:val="clear" w:color="auto" w:fill="DEEAF1"/>
          </w:tcPr>
          <w:p w14:paraId="5C547FE5">
            <w:pPr>
              <w:spacing w:after="0" w:line="240" w:lineRule="auto"/>
            </w:pPr>
          </w:p>
        </w:tc>
        <w:tc>
          <w:tcPr>
            <w:tcW w:w="1008" w:type="dxa"/>
            <w:shd w:val="clear" w:color="auto" w:fill="DEEAF1"/>
          </w:tcPr>
          <w:p w14:paraId="09DBDA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重量、照片</w:t>
            </w:r>
          </w:p>
        </w:tc>
        <w:tc>
          <w:tcPr>
            <w:tcW w:w="1008" w:type="dxa"/>
            <w:shd w:val="clear" w:color="auto" w:fill="DEEAF1"/>
          </w:tcPr>
          <w:p w14:paraId="571CCF46">
            <w:pPr>
              <w:spacing w:after="0" w:line="240" w:lineRule="auto"/>
            </w:pPr>
          </w:p>
        </w:tc>
        <w:tc>
          <w:tcPr>
            <w:tcW w:w="1008" w:type="dxa"/>
            <w:shd w:val="clear" w:color="auto" w:fill="DEEAF1"/>
          </w:tcPr>
          <w:p w14:paraId="4899FA64">
            <w:pPr>
              <w:spacing w:after="0" w:line="240" w:lineRule="auto"/>
            </w:pPr>
          </w:p>
        </w:tc>
      </w:tr>
      <w:tr w14:paraId="7A00C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7FFA9D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1008" w:type="dxa"/>
          </w:tcPr>
          <w:p w14:paraId="4B0859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加工环节</w:t>
            </w:r>
          </w:p>
        </w:tc>
        <w:tc>
          <w:tcPr>
            <w:tcW w:w="1008" w:type="dxa"/>
          </w:tcPr>
          <w:p w14:paraId="13777E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进炉前损耗核算</w:t>
            </w:r>
          </w:p>
        </w:tc>
        <w:tc>
          <w:tcPr>
            <w:tcW w:w="1008" w:type="dxa"/>
          </w:tcPr>
          <w:p w14:paraId="332A2524">
            <w:pPr>
              <w:spacing w:after="0" w:line="240" w:lineRule="auto"/>
            </w:pPr>
          </w:p>
        </w:tc>
        <w:tc>
          <w:tcPr>
            <w:tcW w:w="1008" w:type="dxa"/>
          </w:tcPr>
          <w:p w14:paraId="3952A947">
            <w:pPr>
              <w:spacing w:after="0" w:line="240" w:lineRule="auto"/>
            </w:pPr>
          </w:p>
        </w:tc>
        <w:tc>
          <w:tcPr>
            <w:tcW w:w="1008" w:type="dxa"/>
          </w:tcPr>
          <w:p w14:paraId="35348CA7">
            <w:pPr>
              <w:spacing w:after="0" w:line="240" w:lineRule="auto"/>
            </w:pPr>
          </w:p>
        </w:tc>
        <w:tc>
          <w:tcPr>
            <w:tcW w:w="1008" w:type="dxa"/>
          </w:tcPr>
          <w:p w14:paraId="56DE17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计算结果</w:t>
            </w:r>
          </w:p>
        </w:tc>
        <w:tc>
          <w:tcPr>
            <w:tcW w:w="1008" w:type="dxa"/>
          </w:tcPr>
          <w:p w14:paraId="1DF97836">
            <w:pPr>
              <w:spacing w:after="0" w:line="240" w:lineRule="auto"/>
            </w:pPr>
          </w:p>
        </w:tc>
        <w:tc>
          <w:tcPr>
            <w:tcW w:w="1008" w:type="dxa"/>
          </w:tcPr>
          <w:p w14:paraId="4DD80CFA">
            <w:pPr>
              <w:spacing w:after="0" w:line="240" w:lineRule="auto"/>
            </w:pPr>
          </w:p>
        </w:tc>
      </w:tr>
      <w:tr w14:paraId="5A2CF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DEEAF1"/>
          </w:tcPr>
          <w:p w14:paraId="037B1B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1008" w:type="dxa"/>
            <w:shd w:val="clear" w:color="auto" w:fill="DEEAF1"/>
          </w:tcPr>
          <w:p w14:paraId="185F5E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加工环节</w:t>
            </w:r>
          </w:p>
        </w:tc>
        <w:tc>
          <w:tcPr>
            <w:tcW w:w="1008" w:type="dxa"/>
            <w:shd w:val="clear" w:color="auto" w:fill="DEEAF1"/>
          </w:tcPr>
          <w:p w14:paraId="412B2B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成品过磅检测</w:t>
            </w:r>
          </w:p>
        </w:tc>
        <w:tc>
          <w:tcPr>
            <w:tcW w:w="1008" w:type="dxa"/>
            <w:shd w:val="clear" w:color="auto" w:fill="DEEAF1"/>
          </w:tcPr>
          <w:p w14:paraId="59998444">
            <w:pPr>
              <w:spacing w:after="0" w:line="240" w:lineRule="auto"/>
            </w:pPr>
          </w:p>
        </w:tc>
        <w:tc>
          <w:tcPr>
            <w:tcW w:w="1008" w:type="dxa"/>
            <w:shd w:val="clear" w:color="auto" w:fill="DEEAF1"/>
          </w:tcPr>
          <w:p w14:paraId="4801F830">
            <w:pPr>
              <w:spacing w:after="0" w:line="240" w:lineRule="auto"/>
            </w:pPr>
          </w:p>
        </w:tc>
        <w:tc>
          <w:tcPr>
            <w:tcW w:w="1008" w:type="dxa"/>
            <w:shd w:val="clear" w:color="auto" w:fill="DEEAF1"/>
          </w:tcPr>
          <w:p w14:paraId="06F2167B">
            <w:pPr>
              <w:spacing w:after="0" w:line="240" w:lineRule="auto"/>
            </w:pPr>
          </w:p>
        </w:tc>
        <w:tc>
          <w:tcPr>
            <w:tcW w:w="1008" w:type="dxa"/>
            <w:shd w:val="clear" w:color="auto" w:fill="DEEAF1"/>
          </w:tcPr>
          <w:p w14:paraId="633255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成品重量、品味</w:t>
            </w:r>
          </w:p>
        </w:tc>
        <w:tc>
          <w:tcPr>
            <w:tcW w:w="1008" w:type="dxa"/>
            <w:shd w:val="clear" w:color="auto" w:fill="DEEAF1"/>
          </w:tcPr>
          <w:p w14:paraId="22D35A1C">
            <w:pPr>
              <w:spacing w:after="0" w:line="240" w:lineRule="auto"/>
            </w:pPr>
          </w:p>
        </w:tc>
        <w:tc>
          <w:tcPr>
            <w:tcW w:w="1008" w:type="dxa"/>
            <w:shd w:val="clear" w:color="auto" w:fill="DEEAF1"/>
          </w:tcPr>
          <w:p w14:paraId="7B42E2F0">
            <w:pPr>
              <w:spacing w:after="0" w:line="240" w:lineRule="auto"/>
            </w:pPr>
          </w:p>
        </w:tc>
      </w:tr>
      <w:tr w14:paraId="23A68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535A48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1008" w:type="dxa"/>
          </w:tcPr>
          <w:p w14:paraId="0071E0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境外发运</w:t>
            </w:r>
          </w:p>
        </w:tc>
        <w:tc>
          <w:tcPr>
            <w:tcW w:w="1008" w:type="dxa"/>
          </w:tcPr>
          <w:p w14:paraId="3122DB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准备单证报关</w:t>
            </w:r>
          </w:p>
        </w:tc>
        <w:tc>
          <w:tcPr>
            <w:tcW w:w="1008" w:type="dxa"/>
          </w:tcPr>
          <w:p w14:paraId="43EBC70A">
            <w:pPr>
              <w:spacing w:after="0" w:line="240" w:lineRule="auto"/>
            </w:pPr>
          </w:p>
        </w:tc>
        <w:tc>
          <w:tcPr>
            <w:tcW w:w="1008" w:type="dxa"/>
          </w:tcPr>
          <w:p w14:paraId="7D8B1583">
            <w:pPr>
              <w:spacing w:after="0" w:line="240" w:lineRule="auto"/>
            </w:pPr>
          </w:p>
        </w:tc>
        <w:tc>
          <w:tcPr>
            <w:tcW w:w="1008" w:type="dxa"/>
          </w:tcPr>
          <w:p w14:paraId="17876185">
            <w:pPr>
              <w:spacing w:after="0" w:line="240" w:lineRule="auto"/>
            </w:pPr>
          </w:p>
        </w:tc>
        <w:tc>
          <w:tcPr>
            <w:tcW w:w="1008" w:type="dxa"/>
          </w:tcPr>
          <w:p w14:paraId="46AB03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单证清单</w:t>
            </w:r>
          </w:p>
        </w:tc>
        <w:tc>
          <w:tcPr>
            <w:tcW w:w="1008" w:type="dxa"/>
          </w:tcPr>
          <w:p w14:paraId="78158E10">
            <w:pPr>
              <w:spacing w:after="0" w:line="240" w:lineRule="auto"/>
            </w:pPr>
          </w:p>
        </w:tc>
        <w:tc>
          <w:tcPr>
            <w:tcW w:w="1008" w:type="dxa"/>
          </w:tcPr>
          <w:p w14:paraId="2DA0A3ED">
            <w:pPr>
              <w:spacing w:after="0" w:line="240" w:lineRule="auto"/>
            </w:pPr>
          </w:p>
        </w:tc>
      </w:tr>
      <w:tr w14:paraId="060CA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DEEAF1"/>
          </w:tcPr>
          <w:p w14:paraId="2F28A8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1008" w:type="dxa"/>
            <w:shd w:val="clear" w:color="auto" w:fill="DEEAF1"/>
          </w:tcPr>
          <w:p w14:paraId="3334FA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境内清关</w:t>
            </w:r>
          </w:p>
        </w:tc>
        <w:tc>
          <w:tcPr>
            <w:tcW w:w="1008" w:type="dxa"/>
            <w:shd w:val="clear" w:color="auto" w:fill="DEEAF1"/>
          </w:tcPr>
          <w:p w14:paraId="1A0B5A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清关完成验货</w:t>
            </w:r>
          </w:p>
        </w:tc>
        <w:tc>
          <w:tcPr>
            <w:tcW w:w="1008" w:type="dxa"/>
            <w:shd w:val="clear" w:color="auto" w:fill="DEEAF1"/>
          </w:tcPr>
          <w:p w14:paraId="0BA88FE9">
            <w:pPr>
              <w:spacing w:after="0" w:line="240" w:lineRule="auto"/>
            </w:pPr>
          </w:p>
        </w:tc>
        <w:tc>
          <w:tcPr>
            <w:tcW w:w="1008" w:type="dxa"/>
            <w:shd w:val="clear" w:color="auto" w:fill="DEEAF1"/>
          </w:tcPr>
          <w:p w14:paraId="24C604A5">
            <w:pPr>
              <w:spacing w:after="0" w:line="240" w:lineRule="auto"/>
            </w:pPr>
          </w:p>
        </w:tc>
        <w:tc>
          <w:tcPr>
            <w:tcW w:w="1008" w:type="dxa"/>
            <w:shd w:val="clear" w:color="auto" w:fill="DEEAF1"/>
          </w:tcPr>
          <w:p w14:paraId="1544CFC5">
            <w:pPr>
              <w:spacing w:after="0" w:line="240" w:lineRule="auto"/>
            </w:pPr>
          </w:p>
        </w:tc>
        <w:tc>
          <w:tcPr>
            <w:tcW w:w="1008" w:type="dxa"/>
            <w:shd w:val="clear" w:color="auto" w:fill="DEEAF1"/>
          </w:tcPr>
          <w:p w14:paraId="11D2E9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清关单号</w:t>
            </w:r>
          </w:p>
        </w:tc>
        <w:tc>
          <w:tcPr>
            <w:tcW w:w="1008" w:type="dxa"/>
            <w:shd w:val="clear" w:color="auto" w:fill="DEEAF1"/>
          </w:tcPr>
          <w:p w14:paraId="5120917D">
            <w:pPr>
              <w:spacing w:after="0" w:line="240" w:lineRule="auto"/>
            </w:pPr>
          </w:p>
        </w:tc>
        <w:tc>
          <w:tcPr>
            <w:tcW w:w="1008" w:type="dxa"/>
            <w:shd w:val="clear" w:color="auto" w:fill="DEEAF1"/>
          </w:tcPr>
          <w:p w14:paraId="07E6D0CE">
            <w:pPr>
              <w:spacing w:after="0" w:line="240" w:lineRule="auto"/>
            </w:pPr>
          </w:p>
        </w:tc>
      </w:tr>
      <w:tr w14:paraId="040CD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61E437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1008" w:type="dxa"/>
          </w:tcPr>
          <w:p w14:paraId="172959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境内清关</w:t>
            </w:r>
          </w:p>
        </w:tc>
        <w:tc>
          <w:tcPr>
            <w:tcW w:w="1008" w:type="dxa"/>
          </w:tcPr>
          <w:p w14:paraId="0EB779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签订贸易合同并收款</w:t>
            </w:r>
          </w:p>
        </w:tc>
        <w:tc>
          <w:tcPr>
            <w:tcW w:w="1008" w:type="dxa"/>
          </w:tcPr>
          <w:p w14:paraId="3EBF8650">
            <w:pPr>
              <w:spacing w:after="0" w:line="240" w:lineRule="auto"/>
            </w:pPr>
          </w:p>
        </w:tc>
        <w:tc>
          <w:tcPr>
            <w:tcW w:w="1008" w:type="dxa"/>
          </w:tcPr>
          <w:p w14:paraId="48CA1CB6">
            <w:pPr>
              <w:spacing w:after="0" w:line="240" w:lineRule="auto"/>
            </w:pPr>
          </w:p>
        </w:tc>
        <w:tc>
          <w:tcPr>
            <w:tcW w:w="1008" w:type="dxa"/>
          </w:tcPr>
          <w:p w14:paraId="50172C50">
            <w:pPr>
              <w:spacing w:after="0" w:line="240" w:lineRule="auto"/>
            </w:pPr>
          </w:p>
        </w:tc>
        <w:tc>
          <w:tcPr>
            <w:tcW w:w="1008" w:type="dxa"/>
          </w:tcPr>
          <w:p w14:paraId="70434C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合同编号、收款金额</w:t>
            </w:r>
          </w:p>
        </w:tc>
        <w:tc>
          <w:tcPr>
            <w:tcW w:w="1008" w:type="dxa"/>
          </w:tcPr>
          <w:p w14:paraId="75BD065B">
            <w:pPr>
              <w:spacing w:after="0" w:line="240" w:lineRule="auto"/>
            </w:pPr>
          </w:p>
        </w:tc>
        <w:tc>
          <w:tcPr>
            <w:tcW w:w="1008" w:type="dxa"/>
          </w:tcPr>
          <w:p w14:paraId="5B5CEF7C">
            <w:pPr>
              <w:spacing w:after="0" w:line="240" w:lineRule="auto"/>
            </w:pPr>
          </w:p>
        </w:tc>
      </w:tr>
    </w:tbl>
    <w:p w14:paraId="619AFA9E"/>
    <w:sectPr>
      <w:pgSz w:w="11906" w:h="16838"/>
      <w:pgMar w:top="1417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3F8685"/>
    <w:multiLevelType w:val="singleLevel"/>
    <w:tmpl w:val="DD3F8685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D8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1035</Words>
  <Characters>1071</Characters>
  <Lines>0</Lines>
  <Paragraphs>0</Paragraphs>
  <TotalTime>2</TotalTime>
  <ScaleCrop>false</ScaleCrop>
  <LinksUpToDate>false</LinksUpToDate>
  <CharactersWithSpaces>1101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赵威</cp:lastModifiedBy>
  <dcterms:modified xsi:type="dcterms:W3CDTF">2026-05-10T05:53:28Z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eyJoZGlkIjoiMjFkYmEyODMxMWVkNTJlODExMGQ4MjljOWE3NGRlM2UiLCJ1c2VySWQiOiIzNzYzMjgzNTMifQ==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1D40B4F61BE746B1BE7B769804FF78EE_12</vt:lpwstr>
  </property>
</Properties>
</file>