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15673">
      <w:pPr>
        <w:pStyle w:val="3"/>
        <w:jc w:val="center"/>
      </w:pPr>
      <w:r>
        <w:rPr>
          <w:rFonts w:ascii="宋体" w:hAnsi="宋体" w:eastAsia="宋体"/>
          <w:b/>
          <w:color w:val="1F497D"/>
          <w:sz w:val="36"/>
        </w:rPr>
        <w:t>铜锭进口业务流程</w:t>
      </w:r>
      <w:r>
        <w:rPr>
          <w:rFonts w:ascii="宋体" w:hAnsi="宋体" w:eastAsia="宋体"/>
          <w:b/>
          <w:color w:val="1F497D"/>
          <w:sz w:val="36"/>
        </w:rPr>
        <w:br w:type="textWrapping"/>
      </w:r>
      <w:r>
        <w:rPr>
          <w:rFonts w:ascii="宋体" w:hAnsi="宋体" w:eastAsia="宋体"/>
          <w:b/>
          <w:color w:val="1F497D"/>
          <w:sz w:val="36"/>
        </w:rPr>
        <w:t>更规范的标准版（带合同模板要点）</w:t>
      </w:r>
    </w:p>
    <w:p w14:paraId="466DD4B3">
      <w:pPr>
        <w:pBdr>
          <w:bottom w:val="single" w:color="2E74B5" w:sz="6" w:space="1"/>
        </w:pBdr>
      </w:pPr>
    </w:p>
    <w:p w14:paraId="5BE52197">
      <w:pPr>
        <w:rPr>
          <w:rFonts w:ascii="宋体" w:hAnsi="宋体" w:eastAsia="宋体"/>
          <w:b w:val="0"/>
          <w:sz w:val="22"/>
        </w:rPr>
      </w:pPr>
    </w:p>
    <w:p w14:paraId="3ECABBE7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业务名称：哈萨克斯坦废旧电缆线进口加工铜锭业务</w:t>
      </w:r>
    </w:p>
    <w:p w14:paraId="65601F00">
      <w:pPr>
        <w:rPr>
          <w:rFonts w:ascii="宋体" w:hAnsi="宋体" w:eastAsia="宋体"/>
          <w:b w:val="0"/>
          <w:sz w:val="22"/>
        </w:rPr>
      </w:pPr>
    </w:p>
    <w:p w14:paraId="4E2D9C14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业务模式：境外采购 → 境内/境外加工 → 境外报关发运 → 境内清关交割</w:t>
      </w:r>
    </w:p>
    <w:p w14:paraId="59834A87">
      <w:pPr>
        <w:rPr>
          <w:rFonts w:ascii="宋体" w:hAnsi="宋体" w:eastAsia="宋体"/>
          <w:b w:val="0"/>
          <w:sz w:val="22"/>
        </w:rPr>
      </w:pPr>
    </w:p>
    <w:p w14:paraId="18D451AF">
      <w:pPr>
        <w:pStyle w:val="4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第一部分：完整规范流程（共4大阶段）</w:t>
      </w:r>
    </w:p>
    <w:p w14:paraId="2CB2B373"/>
    <w:p w14:paraId="64B8E659">
      <w:pPr>
        <w:pStyle w:val="5"/>
        <w:rPr>
          <w:rFonts w:ascii="宋体" w:hAnsi="宋体" w:eastAsia="宋体"/>
          <w:b/>
          <w:color w:val="2E74B5"/>
          <w:sz w:val="26"/>
        </w:rPr>
      </w:pPr>
      <w:r>
        <w:rPr>
          <w:rFonts w:ascii="宋体" w:hAnsi="宋体" w:eastAsia="宋体"/>
          <w:b/>
          <w:color w:val="2E74B5"/>
          <w:sz w:val="26"/>
        </w:rPr>
        <w:t>阶段一：原料采购（哈萨克斯坦境内）</w:t>
      </w:r>
    </w:p>
    <w:p w14:paraId="532F28DE"/>
    <w:p w14:paraId="6F20C89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筛选合格卖方（必须具备正规生产、销售、出口资质的企业）</w:t>
      </w:r>
    </w:p>
    <w:p w14:paraId="0C132973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签订《境外采购合同》（见合同模板要点）</w:t>
      </w:r>
    </w:p>
    <w:p w14:paraId="79CB14C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确认货权真实性（合同主体、发票主体一致）</w:t>
      </w:r>
    </w:p>
    <w:p w14:paraId="217B06F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现场验货 + 过磅 + 拍照取证</w:t>
      </w:r>
    </w:p>
    <w:p w14:paraId="4B40123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装车发运至加工厂</w:t>
      </w:r>
    </w:p>
    <w:p w14:paraId="02BE443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工厂二次验货（过磅 + 抽样检测）</w:t>
      </w:r>
    </w:p>
    <w:p w14:paraId="6910AD9F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验货合格后支付货款（可谈30%-50%预付款）</w:t>
      </w:r>
    </w:p>
    <w:p w14:paraId="284F6565">
      <w:pPr>
        <w:pStyle w:val="16"/>
        <w:ind w:left="420"/>
      </w:pPr>
    </w:p>
    <w:p w14:paraId="30FA5049">
      <w:p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合同模板要点（境外采购合同）：</w:t>
      </w:r>
    </w:p>
    <w:p w14:paraId="586A5B22">
      <w:pPr>
        <w:rPr>
          <w:rFonts w:ascii="宋体" w:hAnsi="宋体" w:eastAsia="宋体"/>
          <w:b/>
          <w:sz w:val="22"/>
        </w:rPr>
      </w:pPr>
    </w:p>
    <w:p w14:paraId="6090A47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买卖双方主体（买方：老饶阿斯坦纳公司或郭总有资质公司）</w:t>
      </w:r>
    </w:p>
    <w:p w14:paraId="0CBC195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货物名称、规格、品种（火烧线、扁平线、工业电缆等）</w:t>
      </w:r>
    </w:p>
    <w:p w14:paraId="067898A9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定价方式：按出铜率定价（明确计算公式、扣杂标准）</w:t>
      </w:r>
    </w:p>
    <w:p w14:paraId="3BF4BC4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质量标准、验收方法、索赔条款</w:t>
      </w:r>
    </w:p>
    <w:p w14:paraId="1A967D3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10%境外增值税退税条款（明确退税主体、退税流程）</w:t>
      </w:r>
    </w:p>
    <w:p w14:paraId="2304D964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付款方式与节点</w:t>
      </w:r>
    </w:p>
    <w:p w14:paraId="195D9D0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不可抗力、争议解决（建议仲裁地选中国）</w:t>
      </w:r>
    </w:p>
    <w:p w14:paraId="30C924E6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6B234083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529F0449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53FB9972">
      <w:pPr>
        <w:pStyle w:val="5"/>
        <w:rPr>
          <w:rFonts w:ascii="宋体" w:hAnsi="宋体" w:eastAsia="宋体"/>
          <w:b/>
          <w:color w:val="2E74B5"/>
          <w:sz w:val="26"/>
        </w:rPr>
      </w:pPr>
    </w:p>
    <w:p w14:paraId="2C7D4D12">
      <w:pPr>
        <w:pStyle w:val="5"/>
        <w:rPr>
          <w:rFonts w:ascii="宋体" w:hAnsi="宋体" w:eastAsia="宋体"/>
          <w:b/>
          <w:color w:val="2E74B5"/>
          <w:sz w:val="26"/>
        </w:rPr>
      </w:pPr>
    </w:p>
    <w:p w14:paraId="4DC6C804">
      <w:pPr>
        <w:pStyle w:val="5"/>
        <w:rPr>
          <w:rFonts w:ascii="宋体" w:hAnsi="宋体" w:eastAsia="宋体"/>
          <w:b/>
          <w:color w:val="2E74B5"/>
          <w:sz w:val="26"/>
        </w:rPr>
      </w:pPr>
      <w:r>
        <w:rPr>
          <w:rFonts w:ascii="宋体" w:hAnsi="宋体" w:eastAsia="宋体"/>
          <w:b/>
          <w:color w:val="2E74B5"/>
          <w:sz w:val="26"/>
        </w:rPr>
        <w:t>阶段二：加工环节</w:t>
      </w:r>
    </w:p>
    <w:p w14:paraId="52470A9B"/>
    <w:p w14:paraId="4BED094F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进炉前精确核算损耗（原料杂质 + 熔炼损耗，误差控制在1%以内）</w:t>
      </w:r>
    </w:p>
    <w:p w14:paraId="161D956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如为代加工，签订《加工合同》</w:t>
      </w:r>
    </w:p>
    <w:p w14:paraId="65D2824E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原料过磅记录 + 熔炼后铜锭过磅记录</w:t>
      </w:r>
    </w:p>
    <w:p w14:paraId="77CA78D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成品铜锭品味要求（≥99.5%）</w:t>
      </w:r>
    </w:p>
    <w:p w14:paraId="0A0FA4C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加工完成后结算加工费</w:t>
      </w:r>
    </w:p>
    <w:p w14:paraId="4C62C968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4A218946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42147F91">
      <w:p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合同模板要点（加工合同）：</w:t>
      </w:r>
    </w:p>
    <w:p w14:paraId="4659F2DD">
      <w:pPr>
        <w:rPr>
          <w:rFonts w:ascii="宋体" w:hAnsi="宋体" w:eastAsia="宋体"/>
          <w:b/>
          <w:sz w:val="22"/>
        </w:rPr>
      </w:pPr>
    </w:p>
    <w:p w14:paraId="6F6AC66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原料重量、预计出铜率、允许损耗比例</w:t>
      </w:r>
    </w:p>
    <w:p w14:paraId="13DB659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成品铜锭最低重量标准（例如20吨原料必须产出≥17.94吨铜锭）</w:t>
      </w:r>
    </w:p>
    <w:p w14:paraId="74C7B825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品味标准（低于99.5%如何扣款）</w:t>
      </w:r>
    </w:p>
    <w:p w14:paraId="7FE87BF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加工费结算方式及周期</w:t>
      </w:r>
    </w:p>
    <w:p w14:paraId="0891D7E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双方责任划分及违约责任</w:t>
      </w:r>
    </w:p>
    <w:p w14:paraId="239991F5">
      <w:pPr>
        <w:pStyle w:val="5"/>
        <w:rPr>
          <w:rFonts w:ascii="宋体" w:hAnsi="宋体" w:eastAsia="宋体"/>
          <w:b/>
          <w:color w:val="2E74B5"/>
          <w:sz w:val="26"/>
        </w:rPr>
      </w:pPr>
      <w:r>
        <w:rPr>
          <w:rFonts w:ascii="宋体" w:hAnsi="宋体" w:eastAsia="宋体"/>
          <w:b/>
          <w:color w:val="2E74B5"/>
          <w:sz w:val="26"/>
        </w:rPr>
        <w:t>阶段三：境外装车发运</w:t>
      </w:r>
    </w:p>
    <w:p w14:paraId="7695C440"/>
    <w:p w14:paraId="729647E3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准备全套随车单证（原产地证、检测报告、生产许可证等）</w:t>
      </w:r>
    </w:p>
    <w:p w14:paraId="4D7A3926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委托当地专业报关行报关</w:t>
      </w:r>
    </w:p>
    <w:p w14:paraId="48B35E8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签订《物流运输协议》或《货代协议》</w:t>
      </w:r>
    </w:p>
    <w:p w14:paraId="0C10384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严格控制装车 → 报关 → 离境时间节点</w:t>
      </w:r>
    </w:p>
    <w:p w14:paraId="7806E764">
      <w:pPr>
        <w:pStyle w:val="16"/>
        <w:ind w:left="420"/>
      </w:pPr>
    </w:p>
    <w:p w14:paraId="32CA3DD7">
      <w:p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合同模板要点（物流/货代协议）：</w:t>
      </w:r>
    </w:p>
    <w:p w14:paraId="3EE999D1">
      <w:pPr>
        <w:rPr>
          <w:rFonts w:ascii="宋体" w:hAnsi="宋体" w:eastAsia="宋体"/>
          <w:b/>
          <w:sz w:val="22"/>
        </w:rPr>
      </w:pPr>
    </w:p>
    <w:p w14:paraId="6A412EA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运输路线、时效要求</w:t>
      </w:r>
    </w:p>
    <w:p w14:paraId="421B5C31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延误赔付条款</w:t>
      </w:r>
    </w:p>
    <w:p w14:paraId="4BF6B82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单证不齐导致的滞留费用责任划分</w:t>
      </w:r>
    </w:p>
    <w:p w14:paraId="4278F4D4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保险条款</w:t>
      </w:r>
    </w:p>
    <w:p w14:paraId="33D2DA01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7CBEEC73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78B5CFEB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1A72E6A8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0D801F7C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4F8A7989">
      <w:pPr>
        <w:pStyle w:val="16"/>
        <w:numPr>
          <w:numId w:val="0"/>
        </w:numPr>
        <w:spacing w:after="200" w:line="276" w:lineRule="auto"/>
        <w:contextualSpacing/>
        <w:rPr>
          <w:rFonts w:ascii="宋体" w:hAnsi="宋体" w:eastAsia="宋体"/>
          <w:b w:val="0"/>
          <w:sz w:val="22"/>
        </w:rPr>
      </w:pPr>
    </w:p>
    <w:p w14:paraId="4D1AA7E3">
      <w:pPr>
        <w:pStyle w:val="5"/>
        <w:rPr>
          <w:rFonts w:ascii="宋体" w:hAnsi="宋体" w:eastAsia="宋体"/>
          <w:b/>
          <w:color w:val="2E74B5"/>
          <w:sz w:val="26"/>
        </w:rPr>
      </w:pPr>
      <w:r>
        <w:rPr>
          <w:rFonts w:ascii="宋体" w:hAnsi="宋体" w:eastAsia="宋体"/>
          <w:b/>
          <w:color w:val="2E74B5"/>
          <w:sz w:val="26"/>
        </w:rPr>
        <w:t>阶段四：境内清关与交割</w:t>
      </w:r>
    </w:p>
    <w:p w14:paraId="35ECA028"/>
    <w:p w14:paraId="62A79DE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提前将全部单证转交境内清关公司（业务前置）</w:t>
      </w:r>
    </w:p>
    <w:p w14:paraId="03D6BDE8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清关完成后现场验货</w:t>
      </w:r>
    </w:p>
    <w:p w14:paraId="7CF6BD0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与客户签订《国际贸易合同》</w:t>
      </w:r>
    </w:p>
    <w:p w14:paraId="32B39F1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客户付全款后提货</w:t>
      </w:r>
    </w:p>
    <w:p w14:paraId="784B37A9">
      <w:pPr>
        <w:pStyle w:val="16"/>
        <w:ind w:left="420"/>
      </w:pPr>
    </w:p>
    <w:p w14:paraId="7E8FAA54">
      <w:p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合同模板要点（国际贸易合同）：</w:t>
      </w:r>
    </w:p>
    <w:p w14:paraId="2490C90F">
      <w:pPr>
        <w:rPr>
          <w:rFonts w:ascii="宋体" w:hAnsi="宋体" w:eastAsia="宋体"/>
          <w:b/>
          <w:sz w:val="22"/>
        </w:rPr>
      </w:pPr>
    </w:p>
    <w:p w14:paraId="16A9655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两种交易模式明确约定：</w:t>
      </w:r>
    </w:p>
    <w:p w14:paraId="3E235F21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模式一：签合同当天锁货锁价（可不收定金，交易期15天）</w:t>
      </w:r>
    </w:p>
    <w:p w14:paraId="2F7E59B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模式二：现货全款（必须收取30%以上预付款/定金）</w:t>
      </w:r>
    </w:p>
    <w:p w14:paraId="504C7072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价格条款（长江价下浮比例、基准日确定方式）</w:t>
      </w:r>
    </w:p>
    <w:p w14:paraId="138ED9CF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质量异议期、索赔条款</w:t>
      </w:r>
    </w:p>
    <w:p w14:paraId="1A93D4C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付款方式与节点</w:t>
      </w:r>
    </w:p>
    <w:p w14:paraId="15690ACF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争议解决方式（建议仲裁地选中国）</w:t>
      </w:r>
    </w:p>
    <w:p w14:paraId="2183ED11">
      <w:pPr>
        <w:pStyle w:val="16"/>
        <w:ind w:left="420"/>
      </w:pPr>
    </w:p>
    <w:p w14:paraId="1602EADC">
      <w:pPr>
        <w:pStyle w:val="4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第二部分：针对具体环节的详细优化建议</w:t>
      </w:r>
    </w:p>
    <w:p w14:paraId="7680A204"/>
    <w:p w14:paraId="1581B9F1">
      <w:r>
        <w:rPr>
          <w:rFonts w:ascii="宋体" w:hAnsi="宋体" w:eastAsia="宋体"/>
          <w:b w:val="0"/>
          <w:sz w:val="22"/>
        </w:rPr>
        <w:t>以下针对最核心、最容易出问题的环节——「原料采购环节」进行优化（这是整个业务利润和风险的源头）。</w:t>
      </w:r>
    </w:p>
    <w:p w14:paraId="23C1D787"/>
    <w:p w14:paraId="59EA1DD0">
      <w:r>
        <w:rPr>
          <w:rFonts w:ascii="宋体" w:hAnsi="宋体" w:eastAsia="宋体"/>
          <w:b/>
          <w:sz w:val="22"/>
        </w:rPr>
        <w:t>▶ 采购主体规范化</w:t>
      </w:r>
    </w:p>
    <w:p w14:paraId="0685DC11">
      <w:pPr>
        <w:ind w:left="420"/>
      </w:pPr>
      <w:r>
        <w:rPr>
          <w:rFonts w:ascii="宋体" w:hAnsi="宋体" w:eastAsia="宋体"/>
          <w:b w:val="0"/>
          <w:sz w:val="22"/>
        </w:rPr>
        <w:t>尽快完成"老饶阿斯坦纳公司"的采购资质办理，或固定使用郭总有资质的公司作为长期采购主体，避免频繁更换主体导致退税和合规风险。</w:t>
      </w:r>
    </w:p>
    <w:p w14:paraId="6D230D25"/>
    <w:p w14:paraId="394E43BF">
      <w:r>
        <w:rPr>
          <w:rFonts w:ascii="宋体" w:hAnsi="宋体" w:eastAsia="宋体"/>
          <w:b/>
          <w:sz w:val="22"/>
        </w:rPr>
        <w:t>▶ 付款方式优化</w:t>
      </w:r>
    </w:p>
    <w:p w14:paraId="1EC6D65D">
      <w:pPr>
        <w:ind w:left="420"/>
      </w:pPr>
      <w:r>
        <w:rPr>
          <w:rFonts w:ascii="宋体" w:hAnsi="宋体" w:eastAsia="宋体"/>
          <w:b w:val="0"/>
          <w:sz w:val="22"/>
        </w:rPr>
        <w:t>当前"货到工厂二次验货后全款"资金占用过高。建议：与优质卖方谈判采用 30%-50% 预付款 + 工厂二次验货合格后付清尾款 的模式，明显降低资金压力。</w:t>
      </w:r>
    </w:p>
    <w:p w14:paraId="26D54322"/>
    <w:p w14:paraId="492AB31B"/>
    <w:p w14:paraId="2817FCCB"/>
    <w:p w14:paraId="5DD295F5"/>
    <w:p w14:paraId="0D69B9EE">
      <w:p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▶ 合同标准化</w:t>
      </w:r>
    </w:p>
    <w:p w14:paraId="0C8B747F">
      <w:pPr>
        <w:rPr>
          <w:rFonts w:ascii="宋体" w:hAnsi="宋体" w:eastAsia="宋体"/>
          <w:b/>
          <w:sz w:val="22"/>
        </w:rPr>
      </w:pPr>
    </w:p>
    <w:p w14:paraId="36144F35">
      <w:pPr>
        <w:ind w:left="420"/>
      </w:pPr>
      <w:r>
        <w:rPr>
          <w:rFonts w:ascii="宋体" w:hAnsi="宋体" w:eastAsia="宋体"/>
          <w:b w:val="0"/>
          <w:sz w:val="22"/>
        </w:rPr>
        <w:t>制作《境外废旧电缆线采购合同模板》，固定关键条款：出铜率计算公式、杂质扣款标准（分品种明确）、货权真实性承诺及违约责任、10%增值税退税条款及退税流程约定、索赔与仲裁条款。</w:t>
      </w:r>
    </w:p>
    <w:p w14:paraId="45D22FEE"/>
    <w:p w14:paraId="2E65F9D2">
      <w:pPr>
        <w:rPr>
          <w:rFonts w:ascii="宋体" w:hAnsi="宋体" w:eastAsia="宋体"/>
          <w:b/>
          <w:sz w:val="22"/>
        </w:rPr>
      </w:pPr>
      <w:r>
        <w:rPr>
          <w:rFonts w:ascii="宋体" w:hAnsi="宋体" w:eastAsia="宋体"/>
          <w:b/>
          <w:sz w:val="22"/>
        </w:rPr>
        <w:t>▶ 验货流程标准化</w:t>
      </w:r>
    </w:p>
    <w:p w14:paraId="137EDA7D">
      <w:pPr>
        <w:rPr>
          <w:rFonts w:ascii="宋体" w:hAnsi="宋体" w:eastAsia="宋体"/>
          <w:b/>
          <w:sz w:val="22"/>
        </w:rPr>
      </w:pPr>
    </w:p>
    <w:p w14:paraId="35028B5D">
      <w:pPr>
        <w:ind w:left="420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制定《原料验货SOP》，包括：现场验货 checklist（品种、重量、照片、取样）、工厂二次验货流程（过磅 + 抽样送检）、验收不合格的处理流程。</w:t>
      </w:r>
    </w:p>
    <w:p w14:paraId="183FBFC9">
      <w:pPr>
        <w:ind w:left="420"/>
        <w:rPr>
          <w:rFonts w:ascii="宋体" w:hAnsi="宋体" w:eastAsia="宋体"/>
          <w:b w:val="0"/>
          <w:sz w:val="22"/>
        </w:rPr>
      </w:pPr>
    </w:p>
    <w:p w14:paraId="4BDEECC5">
      <w:pPr>
        <w:pStyle w:val="4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第三部分：完整业务流程 SOP（标准作业流程）</w:t>
      </w:r>
    </w:p>
    <w:p w14:paraId="616DD2D7"/>
    <w:p w14:paraId="7C9696C1">
      <w:r>
        <w:rPr>
          <w:rFonts w:ascii="宋体" w:hAnsi="宋体" w:eastAsia="宋体"/>
          <w:b w:val="0"/>
          <w:sz w:val="22"/>
        </w:rPr>
        <w:t>文件名称：哈萨克斯坦废旧电缆线进口加工铜锭业务 SOP　版本：v1.0</w:t>
      </w:r>
    </w:p>
    <w:p w14:paraId="479804A3">
      <w:r>
        <w:rPr>
          <w:rFonts w:ascii="宋体" w:hAnsi="宋体" w:eastAsia="宋体"/>
          <w:b w:val="0"/>
          <w:sz w:val="22"/>
        </w:rPr>
        <w:t>适用部门：外贸业务部、采购部、加工厂、物流部</w:t>
      </w:r>
    </w:p>
    <w:p w14:paraId="7C744A93"/>
    <w:p w14:paraId="2CB9ED30">
      <w:pPr>
        <w:pStyle w:val="5"/>
        <w:numPr>
          <w:ilvl w:val="0"/>
          <w:numId w:val="7"/>
        </w:numPr>
        <w:rPr>
          <w:rFonts w:ascii="宋体" w:hAnsi="宋体" w:eastAsia="宋体"/>
          <w:b/>
          <w:color w:val="2E74B5"/>
          <w:sz w:val="26"/>
        </w:rPr>
      </w:pPr>
      <w:r>
        <w:rPr>
          <w:rFonts w:ascii="宋体" w:hAnsi="宋体" w:eastAsia="宋体"/>
          <w:b/>
          <w:color w:val="2E74B5"/>
          <w:sz w:val="26"/>
        </w:rPr>
        <w:t>采购阶段 SOP</w:t>
      </w:r>
    </w:p>
    <w:p w14:paraId="3C50A149">
      <w:pPr>
        <w:numPr>
          <w:ilvl w:val="0"/>
          <w:numId w:val="7"/>
        </w:numPr>
      </w:pPr>
    </w:p>
    <w:p w14:paraId="01C0CB84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步骤1：筛选卖方 → 确认资质 + 签订《境外采购合同》</w:t>
      </w:r>
    </w:p>
    <w:p w14:paraId="7AC920A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步骤2：货权确认 + 现场验货 + 过磅 + 拍照</w:t>
      </w:r>
    </w:p>
    <w:p w14:paraId="64C8F897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步骤3：装车 → 发运至加工厂</w:t>
      </w:r>
    </w:p>
    <w:p w14:paraId="13776019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步骤4：工厂二次验货 → 合格后支付货款</w:t>
      </w:r>
    </w:p>
    <w:p w14:paraId="04AE5F50"/>
    <w:p w14:paraId="11590409">
      <w:pPr>
        <w:pStyle w:val="5"/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color w:val="2E74B5"/>
          <w:sz w:val="26"/>
        </w:rPr>
      </w:pPr>
      <w:r>
        <w:rPr>
          <w:rFonts w:ascii="宋体" w:hAnsi="宋体" w:eastAsia="宋体"/>
          <w:b/>
          <w:color w:val="2E74B5"/>
          <w:sz w:val="26"/>
        </w:rPr>
        <w:t>加工阶段 SOP</w:t>
      </w:r>
    </w:p>
    <w:p w14:paraId="7F7B9F33">
      <w:pPr>
        <w:numPr>
          <w:ilvl w:val="0"/>
          <w:numId w:val="7"/>
        </w:numPr>
        <w:ind w:left="0" w:leftChars="0" w:firstLine="0" w:firstLineChars="0"/>
      </w:pPr>
    </w:p>
    <w:p w14:paraId="2912434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步骤1：进炉前精确核算损耗（误差≤1%）</w:t>
      </w:r>
    </w:p>
    <w:p w14:paraId="7419F21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步骤2：签订/执行《加工合同》（代加工时）</w:t>
      </w:r>
    </w:p>
    <w:p w14:paraId="3EF0E7F3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步骤3：熔炼 → 冷却 → 过磅 → 品味检测</w:t>
      </w:r>
    </w:p>
    <w:p w14:paraId="260485D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步骤4：加工完成结算</w:t>
      </w:r>
    </w:p>
    <w:p w14:paraId="5A6A88FA"/>
    <w:p w14:paraId="7E56CFF2">
      <w:pPr>
        <w:pStyle w:val="5"/>
        <w:numPr>
          <w:ilvl w:val="0"/>
          <w:numId w:val="8"/>
        </w:numPr>
        <w:rPr>
          <w:rFonts w:ascii="宋体" w:hAnsi="宋体" w:eastAsia="宋体"/>
          <w:b/>
          <w:color w:val="2E74B5"/>
          <w:sz w:val="26"/>
        </w:rPr>
      </w:pPr>
      <w:r>
        <w:rPr>
          <w:rFonts w:ascii="宋体" w:hAnsi="宋体" w:eastAsia="宋体"/>
          <w:b/>
          <w:color w:val="2E74B5"/>
          <w:sz w:val="26"/>
        </w:rPr>
        <w:t>境外发运阶段 SOP</w:t>
      </w:r>
    </w:p>
    <w:p w14:paraId="51C6726F">
      <w:pPr>
        <w:numPr>
          <w:ilvl w:val="0"/>
          <w:numId w:val="8"/>
        </w:numPr>
      </w:pPr>
    </w:p>
    <w:p w14:paraId="2FF14C4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步骤1：准备全套随车单证</w:t>
      </w:r>
    </w:p>
    <w:p w14:paraId="4C4012AA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步骤2：委托报关行报关</w:t>
      </w:r>
    </w:p>
    <w:p w14:paraId="6D886C3C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步骤3：签订物流/货代协议</w:t>
      </w:r>
    </w:p>
    <w:p w14:paraId="758F4B25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步骤4：监控装车 → 报关 → 离境时间节点</w:t>
      </w:r>
    </w:p>
    <w:p w14:paraId="73AA0F72"/>
    <w:p w14:paraId="2B0B37E4">
      <w:pPr>
        <w:pStyle w:val="5"/>
        <w:numPr>
          <w:ilvl w:val="0"/>
          <w:numId w:val="8"/>
        </w:numPr>
        <w:ind w:left="0" w:leftChars="0" w:firstLine="0" w:firstLineChars="0"/>
        <w:rPr>
          <w:rFonts w:ascii="宋体" w:hAnsi="宋体" w:eastAsia="宋体"/>
          <w:b/>
          <w:color w:val="2E74B5"/>
          <w:sz w:val="26"/>
        </w:rPr>
      </w:pPr>
      <w:r>
        <w:rPr>
          <w:rFonts w:ascii="宋体" w:hAnsi="宋体" w:eastAsia="宋体"/>
          <w:b/>
          <w:color w:val="2E74B5"/>
          <w:sz w:val="26"/>
        </w:rPr>
        <w:t>境内清关与交割阶段 SOP</w:t>
      </w:r>
    </w:p>
    <w:p w14:paraId="70C627AF">
      <w:pPr>
        <w:numPr>
          <w:ilvl w:val="0"/>
          <w:numId w:val="8"/>
        </w:numPr>
        <w:ind w:left="0" w:leftChars="0" w:firstLine="0" w:firstLineChars="0"/>
      </w:pPr>
      <w:bookmarkStart w:id="0" w:name="_GoBack"/>
      <w:bookmarkEnd w:id="0"/>
    </w:p>
    <w:p w14:paraId="7211EC0B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步骤1：提前转交单证给境内清关公司</w:t>
      </w:r>
    </w:p>
    <w:p w14:paraId="5ED80CA0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步骤2：清关完成后现场验货</w:t>
      </w:r>
    </w:p>
    <w:p w14:paraId="0700657D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步骤3：签订《国际贸易合同》</w:t>
      </w:r>
    </w:p>
    <w:p w14:paraId="52CCEBA6">
      <w:pPr>
        <w:pStyle w:val="16"/>
        <w:ind w:left="420"/>
      </w:pPr>
      <w:r>
        <w:rPr>
          <w:rFonts w:ascii="宋体" w:hAnsi="宋体" w:eastAsia="宋体"/>
          <w:b w:val="0"/>
          <w:sz w:val="22"/>
        </w:rPr>
        <w:t>步骤4：客户付全款 → 提货交割</w:t>
      </w:r>
    </w:p>
    <w:p w14:paraId="298CFADC"/>
    <w:p w14:paraId="1A0420E0">
      <w:r>
        <w:rPr>
          <w:rFonts w:ascii="宋体" w:hAnsi="宋体" w:eastAsia="宋体"/>
          <w:b w:val="0"/>
          <w:sz w:val="22"/>
        </w:rPr>
        <w:t>每个阶段均需填写《业务流程记录表》，记录关键节点、责任人、时间、异常情况。</w:t>
      </w:r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C578962"/>
    <w:multiLevelType w:val="singleLevel"/>
    <w:tmpl w:val="0C578962"/>
    <w:lvl w:ilvl="0" w:tentative="0">
      <w:start w:val="3"/>
      <w:numFmt w:val="decimal"/>
      <w:suff w:val="space"/>
      <w:lvlText w:val="%1."/>
      <w:lvlJc w:val="left"/>
    </w:lvl>
  </w:abstractNum>
  <w:abstractNum w:abstractNumId="7">
    <w:nsid w:val="26C9466D"/>
    <w:multiLevelType w:val="singleLevel"/>
    <w:tmpl w:val="26C9466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95365B"/>
    <w:rsid w:val="38E4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1644</Words>
  <Characters>1707</Characters>
  <Lines>0</Lines>
  <Paragraphs>0</Paragraphs>
  <TotalTime>1</TotalTime>
  <ScaleCrop>false</ScaleCrop>
  <LinksUpToDate>false</LinksUpToDate>
  <CharactersWithSpaces>1776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赵威</cp:lastModifiedBy>
  <dcterms:modified xsi:type="dcterms:W3CDTF">2026-05-10T06:00:01Z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eyJoZGlkIjoiMjFkYmEyODMxMWVkNTJlODExMGQ4MjljOWE3NGRlM2UiLCJ1c2VySWQiOiIzNzYzMjgzNTMifQ==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8B781C75B8004B05B3DBE07B0119E592_12</vt:lpwstr>
  </property>
</Properties>
</file>