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B1288">
      <w:pPr>
        <w:pStyle w:val="3"/>
        <w:jc w:val="center"/>
      </w:pPr>
      <w:r>
        <w:rPr>
          <w:rFonts w:ascii="宋体" w:hAnsi="宋体" w:eastAsia="宋体"/>
          <w:b/>
          <w:color w:val="1F497D"/>
          <w:sz w:val="36"/>
        </w:rPr>
        <w:t>铜锭进口业务风险管理策略（专业版）</w:t>
      </w:r>
    </w:p>
    <w:p w14:paraId="6ABDE631">
      <w:pPr>
        <w:pBdr>
          <w:bottom w:val="single" w:color="2E74B5" w:sz="6" w:space="1"/>
        </w:pBdr>
      </w:pPr>
    </w:p>
    <w:p w14:paraId="4A2C0C16">
      <w:pPr>
        <w:rPr>
          <w:rFonts w:ascii="宋体" w:hAnsi="宋体" w:eastAsia="宋体"/>
          <w:b w:val="0"/>
          <w:sz w:val="22"/>
        </w:rPr>
      </w:pPr>
    </w:p>
    <w:p w14:paraId="2F9D084D">
      <w:pPr>
        <w:rPr>
          <w:rFonts w:ascii="宋体" w:hAnsi="宋体" w:eastAsia="宋体"/>
          <w:b w:val="0"/>
          <w:sz w:val="22"/>
        </w:rPr>
      </w:pPr>
      <w:bookmarkStart w:id="0" w:name="_GoBack"/>
      <w:bookmarkEnd w:id="0"/>
      <w:r>
        <w:rPr>
          <w:rFonts w:ascii="宋体" w:hAnsi="宋体" w:eastAsia="宋体"/>
          <w:b w:val="0"/>
          <w:sz w:val="22"/>
        </w:rPr>
        <w:t>文档名称：哈萨克斯坦铜锭进口业务风险管理策略 v1.0</w:t>
      </w:r>
    </w:p>
    <w:p w14:paraId="796391D9">
      <w:pPr>
        <w:rPr>
          <w:rFonts w:ascii="宋体" w:hAnsi="宋体" w:eastAsia="宋体"/>
          <w:b w:val="0"/>
          <w:sz w:val="22"/>
        </w:rPr>
      </w:pPr>
    </w:p>
    <w:p w14:paraId="7FACB2BB">
      <w:r>
        <w:rPr>
          <w:rFonts w:ascii="宋体" w:hAnsi="宋体" w:eastAsia="宋体"/>
          <w:b w:val="0"/>
          <w:sz w:val="22"/>
        </w:rPr>
        <w:t>适用范围：全流程风险管控　制定日期：2026年</w:t>
      </w:r>
    </w:p>
    <w:p w14:paraId="6F66FB50"/>
    <w:p w14:paraId="7FCA1509">
      <w:pPr>
        <w:pStyle w:val="4"/>
        <w:numPr>
          <w:ilvl w:val="0"/>
          <w:numId w:val="7"/>
        </w:numPr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总体风险管理原则</w:t>
      </w:r>
    </w:p>
    <w:p w14:paraId="2A76F8A6">
      <w:pPr>
        <w:numPr>
          <w:ilvl w:val="0"/>
          <w:numId w:val="7"/>
        </w:numPr>
      </w:pPr>
    </w:p>
    <w:p w14:paraId="264CCAD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风险优先：所有业务决策必须先评估风险，再考虑利润</w:t>
      </w:r>
    </w:p>
    <w:p w14:paraId="7FA360D7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7D46B39E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613CB9F7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分级管控：高风险环节设置双人审核 + 审批流程</w:t>
      </w:r>
    </w:p>
    <w:p w14:paraId="127982A5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779C6D86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2E099585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闭环管理：风险识别 → 评估 → 应对 → 监控 → 复盘</w:t>
      </w:r>
    </w:p>
    <w:p w14:paraId="55687DDE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34D39503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329305C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止损原则：单笔业务最大可承受损失不超过总资金的8%</w:t>
      </w:r>
      <w:r>
        <w:br w:type="page"/>
      </w:r>
    </w:p>
    <w:p w14:paraId="03503711">
      <w:pPr>
        <w:pStyle w:val="4"/>
        <w:rPr>
          <w:rFonts w:ascii="宋体" w:hAnsi="宋体" w:eastAsia="宋体"/>
          <w:b/>
          <w:color w:val="2E74B5"/>
          <w:sz w:val="30"/>
        </w:rPr>
      </w:pPr>
    </w:p>
    <w:p w14:paraId="4169003F">
      <w:pPr>
        <w:pStyle w:val="4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主要风险清单与应对策略</w:t>
      </w:r>
    </w:p>
    <w:p w14:paraId="0DBE9982">
      <w:pPr>
        <w:numPr>
          <w:ilvl w:val="0"/>
          <w:numId w:val="0"/>
        </w:numPr>
        <w:ind w:leftChars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1516"/>
        <w:gridCol w:w="1516"/>
        <w:gridCol w:w="1516"/>
        <w:gridCol w:w="1516"/>
        <w:gridCol w:w="1516"/>
      </w:tblGrid>
      <w:tr w14:paraId="21EB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516" w:type="dxa"/>
            <w:shd w:val="clear" w:color="auto" w:fill="2E74B5"/>
          </w:tcPr>
          <w:p w14:paraId="0ACEB22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风险类别</w:t>
            </w:r>
          </w:p>
        </w:tc>
        <w:tc>
          <w:tcPr>
            <w:tcW w:w="1516" w:type="dxa"/>
            <w:shd w:val="clear" w:color="auto" w:fill="2E74B5"/>
          </w:tcPr>
          <w:p w14:paraId="574D4D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具体风险点</w:t>
            </w:r>
          </w:p>
        </w:tc>
        <w:tc>
          <w:tcPr>
            <w:tcW w:w="1516" w:type="dxa"/>
            <w:shd w:val="clear" w:color="auto" w:fill="2E74B5"/>
          </w:tcPr>
          <w:p w14:paraId="55F55B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风险等级</w:t>
            </w:r>
          </w:p>
        </w:tc>
        <w:tc>
          <w:tcPr>
            <w:tcW w:w="1516" w:type="dxa"/>
            <w:shd w:val="clear" w:color="auto" w:fill="2E74B5"/>
          </w:tcPr>
          <w:p w14:paraId="1D3B52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应对策略</w:t>
            </w:r>
          </w:p>
        </w:tc>
        <w:tc>
          <w:tcPr>
            <w:tcW w:w="1516" w:type="dxa"/>
            <w:shd w:val="clear" w:color="auto" w:fill="2E74B5"/>
          </w:tcPr>
          <w:p w14:paraId="583D8B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责任人</w:t>
            </w:r>
          </w:p>
        </w:tc>
        <w:tc>
          <w:tcPr>
            <w:tcW w:w="1516" w:type="dxa"/>
            <w:shd w:val="clear" w:color="auto" w:fill="2E74B5"/>
          </w:tcPr>
          <w:p w14:paraId="36D68F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监控频率</w:t>
            </w:r>
          </w:p>
        </w:tc>
      </w:tr>
      <w:tr w14:paraId="08358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1516" w:type="dxa"/>
          </w:tcPr>
          <w:p w14:paraId="20F853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采购风险</w:t>
            </w:r>
          </w:p>
        </w:tc>
        <w:tc>
          <w:tcPr>
            <w:tcW w:w="1516" w:type="dxa"/>
          </w:tcPr>
          <w:p w14:paraId="094713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卖方货权不清晰</w:t>
            </w:r>
          </w:p>
        </w:tc>
        <w:tc>
          <w:tcPr>
            <w:tcW w:w="1516" w:type="dxa"/>
          </w:tcPr>
          <w:p w14:paraId="56D175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w="1516" w:type="dxa"/>
          </w:tcPr>
          <w:p w14:paraId="35241B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必须双重验证（合同+现场+第三方）</w:t>
            </w:r>
          </w:p>
        </w:tc>
        <w:tc>
          <w:tcPr>
            <w:tcW w:w="1516" w:type="dxa"/>
          </w:tcPr>
          <w:p w14:paraId="22A2EB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采购经理</w:t>
            </w:r>
          </w:p>
        </w:tc>
        <w:tc>
          <w:tcPr>
            <w:tcW w:w="1516" w:type="dxa"/>
          </w:tcPr>
          <w:p w14:paraId="7E448C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每次采购</w:t>
            </w:r>
          </w:p>
        </w:tc>
      </w:tr>
      <w:tr w14:paraId="6D0F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1516" w:type="dxa"/>
            <w:shd w:val="clear" w:color="auto" w:fill="DEEAF1"/>
          </w:tcPr>
          <w:p w14:paraId="7DF3A3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采购风险</w:t>
            </w:r>
          </w:p>
        </w:tc>
        <w:tc>
          <w:tcPr>
            <w:tcW w:w="1516" w:type="dxa"/>
            <w:shd w:val="clear" w:color="auto" w:fill="DEEAF1"/>
          </w:tcPr>
          <w:p w14:paraId="2F9BCE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出铜率严重偏差</w:t>
            </w:r>
          </w:p>
        </w:tc>
        <w:tc>
          <w:tcPr>
            <w:tcW w:w="1516" w:type="dxa"/>
            <w:shd w:val="clear" w:color="auto" w:fill="DEEAF1"/>
          </w:tcPr>
          <w:p w14:paraId="4E23E6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w="1516" w:type="dxa"/>
            <w:shd w:val="clear" w:color="auto" w:fill="DEEAF1"/>
          </w:tcPr>
          <w:p w14:paraId="16E1AD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合同约定±1%误差范围，超标扣款或退货</w:t>
            </w:r>
          </w:p>
        </w:tc>
        <w:tc>
          <w:tcPr>
            <w:tcW w:w="1516" w:type="dxa"/>
            <w:shd w:val="clear" w:color="auto" w:fill="DEEAF1"/>
          </w:tcPr>
          <w:p w14:paraId="252FE9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采购+质检</w:t>
            </w:r>
          </w:p>
        </w:tc>
        <w:tc>
          <w:tcPr>
            <w:tcW w:w="1516" w:type="dxa"/>
            <w:shd w:val="clear" w:color="auto" w:fill="DEEAF1"/>
          </w:tcPr>
          <w:p w14:paraId="08F7CB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每次验货</w:t>
            </w:r>
          </w:p>
        </w:tc>
      </w:tr>
      <w:tr w14:paraId="4D9E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1516" w:type="dxa"/>
          </w:tcPr>
          <w:p w14:paraId="428A9D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加工风险</w:t>
            </w:r>
          </w:p>
        </w:tc>
        <w:tc>
          <w:tcPr>
            <w:tcW w:w="1516" w:type="dxa"/>
          </w:tcPr>
          <w:p w14:paraId="56626B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加工厂突发停工</w:t>
            </w:r>
          </w:p>
        </w:tc>
        <w:tc>
          <w:tcPr>
            <w:tcW w:w="1516" w:type="dxa"/>
          </w:tcPr>
          <w:p w14:paraId="4EEF88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w="1516" w:type="dxa"/>
          </w:tcPr>
          <w:p w14:paraId="4D4EB9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签订备用加工厂协议，提前锁定产能</w:t>
            </w:r>
          </w:p>
        </w:tc>
        <w:tc>
          <w:tcPr>
            <w:tcW w:w="1516" w:type="dxa"/>
          </w:tcPr>
          <w:p w14:paraId="455100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项目负责人</w:t>
            </w:r>
          </w:p>
        </w:tc>
        <w:tc>
          <w:tcPr>
            <w:tcW w:w="1516" w:type="dxa"/>
          </w:tcPr>
          <w:p w14:paraId="03FF67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</w:tr>
      <w:tr w14:paraId="62B7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1516" w:type="dxa"/>
            <w:shd w:val="clear" w:color="auto" w:fill="DEEAF1"/>
          </w:tcPr>
          <w:p w14:paraId="002AA2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加工风险</w:t>
            </w:r>
          </w:p>
        </w:tc>
        <w:tc>
          <w:tcPr>
            <w:tcW w:w="1516" w:type="dxa"/>
            <w:shd w:val="clear" w:color="auto" w:fill="DEEAF1"/>
          </w:tcPr>
          <w:p w14:paraId="30646A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成品品味不达标</w:t>
            </w:r>
          </w:p>
        </w:tc>
        <w:tc>
          <w:tcPr>
            <w:tcW w:w="1516" w:type="dxa"/>
            <w:shd w:val="clear" w:color="auto" w:fill="DEEAF1"/>
          </w:tcPr>
          <w:p w14:paraId="300A1B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w="1516" w:type="dxa"/>
            <w:shd w:val="clear" w:color="auto" w:fill="DEEAF1"/>
          </w:tcPr>
          <w:p w14:paraId="3047DE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合同约定低于99.5%扣款标准</w:t>
            </w:r>
          </w:p>
        </w:tc>
        <w:tc>
          <w:tcPr>
            <w:tcW w:w="1516" w:type="dxa"/>
            <w:shd w:val="clear" w:color="auto" w:fill="DEEAF1"/>
          </w:tcPr>
          <w:p w14:paraId="568A12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质检</w:t>
            </w:r>
          </w:p>
        </w:tc>
        <w:tc>
          <w:tcPr>
            <w:tcW w:w="1516" w:type="dxa"/>
            <w:shd w:val="clear" w:color="auto" w:fill="DEEAF1"/>
          </w:tcPr>
          <w:p w14:paraId="3C1453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每批次</w:t>
            </w:r>
          </w:p>
        </w:tc>
      </w:tr>
      <w:tr w14:paraId="6C02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1516" w:type="dxa"/>
          </w:tcPr>
          <w:p w14:paraId="49E943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物流风险</w:t>
            </w:r>
          </w:p>
        </w:tc>
        <w:tc>
          <w:tcPr>
            <w:tcW w:w="1516" w:type="dxa"/>
          </w:tcPr>
          <w:p w14:paraId="335EEE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单证不齐导致滞留</w:t>
            </w:r>
          </w:p>
        </w:tc>
        <w:tc>
          <w:tcPr>
            <w:tcW w:w="1516" w:type="dxa"/>
          </w:tcPr>
          <w:p w14:paraId="321454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w="1516" w:type="dxa"/>
          </w:tcPr>
          <w:p w14:paraId="556CBE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提前核查单证清单，专人负责</w:t>
            </w:r>
          </w:p>
        </w:tc>
        <w:tc>
          <w:tcPr>
            <w:tcW w:w="1516" w:type="dxa"/>
          </w:tcPr>
          <w:p w14:paraId="59F943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物流专员</w:t>
            </w:r>
          </w:p>
        </w:tc>
        <w:tc>
          <w:tcPr>
            <w:tcW w:w="1516" w:type="dxa"/>
          </w:tcPr>
          <w:p w14:paraId="42457A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每次发运</w:t>
            </w:r>
          </w:p>
        </w:tc>
      </w:tr>
      <w:tr w14:paraId="4F804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1516" w:type="dxa"/>
            <w:shd w:val="clear" w:color="auto" w:fill="DEEAF1"/>
          </w:tcPr>
          <w:p w14:paraId="38DD7F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清关风险</w:t>
            </w:r>
          </w:p>
        </w:tc>
        <w:tc>
          <w:tcPr>
            <w:tcW w:w="1516" w:type="dxa"/>
            <w:shd w:val="clear" w:color="auto" w:fill="DEEAF1"/>
          </w:tcPr>
          <w:p w14:paraId="7929ED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政策变化导致清关受阻</w:t>
            </w:r>
          </w:p>
        </w:tc>
        <w:tc>
          <w:tcPr>
            <w:tcW w:w="1516" w:type="dxa"/>
            <w:shd w:val="clear" w:color="auto" w:fill="DEEAF1"/>
          </w:tcPr>
          <w:p w14:paraId="5341CC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w="1516" w:type="dxa"/>
            <w:shd w:val="clear" w:color="auto" w:fill="DEEAF1"/>
          </w:tcPr>
          <w:p w14:paraId="0523F4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启动备用清关渠道，提前预案</w:t>
            </w:r>
          </w:p>
        </w:tc>
        <w:tc>
          <w:tcPr>
            <w:tcW w:w="1516" w:type="dxa"/>
            <w:shd w:val="clear" w:color="auto" w:fill="DEEAF1"/>
          </w:tcPr>
          <w:p w14:paraId="330548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清关专员</w:t>
            </w:r>
          </w:p>
        </w:tc>
        <w:tc>
          <w:tcPr>
            <w:tcW w:w="1516" w:type="dxa"/>
            <w:shd w:val="clear" w:color="auto" w:fill="DEEAF1"/>
          </w:tcPr>
          <w:p w14:paraId="7B8D24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每月</w:t>
            </w:r>
          </w:p>
        </w:tc>
      </w:tr>
      <w:tr w14:paraId="5137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1516" w:type="dxa"/>
          </w:tcPr>
          <w:p w14:paraId="40B2E7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资金风险</w:t>
            </w:r>
          </w:p>
        </w:tc>
        <w:tc>
          <w:tcPr>
            <w:tcW w:w="1516" w:type="dxa"/>
          </w:tcPr>
          <w:p w14:paraId="11AFC8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客户付款违约</w:t>
            </w:r>
          </w:p>
        </w:tc>
        <w:tc>
          <w:tcPr>
            <w:tcW w:w="1516" w:type="dxa"/>
          </w:tcPr>
          <w:p w14:paraId="5D8BBF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w="1516" w:type="dxa"/>
          </w:tcPr>
          <w:p w14:paraId="0EB230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收取30%以上定金，合同约定违约金</w:t>
            </w:r>
          </w:p>
        </w:tc>
        <w:tc>
          <w:tcPr>
            <w:tcW w:w="1516" w:type="dxa"/>
          </w:tcPr>
          <w:p w14:paraId="69FE53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财务</w:t>
            </w:r>
          </w:p>
        </w:tc>
        <w:tc>
          <w:tcPr>
            <w:tcW w:w="1516" w:type="dxa"/>
          </w:tcPr>
          <w:p w14:paraId="7B5C82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每笔交易</w:t>
            </w:r>
          </w:p>
        </w:tc>
      </w:tr>
      <w:tr w14:paraId="056D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2" w:hRule="atLeast"/>
          <w:jc w:val="center"/>
        </w:trPr>
        <w:tc>
          <w:tcPr>
            <w:tcW w:w="1516" w:type="dxa"/>
            <w:shd w:val="clear" w:color="auto" w:fill="DEEAF1"/>
          </w:tcPr>
          <w:p w14:paraId="2721C5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汇率风险</w:t>
            </w:r>
          </w:p>
        </w:tc>
        <w:tc>
          <w:tcPr>
            <w:tcW w:w="1516" w:type="dxa"/>
            <w:shd w:val="clear" w:color="auto" w:fill="DEEAF1"/>
          </w:tcPr>
          <w:p w14:paraId="47EAD6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汇率大幅波动</w:t>
            </w:r>
          </w:p>
        </w:tc>
        <w:tc>
          <w:tcPr>
            <w:tcW w:w="1516" w:type="dxa"/>
            <w:shd w:val="clear" w:color="auto" w:fill="DEEAF1"/>
          </w:tcPr>
          <w:p w14:paraId="7C6996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w="1516" w:type="dxa"/>
            <w:shd w:val="clear" w:color="auto" w:fill="DEEAF1"/>
          </w:tcPr>
          <w:p w14:paraId="512D75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及时换汇，必要时使用远期合约对冲</w:t>
            </w:r>
          </w:p>
        </w:tc>
        <w:tc>
          <w:tcPr>
            <w:tcW w:w="1516" w:type="dxa"/>
            <w:shd w:val="clear" w:color="auto" w:fill="DEEAF1"/>
          </w:tcPr>
          <w:p w14:paraId="50EA7C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财务</w:t>
            </w:r>
          </w:p>
        </w:tc>
        <w:tc>
          <w:tcPr>
            <w:tcW w:w="1516" w:type="dxa"/>
            <w:shd w:val="clear" w:color="auto" w:fill="DEEAF1"/>
          </w:tcPr>
          <w:p w14:paraId="637C8D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</w:tr>
    </w:tbl>
    <w:p w14:paraId="07334912"/>
    <w:p w14:paraId="1B75367A">
      <w:r>
        <w:br w:type="page"/>
      </w:r>
    </w:p>
    <w:p w14:paraId="06DBFF25">
      <w:pPr>
        <w:pStyle w:val="4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风险分级与审批权限</w:t>
      </w:r>
    </w:p>
    <w:p w14:paraId="025DE4B9">
      <w:pPr>
        <w:numPr>
          <w:ilvl w:val="0"/>
          <w:numId w:val="0"/>
        </w:numPr>
        <w:ind w:leftChars="0"/>
      </w:pPr>
    </w:p>
    <w:p w14:paraId="6EBF0489">
      <w:pPr>
        <w:numPr>
          <w:ilvl w:val="0"/>
          <w:numId w:val="0"/>
        </w:numPr>
        <w:ind w:leftChars="0"/>
      </w:pPr>
    </w:p>
    <w:p w14:paraId="0CA77793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低风险：部门主管审批</w:t>
      </w:r>
    </w:p>
    <w:p w14:paraId="0E622BF6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3B4B0C7B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72BEB7E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中风险：项目负责人 + 财务总监联合审批</w:t>
      </w:r>
    </w:p>
    <w:p w14:paraId="663D2FE5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20BFFE1D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4CA3EF1F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高风险：总经理审批 + 风控委员会评审</w:t>
      </w:r>
    </w:p>
    <w:p w14:paraId="4DAEE314">
      <w:r>
        <w:br w:type="page"/>
      </w:r>
    </w:p>
    <w:p w14:paraId="10A64847">
      <w:pPr>
        <w:pStyle w:val="4"/>
      </w:pPr>
      <w:r>
        <w:rPr>
          <w:rFonts w:ascii="宋体" w:hAnsi="宋体" w:eastAsia="宋体"/>
          <w:b/>
          <w:color w:val="2E74B5"/>
          <w:sz w:val="30"/>
        </w:rPr>
        <w:t>四、关键风控措施（必须执行）</w:t>
      </w:r>
    </w:p>
    <w:p w14:paraId="12A81702">
      <w:r>
        <w:rPr>
          <w:rFonts w:ascii="宋体" w:hAnsi="宋体" w:eastAsia="宋体"/>
          <w:b/>
          <w:sz w:val="22"/>
        </w:rPr>
        <w:t>▶ 资金风控</w:t>
      </w:r>
    </w:p>
    <w:p w14:paraId="5B70179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单笔业务资金占用不超过公司流动资金的25%</w:t>
      </w:r>
    </w:p>
    <w:p w14:paraId="547E0F2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预付款最高不超过40%</w:t>
      </w:r>
    </w:p>
    <w:p w14:paraId="3390DC6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建立风险准备金（占总资金5%）</w:t>
      </w:r>
    </w:p>
    <w:p w14:paraId="5BEA14E2"/>
    <w:p w14:paraId="2D46245C">
      <w:r>
        <w:rPr>
          <w:rFonts w:ascii="宋体" w:hAnsi="宋体" w:eastAsia="宋体"/>
          <w:b/>
          <w:sz w:val="22"/>
        </w:rPr>
        <w:t>▶ 合同风控</w:t>
      </w:r>
    </w:p>
    <w:p w14:paraId="5127ECE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所有合同必须法务审核</w:t>
      </w:r>
    </w:p>
    <w:p w14:paraId="4E5C304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关键条款（损耗、品味、付款节点）必须红线标注</w:t>
      </w:r>
    </w:p>
    <w:p w14:paraId="1C995C50"/>
    <w:p w14:paraId="3972A82F">
      <w:r>
        <w:rPr>
          <w:rFonts w:ascii="宋体" w:hAnsi="宋体" w:eastAsia="宋体"/>
          <w:b/>
          <w:sz w:val="22"/>
        </w:rPr>
        <w:t>▶ 验货风控</w:t>
      </w:r>
    </w:p>
    <w:p w14:paraId="1233BC55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采用"三重验货"：卖方现场 + 工厂二次 + 第三方抽检</w:t>
      </w:r>
    </w:p>
    <w:p w14:paraId="5CCDFAF5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所有过磅必须视频+照片存证</w:t>
      </w:r>
    </w:p>
    <w:p w14:paraId="5B27534F"/>
    <w:p w14:paraId="34F3B60A">
      <w:r>
        <w:rPr>
          <w:rFonts w:ascii="宋体" w:hAnsi="宋体" w:eastAsia="宋体"/>
          <w:b/>
          <w:sz w:val="22"/>
        </w:rPr>
        <w:t>▶ 保险风控</w:t>
      </w:r>
    </w:p>
    <w:p w14:paraId="58EF0287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原料采购投保货物运输险</w:t>
      </w:r>
    </w:p>
    <w:p w14:paraId="697166C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加工环节投保财产险</w:t>
      </w:r>
    </w:p>
    <w:p w14:paraId="62E1D654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建议投保出口信用险</w:t>
      </w:r>
    </w:p>
    <w:p w14:paraId="37A82323"/>
    <w:p w14:paraId="617743FE">
      <w:r>
        <w:rPr>
          <w:rFonts w:ascii="宋体" w:hAnsi="宋体" w:eastAsia="宋体"/>
          <w:b/>
          <w:sz w:val="22"/>
        </w:rPr>
        <w:t>▶ 应急预案</w:t>
      </w:r>
    </w:p>
    <w:p w14:paraId="6B5E928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加工厂突发停工 → 立即切换备用工厂</w:t>
      </w:r>
    </w:p>
    <w:p w14:paraId="45B3A4B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清关受阻 → 启动备用清关渠道</w:t>
      </w:r>
    </w:p>
    <w:p w14:paraId="264F65D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价格暴跌 → 立即锁定销售价格或寻找新买家</w:t>
      </w:r>
    </w:p>
    <w:p w14:paraId="3716E29D"/>
    <w:p w14:paraId="207E4CCB">
      <w:r>
        <w:br w:type="page"/>
      </w:r>
    </w:p>
    <w:p w14:paraId="056D976B">
      <w:pPr>
        <w:pStyle w:val="4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月度风险复盘机制</w:t>
      </w:r>
    </w:p>
    <w:p w14:paraId="0E2BBB4C">
      <w:pPr>
        <w:numPr>
          <w:ilvl w:val="0"/>
          <w:numId w:val="7"/>
        </w:numPr>
        <w:ind w:left="0" w:leftChars="0" w:firstLine="0" w:firstLineChars="0"/>
      </w:pPr>
    </w:p>
    <w:p w14:paraId="2B5F87AD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每月25日前召开风险复盘会议，内容包括：</w:t>
      </w:r>
    </w:p>
    <w:p w14:paraId="718EA6AC">
      <w:pPr>
        <w:rPr>
          <w:rFonts w:ascii="宋体" w:hAnsi="宋体" w:eastAsia="宋体"/>
          <w:b w:val="0"/>
          <w:sz w:val="22"/>
        </w:rPr>
      </w:pPr>
    </w:p>
    <w:p w14:paraId="3888A773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本月风险事件统计</w:t>
      </w:r>
    </w:p>
    <w:p w14:paraId="5CFB3B89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319D5257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048AE83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损失金额与原因分析</w:t>
      </w:r>
    </w:p>
    <w:p w14:paraId="267205D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05E9D1C0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1C1DC283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风控措施有效性评估</w:t>
      </w:r>
    </w:p>
    <w:p w14:paraId="28AAD210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2B30D40F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63365CBE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下月风险防控重点</w:t>
      </w:r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EA59F9D"/>
    <w:multiLevelType w:val="singleLevel"/>
    <w:tmpl w:val="4EA59F9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753FE"/>
    <w:rsid w:val="5C29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804</Words>
  <Characters>824</Characters>
  <Lines>0</Lines>
  <Paragraphs>0</Paragraphs>
  <TotalTime>1</TotalTime>
  <ScaleCrop>false</ScaleCrop>
  <LinksUpToDate>false</LinksUpToDate>
  <CharactersWithSpaces>855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赵威</cp:lastModifiedBy>
  <dcterms:modified xsi:type="dcterms:W3CDTF">2026-05-10T05:57:21Z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EBCF873159C447E5A7A8F60F006BA6E6_12</vt:lpwstr>
  </property>
</Properties>
</file>