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23" w:name="三通信架构优势"/>
    <w:p>
      <w:pPr>
        <w:pStyle w:val="Heading2"/>
      </w:pPr>
      <w:r>
        <w:t xml:space="preserve">三、通信架构优势</w:t>
      </w:r>
    </w:p>
    <w:p>
      <w:pPr>
        <w:pStyle w:val="FirstParagraph"/>
      </w:pPr>
      <w:r>
        <w:t xml:space="preserve">GPU多卡互联的通信架构是其性能优势的基石，也是其部署复杂性的根源。NVLink提供高达900 GB/s的节点内带宽，但这一能力背后是全连接拓扑的复杂性、NVSwitch的专有性和InfiniBand的昂贵基础设施。Brick架构通过PCIe NTB板间直连的极简线性拓扑，在流水线并行的通信模式下实现了”够用且极简”的通信方案。</w:t>
      </w:r>
    </w:p>
    <w:bookmarkStart w:id="20" w:name="绕过tcpip协议栈"/>
    <w:p>
      <w:pPr>
        <w:pStyle w:val="Heading3"/>
      </w:pPr>
      <w:r>
        <w:t xml:space="preserve">3.1 绕过TCP/IP协议栈</w:t>
      </w:r>
    </w:p>
    <w:p>
      <w:pPr>
        <w:pStyle w:val="FirstParagraph"/>
      </w:pPr>
      <w:r>
        <w:t xml:space="preserve">现代GPU集群的跨机通信依赖以太网（TCP/IP）或InfiniBand/RDMA。以太网的延迟通常为</w:t>
      </w:r>
      <w:r>
        <w:t xml:space="preserve"> </w:t>
      </w:r>
      <w:r>
        <w:rPr>
          <w:bCs/>
          <w:b/>
        </w:rPr>
        <w:t xml:space="preserve">1-10ms</w:t>
      </w:r>
      <w:r>
        <w:t xml:space="preserve">（毫秒级），这一延迟中仅有极小比例是物理传输时间，绝大部分消耗在协议栈处理上：数据从应用层经过传输层（TCP/UDP）、网络层（IP）、数据链路层，再到物理层，每一层都有封装、校验、缓冲、调度的开销。即使采用RDMA技术（如InfiniBand），延迟也仅能做到</w:t>
      </w:r>
      <w:r>
        <w:t xml:space="preserve"> </w:t>
      </w:r>
      <w:r>
        <w:rPr>
          <w:bCs/>
          <w:b/>
        </w:rPr>
        <w:t xml:space="preserve">1-2μs</w:t>
      </w:r>
      <w:r>
        <w:t xml:space="preserve"> </w:t>
      </w:r>
      <w:r>
        <w:rPr>
          <w:vertAlign w:val="superscript"/>
        </w:rPr>
        <w:footnoteReference w:id="1"/>
      </w:r>
      <w:r>
        <w:t xml:space="preserve">。</w:t>
      </w:r>
    </w:p>
    <w:p>
      <w:pPr>
        <w:pStyle w:val="BodyText"/>
      </w:pPr>
      <w:r>
        <w:t xml:space="preserve">Brick架构通过</w:t>
      </w:r>
      <w:r>
        <w:t xml:space="preserve"> </w:t>
      </w:r>
      <w:r>
        <w:rPr>
          <w:bCs/>
          <w:b/>
        </w:rPr>
        <w:t xml:space="preserve">PCIe NTB（Non-Transparent Bridge）板间直连</w:t>
      </w:r>
      <w:r>
        <w:t xml:space="preserve">，完全绕过了TCP/IP协议栈。PCIe NTB允许两个独立的PCIe域通过桥接设备互相访问对方的内存空间，对上层软件而言表现为内存映射区域。PCIe Gen3 x4的带宽可达</w:t>
      </w:r>
      <w:r>
        <w:t xml:space="preserve"> </w:t>
      </w:r>
      <w:r>
        <w:rPr>
          <w:bCs/>
          <w:b/>
        </w:rPr>
        <w:t xml:space="preserve">4 GB/s</w:t>
      </w:r>
      <w:r>
        <w:t xml:space="preserve">，延迟仅为</w:t>
      </w:r>
      <w:r>
        <w:t xml:space="preserve"> </w:t>
      </w:r>
      <w:r>
        <w:rPr>
          <w:bCs/>
          <w:b/>
        </w:rPr>
        <w:t xml:space="preserve">1-5μs</w:t>
      </w:r>
      <w:r>
        <w:t xml:space="preserve">（微秒级）</w:t>
      </w:r>
      <w:r>
        <w:rPr>
          <w:vertAlign w:val="superscript"/>
        </w:rPr>
        <w:footnoteReference w:id="2"/>
      </w:r>
      <w:r>
        <w:t xml:space="preserve">。</w:t>
      </w:r>
    </w:p>
    <w:p>
      <w:pPr>
        <w:pStyle w:val="BodyText"/>
      </w:pPr>
      <w:r>
        <w:rPr>
          <w:bCs/>
          <w:b/>
        </w:rPr>
        <w:t xml:space="preserve">表7：通信延迟对比</w:t>
      </w:r>
      <w:r>
        <w:rPr>
          <w:bCs/>
          <w:b/>
        </w:rPr>
        <w:t xml:space="preserve"> </w:t>
      </w:r>
      <w:fldSimple w:instr="NOTEREF _Ref_Footnote_1 \h \f">
        <w:r>
          <w:rPr>
            <w:vertAlign w:val="superscript"/>
          </w:rPr>
          <w:t>1</w:t>
        </w:r>
      </w:fldSimple>
      <w:r>
        <w:rPr>
          <w:bCs/>
          <w:b/>
        </w:rPr>
        <w:t xml:space="preserve"> </w:t>
      </w:r>
      <w:fldSimple w:instr="NOTEREF _Ref_Footnote_2 \h \f">
        <w:r>
          <w:rPr>
            <w:vertAlign w:val="superscript"/>
          </w:rPr>
          <w:t>2</w:t>
        </w:r>
      </w:fldSimple>
      <w:r>
        <w:rPr>
          <w:bCs/>
          <w:b/>
        </w:rPr>
        <w:t xml:space="preserve"> </w:t>
      </w:r>
      <w:r>
        <w:rPr>
          <w:vertAlign w:val="superscript"/>
        </w:rPr>
        <w:footnoteReference w:id="3"/>
      </w:r>
    </w:p>
    <w:tbl>
      <w:tblPr>
        <w:tblStyle w:val="Table"/>
        <w:tblW w:type="pct" w:w="5000"/>
        <w:tblLook w:firstRow="1" w:lastRow="0" w:firstColumn="0" w:lastColumn="0" w:noHBand="0" w:noVBand="0" w:val="0020"/>
      </w:tblPr>
      <w:tblGrid>
        <w:gridCol w:w="1875"/>
        <w:gridCol w:w="1875"/>
        <w:gridCol w:w="2292"/>
        <w:gridCol w:w="1875"/>
      </w:tblGrid>
      <w:tr>
        <w:trPr>
          <w:tblHeader w:val="true"/>
        </w:trPr>
        <w:tc>
          <w:tcPr/>
          <w:p>
            <w:pPr>
              <w:pStyle w:val="Compact"/>
              <w:jc w:val="left"/>
            </w:pPr>
            <w:r>
              <w:t xml:space="preserve">通信方式</w:t>
            </w:r>
          </w:p>
        </w:tc>
        <w:tc>
          <w:tcPr/>
          <w:p>
            <w:pPr>
              <w:pStyle w:val="Compact"/>
              <w:jc w:val="left"/>
            </w:pPr>
            <w:r>
              <w:t xml:space="preserve">典型延迟</w:t>
            </w:r>
          </w:p>
        </w:tc>
        <w:tc>
          <w:tcPr/>
          <w:p>
            <w:pPr>
              <w:pStyle w:val="Compact"/>
              <w:jc w:val="left"/>
            </w:pPr>
            <w:r>
              <w:t xml:space="preserve">协议栈开销</w:t>
            </w:r>
          </w:p>
        </w:tc>
        <w:tc>
          <w:tcPr/>
          <w:p>
            <w:pPr>
              <w:pStyle w:val="Compact"/>
              <w:jc w:val="left"/>
            </w:pPr>
            <w:r>
              <w:t xml:space="preserve">适用场景</w:t>
            </w:r>
          </w:p>
        </w:tc>
      </w:tr>
      <w:tr>
        <w:tc>
          <w:tcPr/>
          <w:p>
            <w:pPr>
              <w:pStyle w:val="Compact"/>
              <w:jc w:val="left"/>
            </w:pPr>
            <w:r>
              <w:t xml:space="preserve">以太网 (TCP/IP)</w:t>
            </w:r>
          </w:p>
        </w:tc>
        <w:tc>
          <w:tcPr/>
          <w:p>
            <w:pPr>
              <w:pStyle w:val="Compact"/>
              <w:jc w:val="left"/>
            </w:pPr>
            <w:r>
              <w:t xml:space="preserve">1-10 ms</w:t>
            </w:r>
          </w:p>
        </w:tc>
        <w:tc>
          <w:tcPr/>
          <w:p>
            <w:pPr>
              <w:pStyle w:val="Compact"/>
              <w:jc w:val="left"/>
            </w:pPr>
            <w:r>
              <w:t xml:space="preserve">高（多层协议处理）</w:t>
            </w:r>
          </w:p>
        </w:tc>
        <w:tc>
          <w:tcPr/>
          <w:p>
            <w:pPr>
              <w:pStyle w:val="Compact"/>
              <w:jc w:val="left"/>
            </w:pPr>
            <w:r>
              <w:t xml:space="preserve">通用网络通信</w:t>
            </w:r>
          </w:p>
        </w:tc>
      </w:tr>
      <w:tr>
        <w:tc>
          <w:tcPr/>
          <w:p>
            <w:pPr>
              <w:pStyle w:val="Compact"/>
              <w:jc w:val="left"/>
            </w:pPr>
            <w:r>
              <w:t xml:space="preserve">InfiniBand NDR 400G</w:t>
            </w:r>
          </w:p>
        </w:tc>
        <w:tc>
          <w:tcPr/>
          <w:p>
            <w:pPr>
              <w:pStyle w:val="Compact"/>
              <w:jc w:val="left"/>
            </w:pPr>
            <w:r>
              <w:t xml:space="preserve">1-2 μs</w:t>
            </w:r>
          </w:p>
        </w:tc>
        <w:tc>
          <w:tcPr/>
          <w:p>
            <w:pPr>
              <w:pStyle w:val="Compact"/>
              <w:jc w:val="left"/>
            </w:pPr>
            <w:r>
              <w:t xml:space="preserve">低（硬件卸载RDMA）</w:t>
            </w:r>
          </w:p>
        </w:tc>
        <w:tc>
          <w:tcPr/>
          <w:p>
            <w:pPr>
              <w:pStyle w:val="Compact"/>
              <w:jc w:val="left"/>
            </w:pPr>
            <w:r>
              <w:t xml:space="preserve">GPU集群跨机互联</w:t>
            </w:r>
          </w:p>
        </w:tc>
      </w:tr>
      <w:tr>
        <w:tc>
          <w:tcPr/>
          <w:p>
            <w:pPr>
              <w:pStyle w:val="Compact"/>
              <w:jc w:val="left"/>
            </w:pPr>
            <w:r>
              <w:t xml:space="preserve">NVLink 4.0</w:t>
            </w:r>
          </w:p>
        </w:tc>
        <w:tc>
          <w:tcPr/>
          <w:p>
            <w:pPr>
              <w:pStyle w:val="Compact"/>
              <w:jc w:val="left"/>
            </w:pPr>
            <w:r>
              <w:t xml:space="preserve">0.7-2 μs</w:t>
            </w:r>
          </w:p>
        </w:tc>
        <w:tc>
          <w:tcPr/>
          <w:p>
            <w:pPr>
              <w:pStyle w:val="Compact"/>
              <w:jc w:val="left"/>
            </w:pPr>
            <w:r>
              <w:t xml:space="preserve">极低（专有硬件）</w:t>
            </w:r>
          </w:p>
        </w:tc>
        <w:tc>
          <w:tcPr/>
          <w:p>
            <w:pPr>
              <w:pStyle w:val="Compact"/>
              <w:jc w:val="left"/>
            </w:pPr>
            <w:r>
              <w:t xml:space="preserve">GPU节点内互联</w:t>
            </w:r>
          </w:p>
        </w:tc>
      </w:tr>
      <w:tr>
        <w:tc>
          <w:tcPr/>
          <w:p>
            <w:pPr>
              <w:pStyle w:val="Compact"/>
              <w:jc w:val="left"/>
            </w:pPr>
            <w:r>
              <w:t xml:space="preserve">PCIe P2P (同NUMA)</w:t>
            </w:r>
          </w:p>
        </w:tc>
        <w:tc>
          <w:tcPr/>
          <w:p>
            <w:pPr>
              <w:pStyle w:val="Compact"/>
              <w:jc w:val="left"/>
            </w:pPr>
            <w:r>
              <w:t xml:space="preserve">2.2-2.6 μs</w:t>
            </w:r>
          </w:p>
        </w:tc>
        <w:tc>
          <w:tcPr/>
          <w:p>
            <w:pPr>
              <w:pStyle w:val="Compact"/>
              <w:jc w:val="left"/>
            </w:pPr>
            <w:r>
              <w:t xml:space="preserve">低（绕过CPU）</w:t>
            </w:r>
          </w:p>
        </w:tc>
        <w:tc>
          <w:tcPr/>
          <w:p>
            <w:pPr>
              <w:pStyle w:val="Compact"/>
              <w:jc w:val="left"/>
            </w:pPr>
            <w:r>
              <w:t xml:space="preserve">GPU同板互联</w:t>
            </w:r>
          </w:p>
        </w:tc>
      </w:tr>
      <w:tr>
        <w:tc>
          <w:tcPr/>
          <w:p>
            <w:pPr>
              <w:pStyle w:val="Compact"/>
              <w:jc w:val="left"/>
            </w:pPr>
            <w:r>
              <w:rPr>
                <w:bCs/>
                <w:b/>
              </w:rPr>
              <w:t xml:space="preserve">PCIe NTB (Brick)</w:t>
            </w:r>
          </w:p>
        </w:tc>
        <w:tc>
          <w:tcPr/>
          <w:p>
            <w:pPr>
              <w:pStyle w:val="Compact"/>
              <w:jc w:val="left"/>
            </w:pPr>
            <w:r>
              <w:rPr>
                <w:bCs/>
                <w:b/>
              </w:rPr>
              <w:t xml:space="preserve">1-5 μs</w:t>
            </w:r>
          </w:p>
        </w:tc>
        <w:tc>
          <w:tcPr/>
          <w:p>
            <w:pPr>
              <w:pStyle w:val="Compact"/>
              <w:jc w:val="left"/>
            </w:pPr>
            <w:r>
              <w:rPr>
                <w:bCs/>
                <w:b/>
              </w:rPr>
              <w:t xml:space="preserve">无（内存映射直连）</w:t>
            </w:r>
          </w:p>
        </w:tc>
        <w:tc>
          <w:tcPr/>
          <w:p>
            <w:pPr>
              <w:pStyle w:val="Compact"/>
              <w:jc w:val="left"/>
            </w:pPr>
            <w:r>
              <w:rPr>
                <w:bCs/>
                <w:b/>
              </w:rPr>
              <w:t xml:space="preserve">板间流水线通信</w:t>
            </w:r>
          </w:p>
        </w:tc>
      </w:tr>
    </w:tbl>
    <w:p>
      <w:pPr>
        <w:pStyle w:val="BodyText"/>
      </w:pPr>
      <w:r>
        <w:t xml:space="preserve">从延迟角度看，PCIe NTB（1-5μs）与以太网（1-10ms）之间存在</w:t>
      </w:r>
      <w:r>
        <w:t xml:space="preserve"> </w:t>
      </w:r>
      <w:r>
        <w:rPr>
          <w:bCs/>
          <w:b/>
        </w:rPr>
        <w:t xml:space="preserve">1000倍的差距</w:t>
      </w:r>
      <w:r>
        <w:t xml:space="preserve">。这一差距意味着：在Brick流水线中，相邻模块间的激活值传输几乎可以视为”零延迟”——因为Brick的CPU计算延迟远大于PCIe传输延迟，激活值传输占总时间的比例低于0.01%。相比之下，即使使用InfiniBand，GPU集群的跨机通信仍然需要在软件层面进行复杂的通信隐藏优化。</w:t>
      </w:r>
    </w:p>
    <w:bookmarkEnd w:id="20"/>
    <w:bookmarkStart w:id="21" w:name="极简线性拓扑-vs-复杂全连接"/>
    <w:p>
      <w:pPr>
        <w:pStyle w:val="Heading3"/>
      </w:pPr>
      <w:r>
        <w:t xml:space="preserve">3.2 极简线性拓扑 vs 复杂全连接</w:t>
      </w:r>
    </w:p>
    <w:p>
      <w:pPr>
        <w:pStyle w:val="FirstParagraph"/>
      </w:pPr>
      <w:r>
        <w:t xml:space="preserve">GPU集群的拓扑架构体现了”性能至上”的设计理念，但也因此积累了巨大的复杂性。</w:t>
      </w:r>
    </w:p>
    <w:p>
      <w:pPr>
        <w:pStyle w:val="BodyText"/>
      </w:pPr>
      <w:r>
        <w:rPr>
          <w:bCs/>
          <w:b/>
        </w:rPr>
        <w:t xml:space="preserve">NVLink全连接拓扑</w:t>
      </w:r>
      <w:r>
        <w:t xml:space="preserve">是当前高端GPU集群的标准方案。以DGX H100为例，8块H100 GPU通过NVLink 4.0全互联，4颗NVSwitch 3.0芯片提供任意两GPU间900 GB/s的带宽</w:t>
      </w:r>
      <w:r>
        <w:t xml:space="preserve"> </w:t>
      </w:r>
      <w:r>
        <w:rPr>
          <w:vertAlign w:val="superscript"/>
        </w:rPr>
        <w:footnoteReference w:id="4"/>
      </w:r>
      <w:r>
        <w:t xml:space="preserve">。然而，这一设计带来了多重约束：</w:t>
      </w:r>
    </w:p>
    <w:p>
      <w:pPr>
        <w:pStyle w:val="BodyText"/>
      </w:pPr>
      <w:r>
        <w:rPr>
          <w:bCs/>
          <w:b/>
        </w:rPr>
        <w:t xml:space="preserve">表8：NVSwitch复杂性与成本</w:t>
      </w:r>
      <w:r>
        <w:rPr>
          <w:bCs/>
          <w:b/>
        </w:rPr>
        <w:t xml:space="preserve"> </w:t>
      </w:r>
      <w:r>
        <w:rPr>
          <w:vertAlign w:val="superscript"/>
        </w:rPr>
        <w:footnoteReference w:id="5"/>
      </w:r>
      <w:r>
        <w:rPr>
          <w:bCs/>
          <w:b/>
        </w:rPr>
        <w:t xml:space="preserve"> </w:t>
      </w:r>
      <w:fldSimple w:instr="NOTEREF _Ref_Footnote_4 \h \f">
        <w:r>
          <w:rPr>
            <w:vertAlign w:val="superscript"/>
          </w:rPr>
          <w:t>4</w:t>
        </w:r>
      </w:fldSimple>
      <w:r>
        <w:rPr>
          <w:bCs/>
          <w:b/>
        </w:rPr>
        <w:t xml:space="preserve"> </w:t>
      </w:r>
      <w:r>
        <w:rPr>
          <w:vertAlign w:val="superscript"/>
        </w:rPr>
        <w:footnoteReference w:id="6"/>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指标</w:t>
            </w:r>
          </w:p>
        </w:tc>
        <w:tc>
          <w:tcPr/>
          <w:p>
            <w:pPr>
              <w:pStyle w:val="Compact"/>
              <w:jc w:val="left"/>
            </w:pPr>
            <w:r>
              <w:t xml:space="preserve">DGX A100</w:t>
            </w:r>
          </w:p>
        </w:tc>
        <w:tc>
          <w:tcPr/>
          <w:p>
            <w:pPr>
              <w:pStyle w:val="Compact"/>
              <w:jc w:val="left"/>
            </w:pPr>
            <w:r>
              <w:t xml:space="preserve">DGX H100</w:t>
            </w:r>
          </w:p>
        </w:tc>
        <w:tc>
          <w:tcPr/>
          <w:p>
            <w:pPr>
              <w:pStyle w:val="Compact"/>
              <w:jc w:val="left"/>
            </w:pPr>
            <w:r>
              <w:t xml:space="preserve">GB200 NVL72</w:t>
            </w:r>
          </w:p>
        </w:tc>
      </w:tr>
      <w:tr>
        <w:tc>
          <w:tcPr/>
          <w:p>
            <w:pPr>
              <w:pStyle w:val="Compact"/>
              <w:jc w:val="left"/>
            </w:pPr>
            <w:r>
              <w:t xml:space="preserve">NVSwitch数量</w:t>
            </w:r>
          </w:p>
        </w:tc>
        <w:tc>
          <w:tcPr/>
          <w:p>
            <w:pPr>
              <w:pStyle w:val="Compact"/>
              <w:jc w:val="left"/>
            </w:pPr>
            <w:r>
              <w:t xml:space="preserve">6颗</w:t>
            </w:r>
          </w:p>
        </w:tc>
        <w:tc>
          <w:tcPr/>
          <w:p>
            <w:pPr>
              <w:pStyle w:val="Compact"/>
              <w:jc w:val="left"/>
            </w:pPr>
            <w:r>
              <w:t xml:space="preserve">4颗</w:t>
            </w:r>
          </w:p>
        </w:tc>
        <w:tc>
          <w:tcPr/>
          <w:p>
            <w:pPr>
              <w:pStyle w:val="Compact"/>
              <w:jc w:val="left"/>
            </w:pPr>
            <w:r>
              <w:t xml:space="preserve">NVLink Switch System</w:t>
            </w:r>
          </w:p>
        </w:tc>
      </w:tr>
      <w:tr>
        <w:tc>
          <w:tcPr/>
          <w:p>
            <w:pPr>
              <w:pStyle w:val="Compact"/>
              <w:jc w:val="left"/>
            </w:pPr>
            <w:r>
              <w:t xml:space="preserve">单颗功耗</w:t>
            </w:r>
          </w:p>
        </w:tc>
        <w:tc>
          <w:tcPr/>
          <w:p>
            <w:pPr>
              <w:pStyle w:val="Compact"/>
              <w:jc w:val="left"/>
            </w:pPr>
            <w:r>
              <w:t xml:space="preserve">~100W</w:t>
            </w:r>
          </w:p>
        </w:tc>
        <w:tc>
          <w:tcPr/>
          <w:p>
            <w:pPr>
              <w:pStyle w:val="Compact"/>
              <w:jc w:val="left"/>
            </w:pPr>
            <w:r>
              <w:t xml:space="preserve">~100W</w:t>
            </w:r>
          </w:p>
        </w:tc>
        <w:tc>
          <w:tcPr/>
          <w:p>
            <w:pPr>
              <w:pStyle w:val="Compact"/>
              <w:jc w:val="left"/>
            </w:pPr>
            <w:r>
              <w:t xml:space="preserve">数百W</w:t>
            </w:r>
          </w:p>
        </w:tc>
      </w:tr>
      <w:tr>
        <w:tc>
          <w:tcPr/>
          <w:p>
            <w:pPr>
              <w:pStyle w:val="Compact"/>
              <w:jc w:val="left"/>
            </w:pPr>
            <w:r>
              <w:t xml:space="preserve">单颗成本</w:t>
            </w:r>
          </w:p>
        </w:tc>
        <w:tc>
          <w:tcPr/>
          <w:p>
            <w:pPr>
              <w:pStyle w:val="Compact"/>
              <w:jc w:val="left"/>
            </w:pPr>
            <w:r>
              <w:t xml:space="preserve">数百美元</w:t>
            </w:r>
          </w:p>
        </w:tc>
        <w:tc>
          <w:tcPr/>
          <w:p>
            <w:pPr>
              <w:pStyle w:val="Compact"/>
              <w:jc w:val="left"/>
            </w:pPr>
            <w:r>
              <w:t xml:space="preserve">数百美元</w:t>
            </w:r>
          </w:p>
        </w:tc>
        <w:tc>
          <w:tcPr/>
          <w:p>
            <w:pPr>
              <w:pStyle w:val="Compact"/>
              <w:jc w:val="left"/>
            </w:pPr>
            <w:r>
              <w:t xml:space="preserve">数千美元</w:t>
            </w:r>
          </w:p>
        </w:tc>
      </w:tr>
      <w:tr>
        <w:tc>
          <w:tcPr/>
          <w:p>
            <w:pPr>
              <w:pStyle w:val="Compact"/>
              <w:jc w:val="left"/>
            </w:pPr>
            <w:r>
              <w:t xml:space="preserve">线缆密度</w:t>
            </w:r>
          </w:p>
        </w:tc>
        <w:tc>
          <w:tcPr/>
          <w:p>
            <w:pPr>
              <w:pStyle w:val="Compact"/>
              <w:jc w:val="left"/>
            </w:pPr>
            <w:r>
              <w:t xml:space="preserve">数千根</w:t>
            </w:r>
          </w:p>
        </w:tc>
        <w:tc>
          <w:tcPr/>
          <w:p>
            <w:pPr>
              <w:pStyle w:val="Compact"/>
              <w:jc w:val="left"/>
            </w:pPr>
            <w:r>
              <w:t xml:space="preserve">数千根</w:t>
            </w:r>
          </w:p>
        </w:tc>
        <w:tc>
          <w:tcPr/>
          <w:p>
            <w:pPr>
              <w:pStyle w:val="Compact"/>
              <w:jc w:val="left"/>
            </w:pPr>
            <w:r>
              <w:t xml:space="preserve">5000+根，总长2英里+</w:t>
            </w:r>
          </w:p>
        </w:tc>
      </w:tr>
    </w:tbl>
    <w:p>
      <w:pPr>
        <w:pStyle w:val="BodyText"/>
      </w:pPr>
      <w:r>
        <w:t xml:space="preserve">NVLink的物理特性决定了单节点GPU数量存在上限——DGX系统固定为8 GPU。超过8 GPU后，必须通过InfiniBand跨机扩展，此时带宽从节点内NVLink的900 GB/s断崖式下降到跨机的50 GB/s（NDR 400G单向）——差距约18倍</w:t>
      </w:r>
      <w:r>
        <w:t xml:space="preserve"> </w:t>
      </w:r>
      <w:r>
        <w:rPr>
          <w:vertAlign w:val="superscript"/>
        </w:rPr>
        <w:footnoteReference w:id="7"/>
      </w:r>
      <w:r>
        <w:t xml:space="preserve">。这种”节点内高速公路、节点间羊肠小道”的带宽不对称是GPU集群扩展性的根本瓶颈。</w:t>
      </w:r>
    </w:p>
    <w:p>
      <w:pPr>
        <w:pStyle w:val="BodyText"/>
      </w:pPr>
      <w:r>
        <w:rPr>
          <w:bCs/>
          <w:b/>
        </w:rPr>
        <w:t xml:space="preserve">Brick线性菊花链拓扑</w:t>
      </w:r>
      <w:r>
        <w:t xml:space="preserve">则走向了另一个极端：每个节点只连接两个邻居（前驱和后继），形成一条物理上的”流水线链条”。</w:t>
      </w:r>
    </w:p>
    <w:p>
      <w:pPr>
        <w:pStyle w:val="BodyText"/>
      </w:pPr>
      <w:r>
        <w:rPr>
          <w:bCs/>
          <w:b/>
        </w:rPr>
        <w:t xml:space="preserve">表9：拓扑架构对比</w:t>
      </w:r>
    </w:p>
    <w:tbl>
      <w:tblPr>
        <w:tblStyle w:val="Table"/>
        <w:tblW w:type="pct" w:w="5000"/>
        <w:tblLook w:firstRow="1" w:lastRow="0" w:firstColumn="0" w:lastColumn="0" w:noHBand="0" w:noVBand="0" w:val="0020"/>
      </w:tblPr>
      <w:tblGrid>
        <w:gridCol w:w="1425"/>
        <w:gridCol w:w="4276"/>
        <w:gridCol w:w="2217"/>
      </w:tblGrid>
      <w:tr>
        <w:trPr>
          <w:tblHeader w:val="true"/>
        </w:trPr>
        <w:tc>
          <w:tcPr/>
          <w:p>
            <w:pPr>
              <w:pStyle w:val="Compact"/>
              <w:jc w:val="left"/>
            </w:pPr>
            <w:r>
              <w:t xml:space="preserve">对比维度</w:t>
            </w:r>
          </w:p>
        </w:tc>
        <w:tc>
          <w:tcPr/>
          <w:p>
            <w:pPr>
              <w:pStyle w:val="Compact"/>
              <w:jc w:val="left"/>
            </w:pPr>
            <w:r>
              <w:t xml:space="preserve">GPU多卡互联（DGX A100/H100）</w:t>
            </w:r>
          </w:p>
        </w:tc>
        <w:tc>
          <w:tcPr/>
          <w:p>
            <w:pPr>
              <w:pStyle w:val="Compact"/>
              <w:jc w:val="left"/>
            </w:pPr>
            <w:r>
              <w:t xml:space="preserve">Brick线性拓扑</w:t>
            </w:r>
          </w:p>
        </w:tc>
      </w:tr>
      <w:tr>
        <w:tc>
          <w:tcPr/>
          <w:p>
            <w:pPr>
              <w:pStyle w:val="Compact"/>
              <w:jc w:val="left"/>
            </w:pPr>
            <w:r>
              <w:rPr>
                <w:bCs/>
                <w:b/>
              </w:rPr>
              <w:t xml:space="preserve">互联技术</w:t>
            </w:r>
          </w:p>
        </w:tc>
        <w:tc>
          <w:tcPr/>
          <w:p>
            <w:pPr>
              <w:pStyle w:val="Compact"/>
              <w:jc w:val="left"/>
            </w:pPr>
            <w:r>
              <w:t xml:space="preserve">NVLink + NVSwitch + InfiniBand</w:t>
            </w:r>
          </w:p>
        </w:tc>
        <w:tc>
          <w:tcPr/>
          <w:p>
            <w:pPr>
              <w:pStyle w:val="Compact"/>
              <w:jc w:val="left"/>
            </w:pPr>
            <w:r>
              <w:t xml:space="preserve">PCIe NTB板间直连</w:t>
            </w:r>
          </w:p>
        </w:tc>
      </w:tr>
      <w:tr>
        <w:tc>
          <w:tcPr/>
          <w:p>
            <w:pPr>
              <w:pStyle w:val="Compact"/>
              <w:jc w:val="left"/>
            </w:pPr>
            <w:r>
              <w:rPr>
                <w:bCs/>
                <w:b/>
              </w:rPr>
              <w:t xml:space="preserve">拓扑结构</w:t>
            </w:r>
          </w:p>
        </w:tc>
        <w:tc>
          <w:tcPr/>
          <w:p>
            <w:pPr>
              <w:pStyle w:val="Compact"/>
              <w:jc w:val="left"/>
            </w:pPr>
            <w:r>
              <w:t xml:space="preserve">全连接（8卡内）+ Fat-Tree（跨机）</w:t>
            </w:r>
          </w:p>
        </w:tc>
        <w:tc>
          <w:tcPr/>
          <w:p>
            <w:pPr>
              <w:pStyle w:val="Compact"/>
              <w:jc w:val="left"/>
            </w:pPr>
            <w:r>
              <w:t xml:space="preserve">线性菊花链</w:t>
            </w:r>
          </w:p>
        </w:tc>
      </w:tr>
      <w:tr>
        <w:tc>
          <w:tcPr/>
          <w:p>
            <w:pPr>
              <w:pStyle w:val="Compact"/>
              <w:jc w:val="left"/>
            </w:pPr>
            <w:r>
              <w:rPr>
                <w:bCs/>
                <w:b/>
              </w:rPr>
              <w:t xml:space="preserve">每链路带宽</w:t>
            </w:r>
          </w:p>
        </w:tc>
        <w:tc>
          <w:tcPr/>
          <w:p>
            <w:pPr>
              <w:pStyle w:val="Compact"/>
              <w:jc w:val="left"/>
            </w:pPr>
            <w:r>
              <w:t xml:space="preserve">600-900 GB/s（NVLink）/ 25-50 GB/s（IB）</w:t>
            </w:r>
          </w:p>
        </w:tc>
        <w:tc>
          <w:tcPr/>
          <w:p>
            <w:pPr>
              <w:pStyle w:val="Compact"/>
              <w:jc w:val="left"/>
            </w:pPr>
            <w:r>
              <w:t xml:space="preserve">4 GB/s</w:t>
            </w:r>
          </w:p>
        </w:tc>
      </w:tr>
      <w:tr>
        <w:tc>
          <w:tcPr/>
          <w:p>
            <w:pPr>
              <w:pStyle w:val="Compact"/>
              <w:jc w:val="left"/>
            </w:pPr>
            <w:r>
              <w:rPr>
                <w:bCs/>
                <w:b/>
              </w:rPr>
              <w:t xml:space="preserve">通信延迟</w:t>
            </w:r>
          </w:p>
        </w:tc>
        <w:tc>
          <w:tcPr/>
          <w:p>
            <w:pPr>
              <w:pStyle w:val="Compact"/>
              <w:jc w:val="left"/>
            </w:pPr>
            <w:r>
              <w:t xml:space="preserve">~0.7-2μs（NVLink）/ 1-2μs（IB）</w:t>
            </w:r>
          </w:p>
        </w:tc>
        <w:tc>
          <w:tcPr/>
          <w:p>
            <w:pPr>
              <w:pStyle w:val="Compact"/>
              <w:jc w:val="left"/>
            </w:pPr>
            <w:r>
              <w:t xml:space="preserve">1-5μs</w:t>
            </w:r>
          </w:p>
        </w:tc>
      </w:tr>
      <w:tr>
        <w:tc>
          <w:tcPr/>
          <w:p>
            <w:pPr>
              <w:pStyle w:val="Compact"/>
              <w:jc w:val="left"/>
            </w:pPr>
            <w:r>
              <w:rPr>
                <w:bCs/>
                <w:b/>
              </w:rPr>
              <w:t xml:space="preserve">交换机需求</w:t>
            </w:r>
          </w:p>
        </w:tc>
        <w:tc>
          <w:tcPr/>
          <w:p>
            <w:pPr>
              <w:pStyle w:val="Compact"/>
              <w:jc w:val="left"/>
            </w:pPr>
            <w:r>
              <w:t xml:space="preserve">必须（NVSwitch + InfiniBand交换机）</w:t>
            </w:r>
          </w:p>
        </w:tc>
        <w:tc>
          <w:tcPr/>
          <w:p>
            <w:pPr>
              <w:pStyle w:val="Compact"/>
              <w:jc w:val="left"/>
            </w:pPr>
            <w:r>
              <w:rPr>
                <w:bCs/>
                <w:b/>
              </w:rPr>
              <w:t xml:space="preserve">无</w:t>
            </w:r>
          </w:p>
        </w:tc>
      </w:tr>
      <w:tr>
        <w:tc>
          <w:tcPr/>
          <w:p>
            <w:pPr>
              <w:pStyle w:val="Compact"/>
              <w:jc w:val="left"/>
            </w:pPr>
            <w:r>
              <w:rPr>
                <w:bCs/>
                <w:b/>
              </w:rPr>
              <w:t xml:space="preserve">路由配置</w:t>
            </w:r>
          </w:p>
        </w:tc>
        <w:tc>
          <w:tcPr/>
          <w:p>
            <w:pPr>
              <w:pStyle w:val="Compact"/>
              <w:jc w:val="left"/>
            </w:pPr>
            <w:r>
              <w:t xml:space="preserve">需要（子网管理器、路由表）</w:t>
            </w:r>
          </w:p>
        </w:tc>
        <w:tc>
          <w:tcPr/>
          <w:p>
            <w:pPr>
              <w:pStyle w:val="Compact"/>
              <w:jc w:val="left"/>
            </w:pPr>
            <w:r>
              <w:rPr>
                <w:bCs/>
                <w:b/>
              </w:rPr>
              <w:t xml:space="preserve">无（固定邻接）</w:t>
            </w:r>
          </w:p>
        </w:tc>
      </w:tr>
      <w:tr>
        <w:tc>
          <w:tcPr/>
          <w:p>
            <w:pPr>
              <w:pStyle w:val="Compact"/>
              <w:jc w:val="left"/>
            </w:pPr>
            <w:r>
              <w:rPr>
                <w:bCs/>
                <w:b/>
              </w:rPr>
              <w:t xml:space="preserve">扩展方式</w:t>
            </w:r>
          </w:p>
        </w:tc>
        <w:tc>
          <w:tcPr/>
          <w:p>
            <w:pPr>
              <w:pStyle w:val="Compact"/>
              <w:jc w:val="left"/>
            </w:pPr>
            <w:r>
              <w:t xml:space="preserve">预配置节点 + 网络规划</w:t>
            </w:r>
          </w:p>
        </w:tc>
        <w:tc>
          <w:tcPr/>
          <w:p>
            <w:pPr>
              <w:pStyle w:val="Compact"/>
              <w:jc w:val="left"/>
            </w:pPr>
            <w:r>
              <w:rPr>
                <w:bCs/>
                <w:b/>
              </w:rPr>
              <w:t xml:space="preserve">物理插入，即插即用</w:t>
            </w:r>
          </w:p>
        </w:tc>
      </w:tr>
      <w:tr>
        <w:tc>
          <w:tcPr/>
          <w:p>
            <w:pPr>
              <w:pStyle w:val="Compact"/>
              <w:jc w:val="left"/>
            </w:pPr>
            <w:r>
              <w:rPr>
                <w:bCs/>
                <w:b/>
              </w:rPr>
              <w:t xml:space="preserve">布线复杂度</w:t>
            </w:r>
          </w:p>
        </w:tc>
        <w:tc>
          <w:tcPr/>
          <w:p>
            <w:pPr>
              <w:pStyle w:val="Compact"/>
              <w:jc w:val="left"/>
            </w:pPr>
            <w:r>
              <w:t xml:space="preserve">O(N²)（全连接）或 O(N log N)（Fat-Tree）</w:t>
            </w:r>
          </w:p>
        </w:tc>
        <w:tc>
          <w:tcPr/>
          <w:p>
            <w:pPr>
              <w:pStyle w:val="Compact"/>
              <w:jc w:val="left"/>
            </w:pPr>
            <w:r>
              <w:rPr>
                <w:bCs/>
                <w:b/>
              </w:rPr>
              <w:t xml:space="preserve">O(N)（线性链）</w:t>
            </w:r>
          </w:p>
        </w:tc>
      </w:tr>
      <w:tr>
        <w:tc>
          <w:tcPr/>
          <w:p>
            <w:pPr>
              <w:pStyle w:val="Compact"/>
              <w:jc w:val="left"/>
            </w:pPr>
            <w:r>
              <w:rPr>
                <w:bCs/>
                <w:b/>
              </w:rPr>
              <w:t xml:space="preserve">单点故障影响</w:t>
            </w:r>
          </w:p>
        </w:tc>
        <w:tc>
          <w:tcPr/>
          <w:p>
            <w:pPr>
              <w:pStyle w:val="Compact"/>
              <w:jc w:val="left"/>
            </w:pPr>
            <w:r>
              <w:t xml:space="preserve">NVSwitch故障影响8 GPU</w:t>
            </w:r>
          </w:p>
        </w:tc>
        <w:tc>
          <w:tcPr/>
          <w:p>
            <w:pPr>
              <w:pStyle w:val="Compact"/>
              <w:jc w:val="left"/>
            </w:pPr>
            <w:r>
              <w:rPr>
                <w:bCs/>
                <w:b/>
              </w:rPr>
              <w:t xml:space="preserve">仅影响故障Brick自身</w:t>
            </w:r>
          </w:p>
        </w:tc>
      </w:tr>
      <w:tr>
        <w:tc>
          <w:tcPr/>
          <w:p>
            <w:pPr>
              <w:pStyle w:val="Compact"/>
              <w:jc w:val="left"/>
            </w:pPr>
            <w:r>
              <w:rPr>
                <w:bCs/>
                <w:b/>
              </w:rPr>
              <w:t xml:space="preserve">最大规模</w:t>
            </w:r>
          </w:p>
        </w:tc>
        <w:tc>
          <w:tcPr/>
          <w:p>
            <w:pPr>
              <w:pStyle w:val="Compact"/>
              <w:jc w:val="left"/>
            </w:pPr>
            <w:r>
              <w:t xml:space="preserve">576 GPU（NVLink fabric）</w:t>
            </w:r>
          </w:p>
        </w:tc>
        <w:tc>
          <w:tcPr/>
          <w:p>
            <w:pPr>
              <w:pStyle w:val="Compact"/>
              <w:jc w:val="left"/>
            </w:pPr>
            <w:r>
              <w:rPr>
                <w:bCs/>
                <w:b/>
              </w:rPr>
              <w:t xml:space="preserve">无理论上限</w:t>
            </w:r>
          </w:p>
        </w:tc>
      </w:tr>
    </w:tbl>
    <w:p>
      <w:pPr>
        <w:pStyle w:val="BodyText"/>
      </w:pPr>
      <w:r>
        <w:t xml:space="preserve">Brick拓扑的精髓在于</w:t>
      </w:r>
      <w:r>
        <w:t xml:space="preserve"> </w:t>
      </w:r>
      <w:r>
        <w:rPr>
          <w:bCs/>
          <w:b/>
        </w:rPr>
        <w:t xml:space="preserve">“</w:t>
      </w:r>
      <w:r>
        <w:rPr>
          <w:bCs/>
          <w:b/>
        </w:rPr>
        <w:t xml:space="preserve">匹配工作负载需求的带宽才是有效带宽</w:t>
      </w:r>
      <w:r>
        <w:rPr>
          <w:bCs/>
          <w:b/>
        </w:rPr>
        <w:t xml:space="preserve">”</w:t>
      </w:r>
      <w:r>
        <w:t xml:space="preserve">。在流水线并行模式下，每轮只传输相邻节点间的激活值切片，无需任意对任意的全连接通信。Brick的4 GB/s PCIe带宽虽然比NVLink低两个数量级，但对于流水线相邻阶段的点对点通信而言完全充裕——激活值传输占比低于0.01%。作为对比，GPU的900 GB/s NVLink带宽在张量并行（AllReduce）中确实能实现95-98%的利用率</w:t>
      </w:r>
      <w:r>
        <w:t xml:space="preserve"> </w:t>
      </w:r>
      <w:r>
        <w:rPr>
          <w:vertAlign w:val="superscript"/>
        </w:rPr>
        <w:footnoteReference w:id="8"/>
      </w:r>
      <w:r>
        <w:t xml:space="preserve">，但张量并行恰恰是Brick不需要的通信模式。</w:t>
      </w:r>
    </w:p>
    <w:bookmarkEnd w:id="21"/>
    <w:bookmarkStart w:id="22" w:name="即插即用-vs-机架部署"/>
    <w:p>
      <w:pPr>
        <w:pStyle w:val="Heading3"/>
      </w:pPr>
      <w:r>
        <w:t xml:space="preserve">3.3 即插即用 vs 机架部署</w:t>
      </w:r>
    </w:p>
    <w:p>
      <w:pPr>
        <w:pStyle w:val="FirstParagraph"/>
      </w:pPr>
      <w:r>
        <w:t xml:space="preserve">通信架构的差异最终体现在部署形态上。</w:t>
      </w:r>
    </w:p>
    <w:p>
      <w:pPr>
        <w:pStyle w:val="BodyText"/>
      </w:pPr>
      <w:r>
        <w:rPr>
          <w:bCs/>
          <w:b/>
        </w:rPr>
        <w:t xml:space="preserve">表10：部署形态对比</w:t>
      </w:r>
      <w:r>
        <w:rPr>
          <w:bCs/>
          <w:b/>
        </w:rPr>
        <w:t xml:space="preserve"> </w:t>
      </w:r>
      <w:r>
        <w:rPr>
          <w:vertAlign w:val="superscript"/>
        </w:rPr>
        <w:footnoteReference w:id="9"/>
      </w:r>
      <w:r>
        <w:rPr>
          <w:bCs/>
          <w:b/>
        </w:rPr>
        <w:t xml:space="preserve"> </w:t>
      </w:r>
      <w:r>
        <w:rPr>
          <w:vertAlign w:val="superscript"/>
        </w:rPr>
        <w:footnoteReference w:id="10"/>
      </w:r>
    </w:p>
    <w:tbl>
      <w:tblPr>
        <w:tblStyle w:val="Table"/>
        <w:tblW w:type="pct" w:w="5000"/>
        <w:tblLook w:firstRow="1" w:lastRow="0" w:firstColumn="0" w:lastColumn="0" w:noHBand="0" w:noVBand="0" w:val="0020"/>
      </w:tblPr>
      <w:tblGrid>
        <w:gridCol w:w="1875"/>
        <w:gridCol w:w="1667"/>
        <w:gridCol w:w="1250"/>
        <w:gridCol w:w="1875"/>
        <w:gridCol w:w="1250"/>
      </w:tblGrid>
      <w:tr>
        <w:trPr>
          <w:tblHeader w:val="true"/>
        </w:trPr>
        <w:tc>
          <w:tcPr/>
          <w:p>
            <w:pPr>
              <w:pStyle w:val="Compact"/>
              <w:jc w:val="left"/>
            </w:pPr>
            <w:r>
              <w:t xml:space="preserve">系统型号</w:t>
            </w:r>
          </w:p>
        </w:tc>
        <w:tc>
          <w:tcPr/>
          <w:p>
            <w:pPr>
              <w:pStyle w:val="Compact"/>
              <w:jc w:val="left"/>
            </w:pPr>
            <w:r>
              <w:t xml:space="preserve">GPU数量</w:t>
            </w:r>
          </w:p>
        </w:tc>
        <w:tc>
          <w:tcPr/>
          <w:p>
            <w:pPr>
              <w:pStyle w:val="Compact"/>
              <w:jc w:val="left"/>
            </w:pPr>
            <w:r>
              <w:t xml:space="preserve">重量</w:t>
            </w:r>
          </w:p>
        </w:tc>
        <w:tc>
          <w:tcPr/>
          <w:p>
            <w:pPr>
              <w:pStyle w:val="Compact"/>
              <w:jc w:val="left"/>
            </w:pPr>
            <w:r>
              <w:t xml:space="preserve">最大功率</w:t>
            </w:r>
          </w:p>
        </w:tc>
        <w:tc>
          <w:tcPr/>
          <w:p>
            <w:pPr>
              <w:pStyle w:val="Compact"/>
              <w:jc w:val="left"/>
            </w:pPr>
            <w:r>
              <w:t xml:space="preserve">价格</w:t>
            </w:r>
          </w:p>
        </w:tc>
      </w:tr>
      <w:tr>
        <w:tc>
          <w:tcPr/>
          <w:p>
            <w:pPr>
              <w:pStyle w:val="Compact"/>
              <w:jc w:val="left"/>
            </w:pPr>
            <w:r>
              <w:t xml:space="preserve">DGX A100</w:t>
            </w:r>
          </w:p>
        </w:tc>
        <w:tc>
          <w:tcPr/>
          <w:p>
            <w:pPr>
              <w:pStyle w:val="Compact"/>
              <w:jc w:val="left"/>
            </w:pPr>
            <w:r>
              <w:t xml:space="preserve">8× A100</w:t>
            </w:r>
          </w:p>
        </w:tc>
        <w:tc>
          <w:tcPr/>
          <w:p>
            <w:pPr>
              <w:pStyle w:val="Compact"/>
              <w:jc w:val="left"/>
            </w:pPr>
            <w:r>
              <w:t xml:space="preserve">123 kg</w:t>
            </w:r>
          </w:p>
        </w:tc>
        <w:tc>
          <w:tcPr/>
          <w:p>
            <w:pPr>
              <w:pStyle w:val="Compact"/>
              <w:jc w:val="left"/>
            </w:pPr>
            <w:r>
              <w:t xml:space="preserve">~6.5 kW</w:t>
            </w:r>
          </w:p>
        </w:tc>
        <w:tc>
          <w:tcPr/>
          <w:p>
            <w:pPr>
              <w:pStyle w:val="Compact"/>
              <w:jc w:val="left"/>
            </w:pPr>
            <w:r>
              <w:t xml:space="preserve">~$200,000</w:t>
            </w:r>
          </w:p>
        </w:tc>
      </w:tr>
      <w:tr>
        <w:tc>
          <w:tcPr/>
          <w:p>
            <w:pPr>
              <w:pStyle w:val="Compact"/>
              <w:jc w:val="left"/>
            </w:pPr>
            <w:r>
              <w:t xml:space="preserve">DGX H100</w:t>
            </w:r>
          </w:p>
        </w:tc>
        <w:tc>
          <w:tcPr/>
          <w:p>
            <w:pPr>
              <w:pStyle w:val="Compact"/>
              <w:jc w:val="left"/>
            </w:pPr>
            <w:r>
              <w:t xml:space="preserve">8× H100</w:t>
            </w:r>
          </w:p>
        </w:tc>
        <w:tc>
          <w:tcPr/>
          <w:p>
            <w:pPr>
              <w:pStyle w:val="Compact"/>
              <w:jc w:val="left"/>
            </w:pPr>
            <w:r>
              <w:t xml:space="preserve">130 kg</w:t>
            </w:r>
          </w:p>
        </w:tc>
        <w:tc>
          <w:tcPr/>
          <w:p>
            <w:pPr>
              <w:pStyle w:val="Compact"/>
              <w:jc w:val="left"/>
            </w:pPr>
            <w:r>
              <w:t xml:space="preserve">~10.2 kW</w:t>
            </w:r>
          </w:p>
        </w:tc>
        <w:tc>
          <w:tcPr/>
          <w:p>
            <w:pPr>
              <w:pStyle w:val="Compact"/>
              <w:jc w:val="left"/>
            </w:pPr>
            <w:r>
              <w:t xml:space="preserve">~$300,000-500,000</w:t>
            </w:r>
          </w:p>
        </w:tc>
      </w:tr>
      <w:tr>
        <w:tc>
          <w:tcPr/>
          <w:p>
            <w:pPr>
              <w:pStyle w:val="Compact"/>
              <w:jc w:val="left"/>
            </w:pPr>
            <w:r>
              <w:t xml:space="preserve">GB200 NVL72</w:t>
            </w:r>
          </w:p>
        </w:tc>
        <w:tc>
          <w:tcPr/>
          <w:p>
            <w:pPr>
              <w:pStyle w:val="Compact"/>
              <w:jc w:val="left"/>
            </w:pPr>
            <w:r>
              <w:t xml:space="preserve">72× B200</w:t>
            </w:r>
          </w:p>
        </w:tc>
        <w:tc>
          <w:tcPr/>
          <w:p>
            <w:pPr>
              <w:pStyle w:val="Compact"/>
              <w:jc w:val="left"/>
            </w:pPr>
            <w:r>
              <w:t xml:space="preserve">数百kg</w:t>
            </w:r>
          </w:p>
        </w:tc>
        <w:tc>
          <w:tcPr/>
          <w:p>
            <w:pPr>
              <w:pStyle w:val="Compact"/>
              <w:jc w:val="left"/>
            </w:pPr>
            <w:r>
              <w:t xml:space="preserve">120-140 kW</w:t>
            </w:r>
          </w:p>
        </w:tc>
        <w:tc>
          <w:tcPr/>
          <w:p>
            <w:pPr>
              <w:pStyle w:val="Compact"/>
              <w:jc w:val="left"/>
            </w:pPr>
            <w:r>
              <w:t xml:space="preserve">数百万美元</w:t>
            </w:r>
          </w:p>
        </w:tc>
      </w:tr>
      <w:tr>
        <w:tc>
          <w:tcPr/>
          <w:p>
            <w:pPr>
              <w:pStyle w:val="Compact"/>
              <w:jc w:val="left"/>
            </w:pPr>
            <w:r>
              <w:rPr>
                <w:bCs/>
                <w:b/>
              </w:rPr>
              <w:t xml:space="preserve">4× Brick流水线</w:t>
            </w:r>
          </w:p>
        </w:tc>
        <w:tc>
          <w:tcPr/>
          <w:p>
            <w:pPr>
              <w:pStyle w:val="Compact"/>
              <w:jc w:val="left"/>
            </w:pPr>
            <w:r>
              <w:rPr>
                <w:bCs/>
                <w:b/>
              </w:rPr>
              <w:t xml:space="preserve">4× 飞腾E2000Q</w:t>
            </w:r>
          </w:p>
        </w:tc>
        <w:tc>
          <w:tcPr/>
          <w:p>
            <w:pPr>
              <w:pStyle w:val="Compact"/>
              <w:jc w:val="left"/>
            </w:pPr>
            <w:r>
              <w:rPr>
                <w:bCs/>
                <w:b/>
              </w:rPr>
              <w:t xml:space="preserve">&lt;200 g</w:t>
            </w:r>
          </w:p>
        </w:tc>
        <w:tc>
          <w:tcPr/>
          <w:p>
            <w:pPr>
              <w:pStyle w:val="Compact"/>
              <w:jc w:val="left"/>
            </w:pPr>
            <w:r>
              <w:rPr>
                <w:bCs/>
                <w:b/>
              </w:rPr>
              <w:t xml:space="preserve">32-40 W</w:t>
            </w:r>
          </w:p>
        </w:tc>
        <w:tc>
          <w:tcPr/>
          <w:p>
            <w:pPr>
              <w:pStyle w:val="Compact"/>
              <w:jc w:val="left"/>
            </w:pPr>
            <w:r>
              <w:rPr>
                <w:bCs/>
                <w:b/>
              </w:rPr>
              <w:t xml:space="preserve">¥3,720</w:t>
            </w:r>
          </w:p>
        </w:tc>
      </w:tr>
    </w:tbl>
    <w:p>
      <w:pPr>
        <w:pStyle w:val="BodyText"/>
      </w:pPr>
      <w:r>
        <w:t xml:space="preserve">DGX H100单台重达130 kg，功耗10.2 kW，需要专用机房、UPS、精密空调或液冷设施、冗余电源馈线（200-240V）、加强承重的高架地板</w:t>
      </w:r>
      <w:r>
        <w:t xml:space="preserve"> </w:t>
      </w:r>
      <w:fldSimple w:instr="NOTEREF _Ref_Footnote_9 \h \f">
        <w:r>
          <w:rPr>
            <w:vertAlign w:val="superscript"/>
          </w:rPr>
          <w:t>9</w:t>
        </w:r>
      </w:fldSimple>
      <w:r>
        <w:t xml:space="preserve"> </w:t>
      </w:r>
      <w:r>
        <w:rPr>
          <w:vertAlign w:val="superscript"/>
        </w:rPr>
        <w:footnoteReference w:id="11"/>
      </w:r>
      <w:r>
        <w:t xml:space="preserve">。单台年电费（按$0.1/kWh计）约$8,900。PUE 1.2-1.5意味着每1 kW IT负载需要额外0.2-0.5 kW用于冷却和配电损耗</w:t>
      </w:r>
      <w:r>
        <w:t xml:space="preserve"> </w:t>
      </w:r>
      <w:fldSimple w:instr="NOTEREF _Ref_Footnote_9 \h \f">
        <w:r>
          <w:rPr>
            <w:vertAlign w:val="superscript"/>
          </w:rPr>
          <w:t>9</w:t>
        </w:r>
      </w:fldSimple>
      <w:r>
        <w:t xml:space="preserve">。</w:t>
      </w:r>
    </w:p>
    <w:p>
      <w:pPr>
        <w:pStyle w:val="BodyText"/>
      </w:pPr>
      <w:r>
        <w:t xml:space="preserve">相比之下，</w:t>
      </w:r>
      <w:r>
        <w:rPr>
          <w:bCs/>
          <w:b/>
        </w:rPr>
        <w:t xml:space="preserve">4块Brick总功耗32-40W，可使用标准笔记本电源适配器（65-100W）供电</w:t>
      </w:r>
      <w:r>
        <w:t xml:space="preserve">。无需交换机、无需专用机房、无需冷却设施、无需UPS。从采购到运行的总硬件成本不到1000美元。这一对比并非简单的”便宜vs昂贵”，而是两种架构在部署哲学上的根本分野：GPU追求的是”将最大算力塞进一个机架”，Brick追求的是”将足够算力送到任何需要的地方”。</w:t>
      </w:r>
    </w:p>
    <w:p>
      <w:r>
        <w:pict>
          <v:rect style="width:0;height:1.5pt" o:hralign="center" o:hrstd="t" o:hr="t"/>
        </w:pict>
      </w:r>
    </w:p>
    <w:bookmarkEnd w:id="22"/>
    <w:bookmarkEnd w:id="23"/>
    <w:bookmarkStart w:id="28" w:name="四部署场景优势"/>
    <w:p>
      <w:pPr>
        <w:pStyle w:val="Heading2"/>
      </w:pPr>
      <w:r>
        <w:t xml:space="preserve">四、部署场景优势</w:t>
      </w:r>
    </w:p>
    <w:p>
      <w:pPr>
        <w:pStyle w:val="FirstParagraph"/>
      </w:pPr>
      <w:r>
        <w:t xml:space="preserve">物理维度和通信维度的优势在具体部署场景中汇聚为差异化的竞争力。本章节分析四个GPU难以有效覆盖、而Brick具有天然适配性的场景。</w:t>
      </w:r>
    </w:p>
    <w:bookmarkStart w:id="24" w:name="低功耗终端填补覆盖空白"/>
    <w:p>
      <w:pPr>
        <w:pStyle w:val="Heading3"/>
      </w:pPr>
      <w:r>
        <w:t xml:space="preserve">4.1 低功耗终端：填补覆盖空白</w:t>
      </w:r>
    </w:p>
    <w:p>
      <w:pPr>
        <w:pStyle w:val="FirstParagraph"/>
      </w:pPr>
      <w:r>
        <w:t xml:space="preserve">桌面级AI助手和嵌入式AI设备是当前市场的显著痛点。以NVIDIA Jetson Orin Nano为例，虽然其标称功耗为5-28W，但实际部署中存在明确的散热门槛：</w:t>
      </w:r>
      <w:r>
        <w:rPr>
          <w:bCs/>
          <w:b/>
        </w:rPr>
        <w:t xml:space="preserve">当持续功耗超过15W时必须使用主动散热（风扇），超过12W时无风扇方案仅在通风良好的环境中可行</w:t>
      </w:r>
      <w:r>
        <w:t xml:space="preserve"> </w:t>
      </w:r>
      <w:r>
        <w:t xml:space="preserve">[^1]。这意味着在ITX机箱或更小的封闭空间中运行7B级别LLM推理时，Jetson Orin Nano要么面临热节流风险（80°C结温阈值触发降频），要么必须加装风扇——增加了噪音、故障点和体积。</w:t>
      </w:r>
    </w:p>
    <w:p>
      <w:pPr>
        <w:pStyle w:val="BodyText"/>
      </w:pPr>
      <w:r>
        <w:rPr>
          <w:bCs/>
          <w:b/>
        </w:rPr>
        <w:t xml:space="preserve">表11：低功耗终端方案对比 [^1] [^2]</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方案</w:t>
            </w:r>
          </w:p>
        </w:tc>
        <w:tc>
          <w:tcPr/>
          <w:p>
            <w:pPr>
              <w:pStyle w:val="Compact"/>
              <w:jc w:val="left"/>
            </w:pPr>
            <w:r>
              <w:t xml:space="preserve">功耗</w:t>
            </w:r>
          </w:p>
        </w:tc>
        <w:tc>
          <w:tcPr/>
          <w:p>
            <w:pPr>
              <w:pStyle w:val="Compact"/>
              <w:jc w:val="left"/>
            </w:pPr>
            <w:r>
              <w:t xml:space="preserve">散热方式</w:t>
            </w:r>
          </w:p>
        </w:tc>
        <w:tc>
          <w:tcPr/>
          <w:p>
            <w:pPr>
              <w:pStyle w:val="Compact"/>
              <w:jc w:val="left"/>
            </w:pPr>
            <w:r>
              <w:t xml:space="preserve">7B LLM推理能力</w:t>
            </w:r>
          </w:p>
        </w:tc>
        <w:tc>
          <w:tcPr/>
          <w:p>
            <w:pPr>
              <w:pStyle w:val="Compact"/>
              <w:jc w:val="left"/>
            </w:pPr>
            <w:r>
              <w:t xml:space="preserve">无风扇可行性</w:t>
            </w:r>
          </w:p>
        </w:tc>
      </w:tr>
      <w:tr>
        <w:tc>
          <w:tcPr/>
          <w:p>
            <w:pPr>
              <w:pStyle w:val="Compact"/>
              <w:jc w:val="left"/>
            </w:pPr>
            <w:r>
              <w:t xml:space="preserve">Hailo-8</w:t>
            </w:r>
          </w:p>
        </w:tc>
        <w:tc>
          <w:tcPr/>
          <w:p>
            <w:pPr>
              <w:pStyle w:val="Compact"/>
              <w:jc w:val="left"/>
            </w:pPr>
            <w:r>
              <w:t xml:space="preserve">3.5W</w:t>
            </w:r>
          </w:p>
        </w:tc>
        <w:tc>
          <w:tcPr/>
          <w:p>
            <w:pPr>
              <w:pStyle w:val="Compact"/>
              <w:jc w:val="left"/>
            </w:pPr>
            <w:r>
              <w:t xml:space="preserve">被动</w:t>
            </w:r>
          </w:p>
        </w:tc>
        <w:tc>
          <w:tcPr/>
          <w:p>
            <w:pPr>
              <w:pStyle w:val="Compact"/>
              <w:jc w:val="left"/>
            </w:pPr>
            <w:r>
              <w:t xml:space="preserve">否（仅视觉CNN）</w:t>
            </w:r>
          </w:p>
        </w:tc>
        <w:tc>
          <w:tcPr/>
          <w:p>
            <w:pPr>
              <w:pStyle w:val="Compact"/>
              <w:jc w:val="left"/>
            </w:pPr>
            <w:r>
              <w:t xml:space="preserve">是</w:t>
            </w:r>
          </w:p>
        </w:tc>
      </w:tr>
      <w:tr>
        <w:tc>
          <w:tcPr/>
          <w:p>
            <w:pPr>
              <w:pStyle w:val="Compact"/>
              <w:jc w:val="left"/>
            </w:pPr>
            <w:r>
              <w:t xml:space="preserve">Jetson Orin Nano</w:t>
            </w:r>
          </w:p>
        </w:tc>
        <w:tc>
          <w:tcPr/>
          <w:p>
            <w:pPr>
              <w:pStyle w:val="Compact"/>
              <w:jc w:val="left"/>
            </w:pPr>
            <w:r>
              <w:t xml:space="preserve">15W默认</w:t>
            </w:r>
          </w:p>
        </w:tc>
        <w:tc>
          <w:tcPr/>
          <w:p>
            <w:pPr>
              <w:pStyle w:val="Compact"/>
              <w:jc w:val="left"/>
            </w:pPr>
            <w:r>
              <w:t xml:space="preserve">小风扇</w:t>
            </w:r>
          </w:p>
        </w:tc>
        <w:tc>
          <w:tcPr/>
          <w:p>
            <w:pPr>
              <w:pStyle w:val="Compact"/>
              <w:jc w:val="left"/>
            </w:pPr>
            <w:r>
              <w:t xml:space="preserve">是</w:t>
            </w:r>
          </w:p>
        </w:tc>
        <w:tc>
          <w:tcPr/>
          <w:p>
            <w:pPr>
              <w:pStyle w:val="Compact"/>
              <w:jc w:val="left"/>
            </w:pPr>
            <w:r>
              <w:t xml:space="preserve">否（&gt;12W需风扇）</w:t>
            </w:r>
          </w:p>
        </w:tc>
      </w:tr>
      <w:tr>
        <w:tc>
          <w:tcPr/>
          <w:p>
            <w:pPr>
              <w:pStyle w:val="Compact"/>
              <w:jc w:val="left"/>
            </w:pPr>
            <w:r>
              <w:t xml:space="preserve">Jetson Orin NX</w:t>
            </w:r>
          </w:p>
        </w:tc>
        <w:tc>
          <w:tcPr/>
          <w:p>
            <w:pPr>
              <w:pStyle w:val="Compact"/>
              <w:jc w:val="left"/>
            </w:pPr>
            <w:r>
              <w:t xml:space="preserve">10-40W</w:t>
            </w:r>
          </w:p>
        </w:tc>
        <w:tc>
          <w:tcPr/>
          <w:p>
            <w:pPr>
              <w:pStyle w:val="Compact"/>
              <w:jc w:val="left"/>
            </w:pPr>
            <w:r>
              <w:t xml:space="preserve">风扇必须</w:t>
            </w:r>
          </w:p>
        </w:tc>
        <w:tc>
          <w:tcPr/>
          <w:p>
            <w:pPr>
              <w:pStyle w:val="Compact"/>
              <w:jc w:val="left"/>
            </w:pPr>
            <w:r>
              <w:t xml:space="preserve">是</w:t>
            </w:r>
          </w:p>
        </w:tc>
        <w:tc>
          <w:tcPr/>
          <w:p>
            <w:pPr>
              <w:pStyle w:val="Compact"/>
              <w:jc w:val="left"/>
            </w:pPr>
            <w:r>
              <w:t xml:space="preserve">否</w:t>
            </w:r>
          </w:p>
        </w:tc>
      </w:tr>
      <w:tr>
        <w:tc>
          <w:tcPr/>
          <w:p>
            <w:pPr>
              <w:pStyle w:val="Compact"/>
              <w:jc w:val="left"/>
            </w:pPr>
            <w:r>
              <w:t xml:space="preserve">Raspberry Pi 5</w:t>
            </w:r>
          </w:p>
        </w:tc>
        <w:tc>
          <w:tcPr/>
          <w:p>
            <w:pPr>
              <w:pStyle w:val="Compact"/>
              <w:jc w:val="left"/>
            </w:pPr>
            <w:r>
              <w:t xml:space="preserve">3.8-7.3W</w:t>
            </w:r>
          </w:p>
        </w:tc>
        <w:tc>
          <w:tcPr/>
          <w:p>
            <w:pPr>
              <w:pStyle w:val="Compact"/>
              <w:jc w:val="left"/>
            </w:pPr>
            <w:r>
              <w:t xml:space="preserve">被动</w:t>
            </w:r>
          </w:p>
        </w:tc>
        <w:tc>
          <w:tcPr/>
          <w:p>
            <w:pPr>
              <w:pStyle w:val="Compact"/>
              <w:jc w:val="left"/>
            </w:pPr>
            <w:r>
              <w:t xml:space="preserve">否（&lt;1 tok/s）</w:t>
            </w:r>
          </w:p>
        </w:tc>
        <w:tc>
          <w:tcPr/>
          <w:p>
            <w:pPr>
              <w:pStyle w:val="Compact"/>
              <w:jc w:val="left"/>
            </w:pPr>
            <w:r>
              <w:t xml:space="preserve">是</w:t>
            </w:r>
          </w:p>
        </w:tc>
      </w:tr>
      <w:tr>
        <w:tc>
          <w:tcPr/>
          <w:p>
            <w:pPr>
              <w:pStyle w:val="Compact"/>
              <w:jc w:val="left"/>
            </w:pPr>
            <w:r>
              <w:rPr>
                <w:bCs/>
                <w:b/>
              </w:rPr>
              <w:t xml:space="preserve">Brick</w:t>
            </w:r>
          </w:p>
        </w:tc>
        <w:tc>
          <w:tcPr/>
          <w:p>
            <w:pPr>
              <w:pStyle w:val="Compact"/>
              <w:jc w:val="left"/>
            </w:pPr>
            <w:r>
              <w:rPr>
                <w:bCs/>
                <w:b/>
              </w:rPr>
              <w:t xml:space="preserve">8-10W</w:t>
            </w:r>
          </w:p>
        </w:tc>
        <w:tc>
          <w:tcPr/>
          <w:p>
            <w:pPr>
              <w:pStyle w:val="Compact"/>
              <w:jc w:val="left"/>
            </w:pPr>
            <w:r>
              <w:rPr>
                <w:bCs/>
                <w:b/>
              </w:rPr>
              <w:t xml:space="preserve">被动</w:t>
            </w:r>
          </w:p>
        </w:tc>
        <w:tc>
          <w:tcPr/>
          <w:p>
            <w:pPr>
              <w:pStyle w:val="Compact"/>
              <w:jc w:val="left"/>
            </w:pPr>
            <w:r>
              <w:rPr>
                <w:bCs/>
                <w:b/>
              </w:rPr>
              <w:t xml:space="preserve">是（流水线并行）</w:t>
            </w:r>
          </w:p>
        </w:tc>
        <w:tc>
          <w:tcPr/>
          <w:p>
            <w:pPr>
              <w:pStyle w:val="Compact"/>
              <w:jc w:val="left"/>
            </w:pPr>
            <w:r>
              <w:rPr>
                <w:bCs/>
                <w:b/>
              </w:rPr>
              <w:t xml:space="preserve">是</w:t>
            </w:r>
          </w:p>
        </w:tc>
      </w:tr>
    </w:tbl>
    <w:p>
      <w:pPr>
        <w:pStyle w:val="BodyText"/>
      </w:pPr>
      <w:r>
        <w:t xml:space="preserve">Brick在8-10W功耗下即可实现无风扇被动散热，同时通过流水线并行支持7B级别LLM推理——这是目前市售边缘AI加速器中</w:t>
      </w:r>
      <w:r>
        <w:t xml:space="preserve"> </w:t>
      </w:r>
      <w:r>
        <w:rPr>
          <w:bCs/>
          <w:b/>
        </w:rPr>
        <w:t xml:space="preserve">唯一能同时满足”&lt;15W无风扇”+</w:t>
      </w:r>
      <w:r>
        <w:rPr>
          <w:bCs/>
          <w:b/>
        </w:rPr>
        <w:t xml:space="preserve">“</w:t>
      </w:r>
      <w:r>
        <w:rPr>
          <w:bCs/>
          <w:b/>
        </w:rPr>
        <w:t xml:space="preserve">LLM推理</w:t>
      </w:r>
      <w:r>
        <w:rPr>
          <w:bCs/>
          <w:b/>
        </w:rPr>
        <w:t xml:space="preserve">”</w:t>
      </w:r>
      <w:r>
        <w:t xml:space="preserve"> </w:t>
      </w:r>
      <w:r>
        <w:t xml:space="preserve">两个条件的方案。对于桌面AI助手（功耗&lt;50W、体积&lt;ITX机箱）、便携式设备（电池供电、续航要求）、嵌入式AI设备（无风扇防尘）等场景，Brick填补了一个明确的覆盖空白。</w:t>
      </w:r>
    </w:p>
    <w:bookmarkEnd w:id="24"/>
    <w:bookmarkStart w:id="25" w:name="工业边缘进入gpu禁区"/>
    <w:p>
      <w:pPr>
        <w:pStyle w:val="Heading3"/>
      </w:pPr>
      <w:r>
        <w:t xml:space="preserve">4.2 工业边缘：进入GPU禁区</w:t>
      </w:r>
    </w:p>
    <w:p>
      <w:pPr>
        <w:pStyle w:val="FirstParagraph"/>
      </w:pPr>
      <w:r>
        <w:t xml:space="preserve">工业边缘环境是GPU的”死亡禁区”——不是因为算力不够，而是因为GPU的物理设计根本不适应这些环境。</w:t>
      </w:r>
    </w:p>
    <w:p>
      <w:pPr>
        <w:pStyle w:val="BodyText"/>
      </w:pPr>
      <w:r>
        <w:rPr>
          <w:bCs/>
          <w:b/>
        </w:rPr>
        <w:t xml:space="preserve">表12：工业场景约束对比 [^3] [^5] [^6] [^7]</w:t>
      </w:r>
    </w:p>
    <w:tbl>
      <w:tblPr>
        <w:tblStyle w:val="Table"/>
        <w:tblW w:type="pct" w:w="5000"/>
        <w:tblLook w:firstRow="1" w:lastRow="0" w:firstColumn="0" w:lastColumn="0" w:noHBand="0" w:noVBand="0" w:val="0020"/>
      </w:tblPr>
      <w:tblGrid>
        <w:gridCol w:w="913"/>
        <w:gridCol w:w="913"/>
        <w:gridCol w:w="913"/>
        <w:gridCol w:w="913"/>
        <w:gridCol w:w="913"/>
        <w:gridCol w:w="1523"/>
        <w:gridCol w:w="1827"/>
      </w:tblGrid>
      <w:tr>
        <w:trPr>
          <w:tblHeader w:val="true"/>
        </w:trPr>
        <w:tc>
          <w:tcPr/>
          <w:p>
            <w:pPr>
              <w:pStyle w:val="Compact"/>
              <w:jc w:val="left"/>
            </w:pPr>
            <w:r>
              <w:t xml:space="preserve">场景</w:t>
            </w:r>
          </w:p>
        </w:tc>
        <w:tc>
          <w:tcPr/>
          <w:p>
            <w:pPr>
              <w:pStyle w:val="Compact"/>
              <w:jc w:val="left"/>
            </w:pPr>
            <w:r>
              <w:t xml:space="preserve">温度</w:t>
            </w:r>
          </w:p>
        </w:tc>
        <w:tc>
          <w:tcPr/>
          <w:p>
            <w:pPr>
              <w:pStyle w:val="Compact"/>
              <w:jc w:val="left"/>
            </w:pPr>
            <w:r>
              <w:t xml:space="preserve">粉尘</w:t>
            </w:r>
          </w:p>
        </w:tc>
        <w:tc>
          <w:tcPr/>
          <w:p>
            <w:pPr>
              <w:pStyle w:val="Compact"/>
              <w:jc w:val="left"/>
            </w:pPr>
            <w:r>
              <w:t xml:space="preserve">供电</w:t>
            </w:r>
          </w:p>
        </w:tc>
        <w:tc>
          <w:tcPr/>
          <w:p>
            <w:pPr>
              <w:pStyle w:val="Compact"/>
              <w:jc w:val="left"/>
            </w:pPr>
            <w:r>
              <w:t xml:space="preserve">空间</w:t>
            </w:r>
          </w:p>
        </w:tc>
        <w:tc>
          <w:tcPr/>
          <w:p>
            <w:pPr>
              <w:pStyle w:val="Compact"/>
              <w:jc w:val="left"/>
            </w:pPr>
            <w:r>
              <w:t xml:space="preserve">GPU可行性</w:t>
            </w:r>
          </w:p>
        </w:tc>
        <w:tc>
          <w:tcPr/>
          <w:p>
            <w:pPr>
              <w:pStyle w:val="Compact"/>
              <w:jc w:val="left"/>
            </w:pPr>
            <w:r>
              <w:t xml:space="preserve">Brick可行性</w:t>
            </w:r>
          </w:p>
        </w:tc>
      </w:tr>
      <w:tr>
        <w:tc>
          <w:tcPr/>
          <w:p>
            <w:pPr>
              <w:pStyle w:val="Compact"/>
              <w:jc w:val="left"/>
            </w:pPr>
            <w:r>
              <w:t xml:space="preserve">工厂车间</w:t>
            </w:r>
          </w:p>
        </w:tc>
        <w:tc>
          <w:tcPr/>
          <w:p>
            <w:pPr>
              <w:pStyle w:val="Compact"/>
              <w:jc w:val="left"/>
            </w:pPr>
            <w:r>
              <w:t xml:space="preserve">可达50°C</w:t>
            </w:r>
          </w:p>
        </w:tc>
        <w:tc>
          <w:tcPr/>
          <w:p>
            <w:pPr>
              <w:pStyle w:val="Compact"/>
              <w:jc w:val="left"/>
            </w:pPr>
            <w:r>
              <w:t xml:space="preserve">严重</w:t>
            </w:r>
          </w:p>
        </w:tc>
        <w:tc>
          <w:tcPr/>
          <w:p>
            <w:pPr>
              <w:pStyle w:val="Compact"/>
              <w:jc w:val="left"/>
            </w:pPr>
            <w:r>
              <w:t xml:space="preserve">100W预算</w:t>
            </w:r>
          </w:p>
        </w:tc>
        <w:tc>
          <w:tcPr/>
          <w:p>
            <w:pPr>
              <w:pStyle w:val="Compact"/>
              <w:jc w:val="left"/>
            </w:pPr>
            <w:r>
              <w:t xml:space="preserve">机柜内</w:t>
            </w:r>
          </w:p>
        </w:tc>
        <w:tc>
          <w:tcPr/>
          <w:p>
            <w:pPr>
              <w:pStyle w:val="Compact"/>
              <w:jc w:val="left"/>
            </w:pPr>
            <w:r>
              <w:t xml:space="preserve">否（粉尘敏感+散热不足）</w:t>
            </w:r>
          </w:p>
        </w:tc>
        <w:tc>
          <w:tcPr/>
          <w:p>
            <w:pPr>
              <w:pStyle w:val="Compact"/>
              <w:jc w:val="left"/>
            </w:pPr>
            <w:r>
              <w:t xml:space="preserve">是（密封防尘+被动散热）</w:t>
            </w:r>
          </w:p>
        </w:tc>
      </w:tr>
      <w:tr>
        <w:tc>
          <w:tcPr/>
          <w:p>
            <w:pPr>
              <w:pStyle w:val="Compact"/>
              <w:jc w:val="left"/>
            </w:pPr>
            <w:r>
              <w:t xml:space="preserve">野外监测站</w:t>
            </w:r>
          </w:p>
        </w:tc>
        <w:tc>
          <w:tcPr/>
          <w:p>
            <w:pPr>
              <w:pStyle w:val="Compact"/>
              <w:jc w:val="left"/>
            </w:pPr>
            <w:r>
              <w:t xml:space="preserve">-20~60°C</w:t>
            </w:r>
          </w:p>
        </w:tc>
        <w:tc>
          <w:tcPr/>
          <w:p>
            <w:pPr>
              <w:pStyle w:val="Compact"/>
              <w:jc w:val="left"/>
            </w:pPr>
            <w:r>
              <w:t xml:space="preserve">中</w:t>
            </w:r>
          </w:p>
        </w:tc>
        <w:tc>
          <w:tcPr/>
          <w:p>
            <w:pPr>
              <w:pStyle w:val="Compact"/>
              <w:jc w:val="left"/>
            </w:pPr>
            <w:r>
              <w:t xml:space="preserve">太阳能5-20Wh/日</w:t>
            </w:r>
          </w:p>
        </w:tc>
        <w:tc>
          <w:tcPr/>
          <w:p>
            <w:pPr>
              <w:pStyle w:val="Compact"/>
              <w:jc w:val="left"/>
            </w:pPr>
            <w:r>
              <w:t xml:space="preserve">小型机箱</w:t>
            </w:r>
          </w:p>
        </w:tc>
        <w:tc>
          <w:tcPr/>
          <w:p>
            <w:pPr>
              <w:pStyle w:val="Compact"/>
              <w:jc w:val="left"/>
            </w:pPr>
            <w:r>
              <w:t xml:space="preserve">否（功耗过高）</w:t>
            </w:r>
          </w:p>
        </w:tc>
        <w:tc>
          <w:tcPr/>
          <w:p>
            <w:pPr>
              <w:pStyle w:val="Compact"/>
              <w:jc w:val="left"/>
            </w:pPr>
            <w:r>
              <w:t xml:space="preserve">是（太阳能可直接供电）</w:t>
            </w:r>
          </w:p>
        </w:tc>
      </w:tr>
      <w:tr>
        <w:tc>
          <w:tcPr/>
          <w:p>
            <w:pPr>
              <w:pStyle w:val="Compact"/>
              <w:jc w:val="left"/>
            </w:pPr>
            <w:r>
              <w:t xml:space="preserve">车载/机载</w:t>
            </w:r>
          </w:p>
        </w:tc>
        <w:tc>
          <w:tcPr/>
          <w:p>
            <w:pPr>
              <w:pStyle w:val="Compact"/>
              <w:jc w:val="left"/>
            </w:pPr>
            <w:r>
              <w:t xml:space="preserve">-40~70°C</w:t>
            </w:r>
          </w:p>
        </w:tc>
        <w:tc>
          <w:tcPr/>
          <w:p>
            <w:pPr>
              <w:pStyle w:val="Compact"/>
              <w:jc w:val="left"/>
            </w:pPr>
            <w:r>
              <w:t xml:space="preserve">中</w:t>
            </w:r>
          </w:p>
        </w:tc>
        <w:tc>
          <w:tcPr/>
          <w:p>
            <w:pPr>
              <w:pStyle w:val="Compact"/>
              <w:jc w:val="left"/>
            </w:pPr>
            <w:r>
              <w:t xml:space="preserve">&lt;50W</w:t>
            </w:r>
          </w:p>
        </w:tc>
        <w:tc>
          <w:tcPr/>
          <w:p>
            <w:pPr>
              <w:pStyle w:val="Compact"/>
              <w:jc w:val="left"/>
            </w:pPr>
            <w:r>
              <w:t xml:space="preserve">紧凑</w:t>
            </w:r>
          </w:p>
        </w:tc>
        <w:tc>
          <w:tcPr/>
          <w:p>
            <w:pPr>
              <w:pStyle w:val="Compact"/>
              <w:jc w:val="left"/>
            </w:pPr>
            <w:r>
              <w:t xml:space="preserve">困难（认证复杂）</w:t>
            </w:r>
          </w:p>
        </w:tc>
        <w:tc>
          <w:tcPr/>
          <w:p>
            <w:pPr>
              <w:pStyle w:val="Compact"/>
              <w:jc w:val="left"/>
            </w:pPr>
            <w:r>
              <w:t xml:space="preserve">是（宽温+抗震）</w:t>
            </w:r>
          </w:p>
        </w:tc>
      </w:tr>
      <w:tr>
        <w:tc>
          <w:tcPr/>
          <w:p>
            <w:pPr>
              <w:pStyle w:val="Compact"/>
              <w:jc w:val="left"/>
            </w:pPr>
            <w:r>
              <w:t xml:space="preserve">电力巡检</w:t>
            </w:r>
          </w:p>
        </w:tc>
        <w:tc>
          <w:tcPr/>
          <w:p>
            <w:pPr>
              <w:pStyle w:val="Compact"/>
              <w:jc w:val="left"/>
            </w:pPr>
            <w:r>
              <w:t xml:space="preserve">-40~70°C</w:t>
            </w:r>
          </w:p>
        </w:tc>
        <w:tc>
          <w:tcPr/>
          <w:p>
            <w:pPr>
              <w:pStyle w:val="Compact"/>
              <w:jc w:val="left"/>
            </w:pPr>
            <w:r>
              <w:t xml:space="preserve">严重</w:t>
            </w:r>
          </w:p>
        </w:tc>
        <w:tc>
          <w:tcPr/>
          <w:p>
            <w:pPr>
              <w:pStyle w:val="Compact"/>
              <w:jc w:val="left"/>
            </w:pPr>
            <w:r>
              <w:t xml:space="preserve">&lt;30W</w:t>
            </w:r>
          </w:p>
        </w:tc>
        <w:tc>
          <w:tcPr/>
          <w:p>
            <w:pPr>
              <w:pStyle w:val="Compact"/>
              <w:jc w:val="left"/>
            </w:pPr>
            <w:r>
              <w:t xml:space="preserve">小型壁挂</w:t>
            </w:r>
          </w:p>
        </w:tc>
        <w:tc>
          <w:tcPr/>
          <w:p>
            <w:pPr>
              <w:pStyle w:val="Compact"/>
              <w:jc w:val="left"/>
            </w:pPr>
            <w:r>
              <w:t xml:space="preserve">禁止（信创要求）</w:t>
            </w:r>
          </w:p>
        </w:tc>
        <w:tc>
          <w:tcPr/>
          <w:p>
            <w:pPr>
              <w:pStyle w:val="Compact"/>
              <w:jc w:val="left"/>
            </w:pPr>
            <w:r>
              <w:t xml:space="preserve">是（100%国产）</w:t>
            </w:r>
          </w:p>
        </w:tc>
      </w:tr>
    </w:tbl>
    <w:p>
      <w:pPr>
        <w:pStyle w:val="BodyText"/>
      </w:pPr>
      <w:r>
        <w:t xml:space="preserve">工业环境的恶劣程度远超GPU设计假设：制造车间温度可超过50°C，户外基础设施暴露范围为-40°C至+60°C [^3]；工业空气中的粉尘可在6-12个月内将冷却效率降低40% [^3]；重型机械造成的振动常超过2G加速度 [^3]。</w:t>
      </w:r>
      <w:r>
        <w:rPr>
          <w:bCs/>
          <w:b/>
        </w:rPr>
        <w:t xml:space="preserve">所有高性能GPU方案都需要洁净的空气流通</w:t>
      </w:r>
      <w:r>
        <w:t xml:space="preserve">，这在工业环境中是奢侈条件。</w:t>
      </w:r>
    </w:p>
    <w:p>
      <w:pPr>
        <w:pStyle w:val="BodyText"/>
      </w:pPr>
      <w:r>
        <w:t xml:space="preserve">Brick凭借其宽温设计（-40~85°C）、无风扇被动散热（防尘）、低功耗（太阳能/电池可直接供电）和抗震设计（无机械部件），能够直接进入这些GPU禁区。以太阳能供电的野外监测站为例：区域节点功耗必须控制在10W以下 [^6]，太阳能系统每日仅提供5-20Wh能量，即使是最节能的Jetson Orin Nano（典型推理8-12W）也接近功耗上限。而Brick的8-10W功耗完全在这一预算内，且支持”算力随光而动”的自适应运行——根据当日太阳能发电量灵活启用或停用部分Brick。</w:t>
      </w:r>
    </w:p>
    <w:bookmarkEnd w:id="25"/>
    <w:bookmarkStart w:id="26" w:name="模块化组装按需构建算力"/>
    <w:p>
      <w:pPr>
        <w:pStyle w:val="Heading3"/>
      </w:pPr>
      <w:r>
        <w:t xml:space="preserve">4.3 模块化组装：按需构建算力</w:t>
      </w:r>
    </w:p>
    <w:p>
      <w:pPr>
        <w:pStyle w:val="FirstParagraph"/>
      </w:pPr>
      <w:r>
        <w:t xml:space="preserve">当前GPU方案在算力扩展方面遵循”全有或全无”模式：当模型规模超出单张显卡的显存容量时，必须更换整张显卡或增加完整GPU节点。从7B升级到14B意味着从Jetson Orin Nano（8GB）升级到Orin NX（16GB），硬件成本翻倍且产生冗余设备。</w:t>
      </w:r>
    </w:p>
    <w:p>
      <w:pPr>
        <w:pStyle w:val="BodyText"/>
      </w:pPr>
      <w:r>
        <w:rPr>
          <w:bCs/>
          <w:b/>
        </w:rPr>
        <w:t xml:space="preserve">表13：扩展方式对比 [^11] [^12] [^13]</w:t>
      </w:r>
    </w:p>
    <w:tbl>
      <w:tblPr>
        <w:tblStyle w:val="Table"/>
        <w:tblW w:type="pct" w:w="5000"/>
        <w:tblLook w:firstRow="1" w:lastRow="0" w:firstColumn="0" w:lastColumn="0" w:noHBand="0" w:noVBand="0" w:val="0020"/>
      </w:tblPr>
      <w:tblGrid>
        <w:gridCol w:w="1980"/>
        <w:gridCol w:w="2640"/>
        <w:gridCol w:w="3300"/>
      </w:tblGrid>
      <w:tr>
        <w:trPr>
          <w:tblHeader w:val="true"/>
        </w:trPr>
        <w:tc>
          <w:tcPr/>
          <w:p>
            <w:pPr>
              <w:pStyle w:val="Compact"/>
              <w:jc w:val="left"/>
            </w:pPr>
            <w:r>
              <w:t xml:space="preserve">维度</w:t>
            </w:r>
          </w:p>
        </w:tc>
        <w:tc>
          <w:tcPr/>
          <w:p>
            <w:pPr>
              <w:pStyle w:val="Compact"/>
              <w:jc w:val="left"/>
            </w:pPr>
            <w:r>
              <w:t xml:space="preserve">GPU方案</w:t>
            </w:r>
          </w:p>
        </w:tc>
        <w:tc>
          <w:tcPr/>
          <w:p>
            <w:pPr>
              <w:pStyle w:val="Compact"/>
              <w:jc w:val="left"/>
            </w:pPr>
            <w:r>
              <w:t xml:space="preserve">Brick方案</w:t>
            </w:r>
          </w:p>
        </w:tc>
      </w:tr>
      <w:tr>
        <w:tc>
          <w:tcPr/>
          <w:p>
            <w:pPr>
              <w:pStyle w:val="Compact"/>
              <w:jc w:val="left"/>
            </w:pPr>
            <w:r>
              <w:t xml:space="preserve">扩展单位</w:t>
            </w:r>
          </w:p>
        </w:tc>
        <w:tc>
          <w:tcPr/>
          <w:p>
            <w:pPr>
              <w:pStyle w:val="Compact"/>
              <w:jc w:val="left"/>
            </w:pPr>
            <w:r>
              <w:t xml:space="preserve">整张显卡/整节点</w:t>
            </w:r>
          </w:p>
        </w:tc>
        <w:tc>
          <w:tcPr/>
          <w:p>
            <w:pPr>
              <w:pStyle w:val="Compact"/>
              <w:jc w:val="left"/>
            </w:pPr>
            <w:r>
              <w:t xml:space="preserve">单块Brick（100×60mm）</w:t>
            </w:r>
          </w:p>
        </w:tc>
      </w:tr>
      <w:tr>
        <w:tc>
          <w:tcPr/>
          <w:p>
            <w:pPr>
              <w:pStyle w:val="Compact"/>
              <w:jc w:val="left"/>
            </w:pPr>
            <w:r>
              <w:t xml:space="preserve">7B→14B升级</w:t>
            </w:r>
          </w:p>
        </w:tc>
        <w:tc>
          <w:tcPr/>
          <w:p>
            <w:pPr>
              <w:pStyle w:val="Compact"/>
              <w:jc w:val="left"/>
            </w:pPr>
            <w:r>
              <w:t xml:space="preserve">更换整卡（Orin Nano→Orin NX）</w:t>
            </w:r>
          </w:p>
        </w:tc>
        <w:tc>
          <w:tcPr/>
          <w:p>
            <w:pPr>
              <w:pStyle w:val="Compact"/>
              <w:jc w:val="left"/>
            </w:pPr>
            <w:r>
              <w:t xml:space="preserve">插入1块Brick</w:t>
            </w:r>
          </w:p>
        </w:tc>
      </w:tr>
      <w:tr>
        <w:tc>
          <w:tcPr/>
          <w:p>
            <w:pPr>
              <w:pStyle w:val="Compact"/>
              <w:jc w:val="left"/>
            </w:pPr>
            <w:r>
              <w:t xml:space="preserve">14B→70B升级</w:t>
            </w:r>
          </w:p>
        </w:tc>
        <w:tc>
          <w:tcPr/>
          <w:p>
            <w:pPr>
              <w:pStyle w:val="Compact"/>
              <w:jc w:val="left"/>
            </w:pPr>
            <w:r>
              <w:t xml:space="preserve">更换为多卡服务器</w:t>
            </w:r>
          </w:p>
        </w:tc>
        <w:tc>
          <w:tcPr/>
          <w:p>
            <w:pPr>
              <w:pStyle w:val="Compact"/>
              <w:jc w:val="left"/>
            </w:pPr>
            <w:r>
              <w:t xml:space="preserve">插入更多Brick到链尾</w:t>
            </w:r>
          </w:p>
        </w:tc>
      </w:tr>
      <w:tr>
        <w:tc>
          <w:tcPr/>
          <w:p>
            <w:pPr>
              <w:pStyle w:val="Compact"/>
              <w:jc w:val="left"/>
            </w:pPr>
            <w:r>
              <w:t xml:space="preserve">故障维修</w:t>
            </w:r>
          </w:p>
        </w:tc>
        <w:tc>
          <w:tcPr/>
          <w:p>
            <w:pPr>
              <w:pStyle w:val="Compact"/>
              <w:jc w:val="left"/>
            </w:pPr>
            <w:r>
              <w:t xml:space="preserve">整机断电+拆散热器+换卡+重配环境</w:t>
            </w:r>
          </w:p>
        </w:tc>
        <w:tc>
          <w:tcPr/>
          <w:p>
            <w:pPr>
              <w:pStyle w:val="Compact"/>
              <w:jc w:val="left"/>
            </w:pPr>
            <w:r>
              <w:t xml:space="preserve">拔出故障Brick，插入新Brick</w:t>
            </w:r>
          </w:p>
        </w:tc>
      </w:tr>
      <w:tr>
        <w:tc>
          <w:tcPr/>
          <w:p>
            <w:pPr>
              <w:pStyle w:val="Compact"/>
              <w:jc w:val="left"/>
            </w:pPr>
            <w:r>
              <w:t xml:space="preserve">异构混用</w:t>
            </w:r>
          </w:p>
        </w:tc>
        <w:tc>
          <w:tcPr/>
          <w:p>
            <w:pPr>
              <w:pStyle w:val="Compact"/>
              <w:jc w:val="left"/>
            </w:pPr>
            <w:r>
              <w:t xml:space="preserve">不支持</w:t>
            </w:r>
          </w:p>
        </w:tc>
        <w:tc>
          <w:tcPr/>
          <w:p>
            <w:pPr>
              <w:pStyle w:val="Compact"/>
              <w:jc w:val="left"/>
            </w:pPr>
            <w:r>
              <w:t xml:space="preserve">支持（不同内存容量Brick混用）</w:t>
            </w:r>
          </w:p>
        </w:tc>
      </w:tr>
      <w:tr>
        <w:tc>
          <w:tcPr/>
          <w:p>
            <w:pPr>
              <w:pStyle w:val="Compact"/>
              <w:jc w:val="left"/>
            </w:pPr>
            <w:r>
              <w:t xml:space="preserve">冗余设计</w:t>
            </w:r>
          </w:p>
        </w:tc>
        <w:tc>
          <w:tcPr/>
          <w:p>
            <w:pPr>
              <w:pStyle w:val="Compact"/>
              <w:jc w:val="left"/>
            </w:pPr>
            <w:r>
              <w:t xml:space="preserve">需完整备用节点</w:t>
            </w:r>
          </w:p>
        </w:tc>
        <w:tc>
          <w:tcPr/>
          <w:p>
            <w:pPr>
              <w:pStyle w:val="Compact"/>
              <w:jc w:val="left"/>
            </w:pPr>
            <w:r>
              <w:t xml:space="preserve">可设计流水线冗余段</w:t>
            </w:r>
          </w:p>
        </w:tc>
      </w:tr>
    </w:tbl>
    <w:p>
      <w:pPr>
        <w:pStyle w:val="BodyText"/>
      </w:pPr>
      <w:r>
        <w:t xml:space="preserve">学术研究已证明流水线并行在异构边缘环境中的可行性。PipeEdge框架通过在资源受限的边缘设备上实施流水线并行，实现了超越单机能力的大模型推理 [^11]。MDI-LLM框架提出”循环流水线并行”技术，随着参与设备数量增加，吞吐量提升且单设备内存消耗降低 [^12]。</w:t>
      </w:r>
      <w:r>
        <w:rPr>
          <w:bCs/>
          <w:b/>
        </w:rPr>
        <w:t xml:space="preserve">Brick架构通过PCIe NTB将这些学术理论转化为物理级的产品形态</w:t>
      </w:r>
      <w:r>
        <w:t xml:space="preserve">——每增加一块Brick，即可增加模型可容纳的层数；从7B到14B只需”加一块板”，而非更换整套硬件。故障Brick可物理拔出替换，流水线其他阶段不受影响。</w:t>
      </w:r>
    </w:p>
    <w:bookmarkEnd w:id="26"/>
    <w:bookmarkStart w:id="27" w:name="国产化信创自主可控"/>
    <w:p>
      <w:pPr>
        <w:pStyle w:val="Heading3"/>
      </w:pPr>
      <w:r>
        <w:t xml:space="preserve">4.4 国产化信创：自主可控</w:t>
      </w:r>
    </w:p>
    <w:p>
      <w:pPr>
        <w:pStyle w:val="FirstParagraph"/>
      </w:pPr>
      <w:r>
        <w:t xml:space="preserve">信创（信息技术应用创新）产业已形成明确的国产替代路径。关键领域（党政、金融、国防）</w:t>
      </w:r>
      <w:r>
        <w:rPr>
          <w:bCs/>
          <w:b/>
        </w:rPr>
        <w:t xml:space="preserve">必须选择国测II级产品，核心部件国产化率需≥90%，进口GPU（包括NVIDIA Jetson系列）在政务内网和涉密环境中被明确禁止</w:t>
      </w:r>
      <w:r>
        <w:t xml:space="preserve"> </w:t>
      </w:r>
      <w:r>
        <w:t xml:space="preserve">[^15] [^16]。</w:t>
      </w:r>
    </w:p>
    <w:p>
      <w:pPr>
        <w:pStyle w:val="BodyText"/>
      </w:pPr>
      <w:r>
        <w:rPr>
          <w:bCs/>
          <w:b/>
        </w:rPr>
        <w:t xml:space="preserve">表14：国产化合规对比</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NVIDIA GPU/Jetson</w:t>
            </w:r>
          </w:p>
        </w:tc>
        <w:tc>
          <w:tcPr/>
          <w:p>
            <w:pPr>
              <w:pStyle w:val="Compact"/>
              <w:jc w:val="left"/>
            </w:pPr>
            <w:r>
              <w:t xml:space="preserve">Brick（飞腾E2000Q）</w:t>
            </w:r>
          </w:p>
        </w:tc>
      </w:tr>
      <w:tr>
        <w:tc>
          <w:tcPr/>
          <w:p>
            <w:pPr>
              <w:pStyle w:val="Compact"/>
              <w:jc w:val="left"/>
            </w:pPr>
            <w:r>
              <w:t xml:space="preserve">CPU来源</w:t>
            </w:r>
          </w:p>
        </w:tc>
        <w:tc>
          <w:tcPr/>
          <w:p>
            <w:pPr>
              <w:pStyle w:val="Compact"/>
              <w:jc w:val="left"/>
            </w:pPr>
            <w:r>
              <w:t xml:space="preserve">美国NVIDIA</w:t>
            </w:r>
          </w:p>
        </w:tc>
        <w:tc>
          <w:tcPr/>
          <w:p>
            <w:pPr>
              <w:pStyle w:val="Compact"/>
              <w:jc w:val="left"/>
            </w:pPr>
            <w:r>
              <w:t xml:space="preserve">天津飞腾（国产）</w:t>
            </w:r>
          </w:p>
        </w:tc>
      </w:tr>
      <w:tr>
        <w:tc>
          <w:tcPr/>
          <w:p>
            <w:pPr>
              <w:pStyle w:val="Compact"/>
              <w:jc w:val="left"/>
            </w:pPr>
            <w:r>
              <w:t xml:space="preserve">架构授权</w:t>
            </w:r>
          </w:p>
        </w:tc>
        <w:tc>
          <w:tcPr/>
          <w:p>
            <w:pPr>
              <w:pStyle w:val="Compact"/>
              <w:jc w:val="left"/>
            </w:pPr>
            <w:r>
              <w:t xml:space="preserve">美国IP</w:t>
            </w:r>
          </w:p>
        </w:tc>
        <w:tc>
          <w:tcPr/>
          <w:p>
            <w:pPr>
              <w:pStyle w:val="Compact"/>
              <w:jc w:val="left"/>
            </w:pPr>
            <w:r>
              <w:t xml:space="preserve">ARM授权（已买断，不受管制）</w:t>
            </w:r>
          </w:p>
        </w:tc>
      </w:tr>
      <w:tr>
        <w:tc>
          <w:tcPr/>
          <w:p>
            <w:pPr>
              <w:pStyle w:val="Compact"/>
              <w:jc w:val="left"/>
            </w:pPr>
            <w:r>
              <w:t xml:space="preserve">芯片制造</w:t>
            </w:r>
          </w:p>
        </w:tc>
        <w:tc>
          <w:tcPr/>
          <w:p>
            <w:pPr>
              <w:pStyle w:val="Compact"/>
              <w:jc w:val="left"/>
            </w:pPr>
            <w:r>
              <w:t xml:space="preserve">台积电/三星</w:t>
            </w:r>
          </w:p>
        </w:tc>
        <w:tc>
          <w:tcPr/>
          <w:p>
            <w:pPr>
              <w:pStyle w:val="Compact"/>
              <w:jc w:val="left"/>
            </w:pPr>
            <w:r>
              <w:t xml:space="preserve">中芯国际等国内流片</w:t>
            </w:r>
          </w:p>
        </w:tc>
      </w:tr>
      <w:tr>
        <w:tc>
          <w:tcPr/>
          <w:p>
            <w:pPr>
              <w:pStyle w:val="Compact"/>
              <w:jc w:val="left"/>
            </w:pPr>
            <w:r>
              <w:t xml:space="preserve">国产化率</w:t>
            </w:r>
          </w:p>
        </w:tc>
        <w:tc>
          <w:tcPr/>
          <w:p>
            <w:pPr>
              <w:pStyle w:val="Compact"/>
              <w:jc w:val="left"/>
            </w:pPr>
            <w:r>
              <w:t xml:space="preserve">0%</w:t>
            </w:r>
          </w:p>
        </w:tc>
        <w:tc>
          <w:tcPr/>
          <w:p>
            <w:pPr>
              <w:pStyle w:val="Compact"/>
              <w:jc w:val="left"/>
            </w:pPr>
            <w:r>
              <w:t xml:space="preserve">100%</w:t>
            </w:r>
            <w:r>
              <w:t xml:space="preserve"> </w:t>
            </w:r>
            <w:r>
              <w:rPr>
                <w:vertAlign w:val="superscript"/>
              </w:rPr>
              <w:footnoteReference w:id="12"/>
            </w:r>
          </w:p>
        </w:tc>
      </w:tr>
      <w:tr>
        <w:tc>
          <w:tcPr/>
          <w:p>
            <w:pPr>
              <w:pStyle w:val="Compact"/>
              <w:jc w:val="left"/>
            </w:pPr>
            <w:r>
              <w:t xml:space="preserve">信创目录</w:t>
            </w:r>
          </w:p>
        </w:tc>
        <w:tc>
          <w:tcPr/>
          <w:p>
            <w:pPr>
              <w:pStyle w:val="Compact"/>
              <w:jc w:val="left"/>
            </w:pPr>
            <w:r>
              <w:t xml:space="preserve">未进入</w:t>
            </w:r>
          </w:p>
        </w:tc>
        <w:tc>
          <w:tcPr/>
          <w:p>
            <w:pPr>
              <w:pStyle w:val="Compact"/>
              <w:jc w:val="left"/>
            </w:pPr>
            <w:r>
              <w:t xml:space="preserve">已进入国家信创目录</w:t>
            </w:r>
            <w:r>
              <w:t xml:space="preserve"> </w:t>
            </w:r>
            <w:r>
              <w:rPr>
                <w:vertAlign w:val="superscript"/>
              </w:rPr>
              <w:footnoteReference w:id="13"/>
            </w:r>
          </w:p>
        </w:tc>
      </w:tr>
      <w:tr>
        <w:tc>
          <w:tcPr/>
          <w:p>
            <w:pPr>
              <w:pStyle w:val="Compact"/>
              <w:jc w:val="left"/>
            </w:pPr>
            <w:r>
              <w:t xml:space="preserve">出口管制风险</w:t>
            </w:r>
          </w:p>
        </w:tc>
        <w:tc>
          <w:tcPr/>
          <w:p>
            <w:pPr>
              <w:pStyle w:val="Compact"/>
              <w:jc w:val="left"/>
            </w:pPr>
            <w:r>
              <w:t xml:space="preserve">高（持续升级）</w:t>
            </w:r>
          </w:p>
        </w:tc>
        <w:tc>
          <w:tcPr/>
          <w:p>
            <w:pPr>
              <w:pStyle w:val="Compact"/>
              <w:jc w:val="left"/>
            </w:pPr>
            <w:r>
              <w:t xml:space="preserve">无</w:t>
            </w:r>
          </w:p>
        </w:tc>
      </w:tr>
      <w:tr>
        <w:tc>
          <w:tcPr/>
          <w:p>
            <w:pPr>
              <w:pStyle w:val="Compact"/>
              <w:jc w:val="left"/>
            </w:pPr>
            <w:r>
              <w:t xml:space="preserve">操作系统</w:t>
            </w:r>
          </w:p>
        </w:tc>
        <w:tc>
          <w:tcPr/>
          <w:p>
            <w:pPr>
              <w:pStyle w:val="Compact"/>
              <w:jc w:val="left"/>
            </w:pPr>
            <w:r>
              <w:t xml:space="preserve">CUDA生态绑定</w:t>
            </w:r>
          </w:p>
        </w:tc>
        <w:tc>
          <w:tcPr/>
          <w:p>
            <w:pPr>
              <w:pStyle w:val="Compact"/>
              <w:jc w:val="left"/>
            </w:pPr>
            <w:r>
              <w:t xml:space="preserve">麒麟OS/统信UOS</w:t>
            </w:r>
          </w:p>
        </w:tc>
      </w:tr>
    </w:tbl>
    <w:p>
      <w:pPr>
        <w:pStyle w:val="BodyText"/>
      </w:pPr>
      <w:r>
        <w:t xml:space="preserve">飞腾E2000Q的供应链安全指标无可比拟：CPU设计由天津飞腾信息技术有限公司自主完成，基于已买断的ARM v8指令集授权（永久授权，不受出口管制影响），芯片制造由国内产线完成，国产化率达到100%。配合国产操作系统（银河麒麟/统信UOS）和开源AI推理框架（ONNX Runtime、llama.cpp均已支持ARM架构），可构建从芯片到应用的全栈国产AI推理系统。</w:t>
      </w:r>
    </w:p>
    <w:p>
      <w:pPr>
        <w:pStyle w:val="BodyText"/>
      </w:pPr>
      <w:r>
        <w:t xml:space="preserve">在国防涉密、政务内网、金融终端、电力巡检等信创场景中，Brick不是”更好的选择”，而是”唯一合规的选择”。</w:t>
      </w:r>
    </w:p>
    <w:p>
      <w:r>
        <w:pict>
          <v:rect style="width:0;height:1.5pt" o:hralign="center" o:hrstd="t" o:hr="t"/>
        </w:pict>
      </w:r>
    </w:p>
    <w:bookmarkEnd w:id="27"/>
    <w:bookmarkEnd w:id="28"/>
    <w:bookmarkStart w:id="32" w:name="五成本与供应链优势"/>
    <w:p>
      <w:pPr>
        <w:pStyle w:val="Heading2"/>
      </w:pPr>
      <w:r>
        <w:t xml:space="preserve">五、成本与供应链优势</w:t>
      </w:r>
    </w:p>
    <w:p>
      <w:pPr>
        <w:pStyle w:val="FirstParagraph"/>
      </w:pPr>
      <w:r>
        <w:t xml:space="preserve">成本与供应链是架构选择的最终决策因素。Brick架构在这一维度的优势不仅体现在采购价格上，更体现在全生命周期的TCO控制和供应链安全上。</w:t>
      </w:r>
    </w:p>
    <w:bookmarkStart w:id="29" w:name="采购成本低一个数量级"/>
    <w:p>
      <w:pPr>
        <w:pStyle w:val="Heading3"/>
      </w:pPr>
      <w:r>
        <w:t xml:space="preserve">5.1 采购成本：低一个数量级</w:t>
      </w:r>
    </w:p>
    <w:p>
      <w:pPr>
        <w:pStyle w:val="FirstParagraph"/>
      </w:pPr>
      <w:r>
        <w:rPr>
          <w:bCs/>
          <w:b/>
        </w:rPr>
        <w:t xml:space="preserve">表15：GPU各型号采购价格（2025Q3）</w:t>
      </w:r>
    </w:p>
    <w:tbl>
      <w:tblPr>
        <w:tblStyle w:val="Table"/>
        <w:tblW w:type="pct" w:w="5000"/>
        <w:tblLook w:firstRow="1" w:lastRow="0" w:firstColumn="0" w:lastColumn="0" w:noHBand="0" w:noVBand="0" w:val="0020"/>
      </w:tblPr>
      <w:tblGrid>
        <w:gridCol w:w="1284"/>
        <w:gridCol w:w="1284"/>
        <w:gridCol w:w="2354"/>
        <w:gridCol w:w="1070"/>
        <w:gridCol w:w="1926"/>
      </w:tblGrid>
      <w:tr>
        <w:trPr>
          <w:tblHeader w:val="true"/>
        </w:trPr>
        <w:tc>
          <w:tcPr/>
          <w:p>
            <w:pPr>
              <w:pStyle w:val="Compact"/>
              <w:jc w:val="left"/>
            </w:pPr>
            <w:r>
              <w:t xml:space="preserve">型号</w:t>
            </w:r>
          </w:p>
        </w:tc>
        <w:tc>
          <w:tcPr/>
          <w:p>
            <w:pPr>
              <w:pStyle w:val="Compact"/>
              <w:jc w:val="left"/>
            </w:pPr>
            <w:r>
              <w:t xml:space="preserve">显存</w:t>
            </w:r>
          </w:p>
        </w:tc>
        <w:tc>
          <w:tcPr/>
          <w:p>
            <w:pPr>
              <w:pStyle w:val="Compact"/>
              <w:jc w:val="left"/>
            </w:pPr>
            <w:r>
              <w:t xml:space="preserve">市场价(RMB)</w:t>
            </w:r>
          </w:p>
        </w:tc>
        <w:tc>
          <w:tcPr/>
          <w:p>
            <w:pPr>
              <w:pStyle w:val="Compact"/>
              <w:jc w:val="left"/>
            </w:pPr>
            <w:r>
              <w:t xml:space="preserve">TDP</w:t>
            </w:r>
          </w:p>
        </w:tc>
        <w:tc>
          <w:tcPr/>
          <w:p>
            <w:pPr>
              <w:pStyle w:val="Compact"/>
              <w:jc w:val="left"/>
            </w:pPr>
            <w:r>
              <w:t xml:space="preserve">数据来源</w:t>
            </w:r>
          </w:p>
        </w:tc>
      </w:tr>
      <w:tr>
        <w:tc>
          <w:tcPr/>
          <w:p>
            <w:pPr>
              <w:pStyle w:val="Compact"/>
              <w:jc w:val="left"/>
            </w:pPr>
            <w:r>
              <w:t xml:space="preserve">RTX 3060</w:t>
            </w:r>
          </w:p>
        </w:tc>
        <w:tc>
          <w:tcPr/>
          <w:p>
            <w:pPr>
              <w:pStyle w:val="Compact"/>
              <w:jc w:val="left"/>
            </w:pPr>
            <w:r>
              <w:t xml:space="preserve">12GB</w:t>
            </w:r>
          </w:p>
        </w:tc>
        <w:tc>
          <w:tcPr/>
          <w:p>
            <w:pPr>
              <w:pStyle w:val="Compact"/>
              <w:jc w:val="left"/>
            </w:pPr>
            <w:r>
              <w:t xml:space="preserve">¥1,800~2,200</w:t>
            </w:r>
          </w:p>
        </w:tc>
        <w:tc>
          <w:tcPr/>
          <w:p>
            <w:pPr>
              <w:pStyle w:val="Compact"/>
              <w:jc w:val="left"/>
            </w:pPr>
            <w:r>
              <w:t xml:space="preserve">170W</w:t>
            </w:r>
          </w:p>
        </w:tc>
        <w:tc>
          <w:tcPr/>
          <w:p>
            <w:pPr>
              <w:pStyle w:val="Compact"/>
              <w:jc w:val="left"/>
            </w:pPr>
            <w:r>
              <w:t xml:space="preserve">中关村在线、京东</w:t>
            </w:r>
          </w:p>
        </w:tc>
      </w:tr>
      <w:tr>
        <w:tc>
          <w:tcPr/>
          <w:p>
            <w:pPr>
              <w:pStyle w:val="Compact"/>
              <w:jc w:val="left"/>
            </w:pPr>
            <w:r>
              <w:t xml:space="preserve">RTX 4060</w:t>
            </w:r>
          </w:p>
        </w:tc>
        <w:tc>
          <w:tcPr/>
          <w:p>
            <w:pPr>
              <w:pStyle w:val="Compact"/>
              <w:jc w:val="left"/>
            </w:pPr>
            <w:r>
              <w:t xml:space="preserve">8GB</w:t>
            </w:r>
          </w:p>
        </w:tc>
        <w:tc>
          <w:tcPr/>
          <w:p>
            <w:pPr>
              <w:pStyle w:val="Compact"/>
              <w:jc w:val="left"/>
            </w:pPr>
            <w:r>
              <w:t xml:space="preserve">¥2,200~2,600</w:t>
            </w:r>
          </w:p>
        </w:tc>
        <w:tc>
          <w:tcPr/>
          <w:p>
            <w:pPr>
              <w:pStyle w:val="Compact"/>
              <w:jc w:val="left"/>
            </w:pPr>
            <w:r>
              <w:t xml:space="preserve">115W</w:t>
            </w:r>
          </w:p>
        </w:tc>
        <w:tc>
          <w:tcPr/>
          <w:p>
            <w:pPr>
              <w:pStyle w:val="Compact"/>
              <w:jc w:val="left"/>
            </w:pPr>
            <w:r>
              <w:t xml:space="preserve">什么值得买、天猫</w:t>
            </w:r>
          </w:p>
        </w:tc>
      </w:tr>
      <w:tr>
        <w:tc>
          <w:tcPr/>
          <w:p>
            <w:pPr>
              <w:pStyle w:val="Compact"/>
              <w:jc w:val="left"/>
            </w:pPr>
            <w:r>
              <w:t xml:space="preserve">RTX 4060 Ti</w:t>
            </w:r>
          </w:p>
        </w:tc>
        <w:tc>
          <w:tcPr/>
          <w:p>
            <w:pPr>
              <w:pStyle w:val="Compact"/>
              <w:jc w:val="left"/>
            </w:pPr>
            <w:r>
              <w:t xml:space="preserve">16GB</w:t>
            </w:r>
          </w:p>
        </w:tc>
        <w:tc>
          <w:tcPr/>
          <w:p>
            <w:pPr>
              <w:pStyle w:val="Compact"/>
              <w:jc w:val="left"/>
            </w:pPr>
            <w:r>
              <w:t xml:space="preserve">¥3,200~3,600</w:t>
            </w:r>
          </w:p>
        </w:tc>
        <w:tc>
          <w:tcPr/>
          <w:p>
            <w:pPr>
              <w:pStyle w:val="Compact"/>
              <w:jc w:val="left"/>
            </w:pPr>
            <w:r>
              <w:t xml:space="preserve">165W</w:t>
            </w:r>
          </w:p>
        </w:tc>
        <w:tc>
          <w:tcPr/>
          <w:p>
            <w:pPr>
              <w:pStyle w:val="Compact"/>
              <w:jc w:val="left"/>
            </w:pPr>
            <w:r>
              <w:t xml:space="preserve">淘宝、京东</w:t>
            </w:r>
          </w:p>
        </w:tc>
      </w:tr>
      <w:tr>
        <w:tc>
          <w:tcPr/>
          <w:p>
            <w:pPr>
              <w:pStyle w:val="Compact"/>
              <w:jc w:val="left"/>
            </w:pPr>
            <w:r>
              <w:t xml:space="preserve">RTX 4090</w:t>
            </w:r>
          </w:p>
        </w:tc>
        <w:tc>
          <w:tcPr/>
          <w:p>
            <w:pPr>
              <w:pStyle w:val="Compact"/>
              <w:jc w:val="left"/>
            </w:pPr>
            <w:r>
              <w:t xml:space="preserve">24GB</w:t>
            </w:r>
          </w:p>
        </w:tc>
        <w:tc>
          <w:tcPr/>
          <w:p>
            <w:pPr>
              <w:pStyle w:val="Compact"/>
              <w:jc w:val="left"/>
            </w:pPr>
            <w:r>
              <w:t xml:space="preserve">¥12,800~15,999</w:t>
            </w:r>
          </w:p>
        </w:tc>
        <w:tc>
          <w:tcPr/>
          <w:p>
            <w:pPr>
              <w:pStyle w:val="Compact"/>
              <w:jc w:val="left"/>
            </w:pPr>
            <w:r>
              <w:t xml:space="preserve">450W</w:t>
            </w:r>
          </w:p>
        </w:tc>
        <w:tc>
          <w:tcPr/>
          <w:p>
            <w:pPr>
              <w:pStyle w:val="Compact"/>
              <w:jc w:val="left"/>
            </w:pPr>
            <w:r>
              <w:t xml:space="preserve">多个渠道</w:t>
            </w:r>
          </w:p>
        </w:tc>
      </w:tr>
      <w:tr>
        <w:tc>
          <w:tcPr/>
          <w:p>
            <w:pPr>
              <w:pStyle w:val="Compact"/>
              <w:jc w:val="left"/>
            </w:pPr>
            <w:r>
              <w:t xml:space="preserve">A100 40GB</w:t>
            </w:r>
          </w:p>
        </w:tc>
        <w:tc>
          <w:tcPr/>
          <w:p>
            <w:pPr>
              <w:pStyle w:val="Compact"/>
              <w:jc w:val="left"/>
            </w:pPr>
            <w:r>
              <w:t xml:space="preserve">40GB HBM2</w:t>
            </w:r>
          </w:p>
        </w:tc>
        <w:tc>
          <w:tcPr/>
          <w:p>
            <w:pPr>
              <w:pStyle w:val="Compact"/>
              <w:jc w:val="left"/>
            </w:pPr>
            <w:r>
              <w:t xml:space="preserve">¥70,000~80,000</w:t>
            </w:r>
          </w:p>
        </w:tc>
        <w:tc>
          <w:tcPr/>
          <w:p>
            <w:pPr>
              <w:pStyle w:val="Compact"/>
              <w:jc w:val="left"/>
            </w:pPr>
            <w:r>
              <w:t xml:space="preserve">250W</w:t>
            </w:r>
          </w:p>
        </w:tc>
        <w:tc>
          <w:tcPr/>
          <w:p>
            <w:pPr>
              <w:pStyle w:val="Compact"/>
              <w:jc w:val="left"/>
            </w:pPr>
            <w:r>
              <w:t xml:space="preserve">行业渠道</w:t>
            </w:r>
          </w:p>
        </w:tc>
      </w:tr>
      <w:tr>
        <w:tc>
          <w:tcPr/>
          <w:p>
            <w:pPr>
              <w:pStyle w:val="Compact"/>
              <w:jc w:val="left"/>
            </w:pPr>
            <w:r>
              <w:t xml:space="preserve">H100 80GB</w:t>
            </w:r>
          </w:p>
        </w:tc>
        <w:tc>
          <w:tcPr/>
          <w:p>
            <w:pPr>
              <w:pStyle w:val="Compact"/>
              <w:jc w:val="left"/>
            </w:pPr>
            <w:r>
              <w:t xml:space="preserve">80GB HBM3</w:t>
            </w:r>
          </w:p>
        </w:tc>
        <w:tc>
          <w:tcPr/>
          <w:p>
            <w:pPr>
              <w:pStyle w:val="Compact"/>
              <w:jc w:val="left"/>
            </w:pPr>
            <w:r>
              <w:t xml:space="preserve">¥220,000~250,000</w:t>
            </w:r>
          </w:p>
        </w:tc>
        <w:tc>
          <w:tcPr/>
          <w:p>
            <w:pPr>
              <w:pStyle w:val="Compact"/>
              <w:jc w:val="left"/>
            </w:pPr>
            <w:r>
              <w:t xml:space="preserve">350W</w:t>
            </w:r>
          </w:p>
        </w:tc>
        <w:tc>
          <w:tcPr/>
          <w:p>
            <w:pPr>
              <w:pStyle w:val="Compact"/>
              <w:jc w:val="left"/>
            </w:pPr>
            <w:r>
              <w:t xml:space="preserve">道通存储</w:t>
            </w:r>
          </w:p>
        </w:tc>
      </w:tr>
      <w:tr>
        <w:tc>
          <w:tcPr/>
          <w:p>
            <w:pPr>
              <w:pStyle w:val="Compact"/>
              <w:jc w:val="left"/>
            </w:pPr>
            <w:r>
              <w:t xml:space="preserve">Jetson Orin Nano 8GB</w:t>
            </w:r>
          </w:p>
        </w:tc>
        <w:tc>
          <w:tcPr/>
          <w:p>
            <w:pPr>
              <w:pStyle w:val="Compact"/>
              <w:jc w:val="left"/>
            </w:pPr>
            <w:r>
              <w:t xml:space="preserve">8GB LPDDR5</w:t>
            </w:r>
          </w:p>
        </w:tc>
        <w:tc>
          <w:tcPr/>
          <w:p>
            <w:pPr>
              <w:pStyle w:val="Compact"/>
              <w:jc w:val="left"/>
            </w:pPr>
            <w:r>
              <w:t xml:space="preserve">¥1,500~1,810</w:t>
            </w:r>
          </w:p>
        </w:tc>
        <w:tc>
          <w:tcPr/>
          <w:p>
            <w:pPr>
              <w:pStyle w:val="Compact"/>
              <w:jc w:val="left"/>
            </w:pPr>
            <w:r>
              <w:t xml:space="preserve">15W</w:t>
            </w:r>
          </w:p>
        </w:tc>
        <w:tc>
          <w:tcPr/>
          <w:p>
            <w:pPr>
              <w:pStyle w:val="Compact"/>
              <w:jc w:val="left"/>
            </w:pPr>
            <w:r>
              <w:t xml:space="preserve">NVIDIA官方、Sina</w:t>
            </w:r>
          </w:p>
        </w:tc>
      </w:tr>
      <w:tr>
        <w:tc>
          <w:tcPr/>
          <w:p>
            <w:pPr>
              <w:pStyle w:val="Compact"/>
              <w:jc w:val="left"/>
            </w:pPr>
            <w:r>
              <w:t xml:space="preserve">Jetson Orin NX 16GB</w:t>
            </w:r>
          </w:p>
        </w:tc>
        <w:tc>
          <w:tcPr/>
          <w:p>
            <w:pPr>
              <w:pStyle w:val="Compact"/>
              <w:jc w:val="left"/>
            </w:pPr>
            <w:r>
              <w:t xml:space="preserve">16GB LPDDR5</w:t>
            </w:r>
          </w:p>
        </w:tc>
        <w:tc>
          <w:tcPr/>
          <w:p>
            <w:pPr>
              <w:pStyle w:val="Compact"/>
              <w:jc w:val="left"/>
            </w:pPr>
            <w:r>
              <w:t xml:space="preserve">¥3,500~4,500</w:t>
            </w:r>
          </w:p>
        </w:tc>
        <w:tc>
          <w:tcPr/>
          <w:p>
            <w:pPr>
              <w:pStyle w:val="Compact"/>
              <w:jc w:val="left"/>
            </w:pPr>
            <w:r>
              <w:t xml:space="preserve">25W</w:t>
            </w:r>
          </w:p>
        </w:tc>
        <w:tc>
          <w:tcPr/>
          <w:p>
            <w:pPr>
              <w:pStyle w:val="Compact"/>
              <w:jc w:val="left"/>
            </w:pPr>
            <w:r>
              <w:t xml:space="preserve">NVIDIA官方、淘宝</w:t>
            </w:r>
          </w:p>
        </w:tc>
      </w:tr>
    </w:tbl>
    <w:p>
      <w:pPr>
        <w:pStyle w:val="BodyText"/>
      </w:pPr>
      <w:r>
        <w:rPr>
          <w:bCs/>
          <w:b/>
        </w:rPr>
        <w:t xml:space="preserve">表16：Brick BOM成本分解</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组件</w:t>
            </w:r>
          </w:p>
        </w:tc>
        <w:tc>
          <w:tcPr/>
          <w:p>
            <w:pPr>
              <w:pStyle w:val="Compact"/>
              <w:jc w:val="left"/>
            </w:pPr>
            <w:r>
              <w:t xml:space="preserve">规格</w:t>
            </w:r>
          </w:p>
        </w:tc>
        <w:tc>
          <w:tcPr/>
          <w:p>
            <w:pPr>
              <w:pStyle w:val="Compact"/>
              <w:jc w:val="left"/>
            </w:pPr>
            <w:r>
              <w:t xml:space="preserve">估算单价(¥)</w:t>
            </w:r>
          </w:p>
        </w:tc>
      </w:tr>
      <w:tr>
        <w:tc>
          <w:tcPr/>
          <w:p>
            <w:pPr>
              <w:pStyle w:val="Compact"/>
              <w:jc w:val="left"/>
            </w:pPr>
            <w:r>
              <w:t xml:space="preserve">CPU</w:t>
            </w:r>
          </w:p>
        </w:tc>
        <w:tc>
          <w:tcPr/>
          <w:p>
            <w:pPr>
              <w:pStyle w:val="Compact"/>
              <w:jc w:val="left"/>
            </w:pPr>
            <w:r>
              <w:t xml:space="preserve">飞腾E2000Q 四核1.5GHz</w:t>
            </w:r>
          </w:p>
        </w:tc>
        <w:tc>
          <w:tcPr/>
          <w:p>
            <w:pPr>
              <w:pStyle w:val="Compact"/>
              <w:jc w:val="left"/>
            </w:pPr>
            <w:r>
              <w:t xml:space="preserve">500~800</w:t>
            </w:r>
          </w:p>
        </w:tc>
      </w:tr>
      <w:tr>
        <w:tc>
          <w:tcPr/>
          <w:p>
            <w:pPr>
              <w:pStyle w:val="Compact"/>
              <w:jc w:val="left"/>
            </w:pPr>
            <w:r>
              <w:t xml:space="preserve">内存</w:t>
            </w:r>
          </w:p>
        </w:tc>
        <w:tc>
          <w:tcPr/>
          <w:p>
            <w:pPr>
              <w:pStyle w:val="Compact"/>
              <w:jc w:val="left"/>
            </w:pPr>
            <w:r>
              <w:t xml:space="preserve">LPDDR4 4GB</w:t>
            </w:r>
          </w:p>
        </w:tc>
        <w:tc>
          <w:tcPr/>
          <w:p>
            <w:pPr>
              <w:pStyle w:val="Compact"/>
              <w:jc w:val="left"/>
            </w:pPr>
            <w:r>
              <w:t xml:space="preserve">80</w:t>
            </w:r>
          </w:p>
        </w:tc>
      </w:tr>
      <w:tr>
        <w:tc>
          <w:tcPr/>
          <w:p>
            <w:pPr>
              <w:pStyle w:val="Compact"/>
              <w:jc w:val="left"/>
            </w:pPr>
            <w:r>
              <w:t xml:space="preserve">存储</w:t>
            </w:r>
          </w:p>
        </w:tc>
        <w:tc>
          <w:tcPr/>
          <w:p>
            <w:pPr>
              <w:pStyle w:val="Compact"/>
              <w:jc w:val="left"/>
            </w:pPr>
            <w:r>
              <w:t xml:space="preserve">eMMC 64GB</w:t>
            </w:r>
          </w:p>
        </w:tc>
        <w:tc>
          <w:tcPr/>
          <w:p>
            <w:pPr>
              <w:pStyle w:val="Compact"/>
              <w:jc w:val="left"/>
            </w:pPr>
            <w:r>
              <w:t xml:space="preserve">50</w:t>
            </w:r>
          </w:p>
        </w:tc>
      </w:tr>
      <w:tr>
        <w:tc>
          <w:tcPr/>
          <w:p>
            <w:pPr>
              <w:pStyle w:val="Compact"/>
              <w:jc w:val="left"/>
            </w:pPr>
            <w:r>
              <w:t xml:space="preserve">PCB</w:t>
            </w:r>
          </w:p>
        </w:tc>
        <w:tc>
          <w:tcPr/>
          <w:p>
            <w:pPr>
              <w:pStyle w:val="Compact"/>
              <w:jc w:val="left"/>
            </w:pPr>
            <w:r>
              <w:t xml:space="preserve">6层板 100×60mm</w:t>
            </w:r>
          </w:p>
        </w:tc>
        <w:tc>
          <w:tcPr/>
          <w:p>
            <w:pPr>
              <w:pStyle w:val="Compact"/>
              <w:jc w:val="left"/>
            </w:pPr>
            <w:r>
              <w:t xml:space="preserve">80</w:t>
            </w:r>
          </w:p>
        </w:tc>
      </w:tr>
      <w:tr>
        <w:tc>
          <w:tcPr/>
          <w:p>
            <w:pPr>
              <w:pStyle w:val="Compact"/>
              <w:jc w:val="left"/>
            </w:pPr>
            <w:r>
              <w:t xml:space="preserve">电源管理</w:t>
            </w:r>
          </w:p>
        </w:tc>
        <w:tc>
          <w:tcPr/>
          <w:p>
            <w:pPr>
              <w:pStyle w:val="Compact"/>
              <w:jc w:val="left"/>
            </w:pPr>
            <w:r>
              <w:t xml:space="preserve">DC-DC模块</w:t>
            </w:r>
          </w:p>
        </w:tc>
        <w:tc>
          <w:tcPr/>
          <w:p>
            <w:pPr>
              <w:pStyle w:val="Compact"/>
              <w:jc w:val="left"/>
            </w:pPr>
            <w:r>
              <w:t xml:space="preserve">60</w:t>
            </w:r>
          </w:p>
        </w:tc>
      </w:tr>
      <w:tr>
        <w:tc>
          <w:tcPr/>
          <w:p>
            <w:pPr>
              <w:pStyle w:val="Compact"/>
              <w:jc w:val="left"/>
            </w:pPr>
            <w:r>
              <w:t xml:space="preserve">接口</w:t>
            </w:r>
          </w:p>
        </w:tc>
        <w:tc>
          <w:tcPr/>
          <w:p>
            <w:pPr>
              <w:pStyle w:val="Compact"/>
              <w:jc w:val="left"/>
            </w:pPr>
            <w:r>
              <w:t xml:space="preserve">PCIe NTB、GPIO等</w:t>
            </w:r>
          </w:p>
        </w:tc>
        <w:tc>
          <w:tcPr/>
          <w:p>
            <w:pPr>
              <w:pStyle w:val="Compact"/>
              <w:jc w:val="left"/>
            </w:pPr>
            <w:r>
              <w:t xml:space="preserve">60</w:t>
            </w:r>
          </w:p>
        </w:tc>
      </w:tr>
      <w:tr>
        <w:tc>
          <w:tcPr/>
          <w:p>
            <w:pPr>
              <w:pStyle w:val="Compact"/>
              <w:jc w:val="left"/>
            </w:pPr>
            <w:r>
              <w:rPr>
                <w:bCs/>
                <w:b/>
              </w:rPr>
              <w:t xml:space="preserve">BOM合计</w:t>
            </w:r>
          </w:p>
        </w:tc>
        <w:tc>
          <w:tcPr/>
          <w:p>
            <w:pPr>
              <w:pStyle w:val="Compact"/>
            </w:pPr>
          </w:p>
        </w:tc>
        <w:tc>
          <w:tcPr/>
          <w:p>
            <w:pPr>
              <w:pStyle w:val="Compact"/>
              <w:jc w:val="left"/>
            </w:pPr>
            <w:r>
              <w:rPr>
                <w:bCs/>
                <w:b/>
              </w:rPr>
              <w:t xml:space="preserve">~¥930</w:t>
            </w:r>
          </w:p>
        </w:tc>
      </w:tr>
    </w:tbl>
    <w:p>
      <w:pPr>
        <w:pStyle w:val="BodyText"/>
      </w:pPr>
      <w:r>
        <w:t xml:space="preserve">单块Brick的BOM成本约</w:t>
      </w:r>
      <w:r>
        <w:t xml:space="preserve"> </w:t>
      </w:r>
      <w:r>
        <w:rPr>
          <w:bCs/>
          <w:b/>
        </w:rPr>
        <w:t xml:space="preserve">¥930</w:t>
      </w:r>
      <w:r>
        <w:t xml:space="preserve">，仅为Jetson Orin Nano 8GB（¥1,500~1,810）的</w:t>
      </w:r>
      <w:r>
        <w:t xml:space="preserve"> </w:t>
      </w:r>
      <w:r>
        <w:rPr>
          <w:bCs/>
          <w:b/>
        </w:rPr>
        <w:t xml:space="preserve">51-62%</w:t>
      </w:r>
      <w:r>
        <w:t xml:space="preserve">，为RTX 4060（¥2,200~2,600）的</w:t>
      </w:r>
      <w:r>
        <w:t xml:space="preserve"> </w:t>
      </w:r>
      <w:r>
        <w:rPr>
          <w:bCs/>
          <w:b/>
        </w:rPr>
        <w:t xml:space="preserve">36-42%</w:t>
      </w:r>
      <w:r>
        <w:t xml:space="preserve">。4模块Brick集群的总采购成本为</w:t>
      </w:r>
      <w:r>
        <w:t xml:space="preserve"> </w:t>
      </w:r>
      <w:r>
        <w:rPr>
          <w:bCs/>
          <w:b/>
        </w:rPr>
        <w:t xml:space="preserve">¥3,720</w:t>
      </w:r>
      <w:r>
        <w:t xml:space="preserve">，相比4×Jetson Orin Nano（¥6,000~7,200）低</w:t>
      </w:r>
      <w:r>
        <w:t xml:space="preserve"> </w:t>
      </w:r>
      <w:r>
        <w:rPr>
          <w:bCs/>
          <w:b/>
        </w:rPr>
        <w:t xml:space="preserve">38-48%</w:t>
      </w:r>
      <w:r>
        <w:t xml:space="preserve">。</w:t>
      </w:r>
    </w:p>
    <w:p>
      <w:pPr>
        <w:pStyle w:val="BodyText"/>
      </w:pPr>
      <w:r>
        <w:t xml:space="preserve">更值得关注的是，GPU采购还存在显著的”涟漪效应”——RTX 4090引发的连带升级成本约¥5,700（CPU、主板、内存、电源、散热、机箱的全面升级），相当于显卡本身价格的44%。而Brick的功耗和形态不会引发任何连带成本，可在现有信创平台上直接叠加。</w:t>
      </w:r>
    </w:p>
    <w:bookmarkEnd w:id="29"/>
    <w:bookmarkStart w:id="30" w:name="运营成本3年tco对比"/>
    <w:p>
      <w:pPr>
        <w:pStyle w:val="Heading3"/>
      </w:pPr>
      <w:r>
        <w:t xml:space="preserve">5.2 运营成本：3年TCO对比</w:t>
      </w:r>
    </w:p>
    <w:p>
      <w:pPr>
        <w:pStyle w:val="FirstParagraph"/>
      </w:pPr>
      <w:r>
        <w:t xml:space="preserve">采购成本只是总拥有成本（TCO）的一部分。对于7×24运行的推理设备，电费在3年周期内往往超过采购成本。</w:t>
      </w:r>
    </w:p>
    <w:p>
      <w:pPr>
        <w:pStyle w:val="BodyText"/>
      </w:pPr>
      <w:r>
        <w:rPr>
          <w:bCs/>
          <w:b/>
        </w:rPr>
        <w:t xml:space="preserve">表17：边缘推理场景3年TCO（每天8小时运行）</w:t>
      </w:r>
    </w:p>
    <w:tbl>
      <w:tblPr>
        <w:tblStyle w:val="Table"/>
        <w:tblW w:type="pct" w:w="5000"/>
        <w:tblLook w:firstRow="1" w:lastRow="0" w:firstColumn="0" w:lastColumn="0" w:noHBand="0" w:noVBand="0" w:val="0020"/>
      </w:tblPr>
      <w:tblGrid>
        <w:gridCol w:w="579"/>
        <w:gridCol w:w="869"/>
        <w:gridCol w:w="869"/>
        <w:gridCol w:w="1641"/>
        <w:gridCol w:w="772"/>
        <w:gridCol w:w="1255"/>
        <w:gridCol w:w="869"/>
        <w:gridCol w:w="1062"/>
      </w:tblGrid>
      <w:tr>
        <w:trPr>
          <w:tblHeader w:val="true"/>
        </w:trPr>
        <w:tc>
          <w:tcPr/>
          <w:p>
            <w:pPr>
              <w:pStyle w:val="Compact"/>
              <w:jc w:val="left"/>
            </w:pPr>
            <w:r>
              <w:t xml:space="preserve">方案</w:t>
            </w:r>
          </w:p>
        </w:tc>
        <w:tc>
          <w:tcPr/>
          <w:p>
            <w:pPr>
              <w:pStyle w:val="Compact"/>
              <w:jc w:val="left"/>
            </w:pPr>
            <w:r>
              <w:t xml:space="preserve">整机功耗</w:t>
            </w:r>
          </w:p>
        </w:tc>
        <w:tc>
          <w:tcPr/>
          <w:p>
            <w:pPr>
              <w:pStyle w:val="Compact"/>
              <w:jc w:val="left"/>
            </w:pPr>
            <w:r>
              <w:t xml:space="preserve">年耗电量</w:t>
            </w:r>
          </w:p>
        </w:tc>
        <w:tc>
          <w:tcPr/>
          <w:p>
            <w:pPr>
              <w:pStyle w:val="Compact"/>
              <w:jc w:val="left"/>
            </w:pPr>
            <w:r>
              <w:t xml:space="preserve">年电费(¥0.7/kWh)</w:t>
            </w:r>
          </w:p>
        </w:tc>
        <w:tc>
          <w:tcPr/>
          <w:p>
            <w:pPr>
              <w:pStyle w:val="Compact"/>
              <w:jc w:val="left"/>
            </w:pPr>
            <w:r>
              <w:t xml:space="preserve">3年电费</w:t>
            </w:r>
          </w:p>
        </w:tc>
        <w:tc>
          <w:tcPr/>
          <w:p>
            <w:pPr>
              <w:pStyle w:val="Compact"/>
              <w:jc w:val="left"/>
            </w:pPr>
            <w:r>
              <w:t xml:space="preserve">散热维护/3年</w:t>
            </w:r>
          </w:p>
        </w:tc>
        <w:tc>
          <w:tcPr/>
          <w:p>
            <w:pPr>
              <w:pStyle w:val="Compact"/>
              <w:jc w:val="left"/>
            </w:pPr>
            <w:r>
              <w:t xml:space="preserve">采购成本</w:t>
            </w:r>
          </w:p>
        </w:tc>
        <w:tc>
          <w:tcPr/>
          <w:p>
            <w:pPr>
              <w:pStyle w:val="Compact"/>
              <w:jc w:val="left"/>
            </w:pPr>
            <w:r>
              <w:rPr>
                <w:bCs/>
                <w:b/>
              </w:rPr>
              <w:t xml:space="preserve">3年TCO</w:t>
            </w:r>
          </w:p>
        </w:tc>
      </w:tr>
      <w:tr>
        <w:tc>
          <w:tcPr/>
          <w:p>
            <w:pPr>
              <w:pStyle w:val="Compact"/>
              <w:jc w:val="left"/>
            </w:pPr>
            <w:r>
              <w:t xml:space="preserve">RTX 4090整机</w:t>
            </w:r>
          </w:p>
        </w:tc>
        <w:tc>
          <w:tcPr/>
          <w:p>
            <w:pPr>
              <w:pStyle w:val="Compact"/>
              <w:jc w:val="left"/>
            </w:pPr>
            <w:r>
              <w:t xml:space="preserve">500W</w:t>
            </w:r>
          </w:p>
        </w:tc>
        <w:tc>
          <w:tcPr/>
          <w:p>
            <w:pPr>
              <w:pStyle w:val="Compact"/>
              <w:jc w:val="left"/>
            </w:pPr>
            <w:r>
              <w:t xml:space="preserve">1,460 kWh</w:t>
            </w:r>
          </w:p>
        </w:tc>
        <w:tc>
          <w:tcPr/>
          <w:p>
            <w:pPr>
              <w:pStyle w:val="Compact"/>
              <w:jc w:val="left"/>
            </w:pPr>
            <w:r>
              <w:t xml:space="preserve">¥1,022</w:t>
            </w:r>
          </w:p>
        </w:tc>
        <w:tc>
          <w:tcPr/>
          <w:p>
            <w:pPr>
              <w:pStyle w:val="Compact"/>
              <w:jc w:val="left"/>
            </w:pPr>
            <w:r>
              <w:t xml:space="preserve">¥3,066</w:t>
            </w:r>
          </w:p>
        </w:tc>
        <w:tc>
          <w:tcPr/>
          <w:p>
            <w:pPr>
              <w:pStyle w:val="Compact"/>
              <w:jc w:val="left"/>
            </w:pPr>
            <w:r>
              <w:t xml:space="preserve">¥3,750</w:t>
            </w:r>
          </w:p>
        </w:tc>
        <w:tc>
          <w:tcPr/>
          <w:p>
            <w:pPr>
              <w:pStyle w:val="Compact"/>
              <w:jc w:val="left"/>
            </w:pPr>
            <w:r>
              <w:t xml:space="preserve">¥25,000</w:t>
            </w:r>
          </w:p>
        </w:tc>
        <w:tc>
          <w:tcPr/>
          <w:p>
            <w:pPr>
              <w:pStyle w:val="Compact"/>
              <w:jc w:val="left"/>
            </w:pPr>
            <w:r>
              <w:rPr>
                <w:bCs/>
                <w:b/>
              </w:rPr>
              <w:t xml:space="preserve">¥31,800</w:t>
            </w:r>
          </w:p>
        </w:tc>
      </w:tr>
      <w:tr>
        <w:tc>
          <w:tcPr/>
          <w:p>
            <w:pPr>
              <w:pStyle w:val="Compact"/>
              <w:jc w:val="left"/>
            </w:pPr>
            <w:r>
              <w:t xml:space="preserve">RTX 4060整机</w:t>
            </w:r>
          </w:p>
        </w:tc>
        <w:tc>
          <w:tcPr/>
          <w:p>
            <w:pPr>
              <w:pStyle w:val="Compact"/>
              <w:jc w:val="left"/>
            </w:pPr>
            <w:r>
              <w:t xml:space="preserve">200W</w:t>
            </w:r>
          </w:p>
        </w:tc>
        <w:tc>
          <w:tcPr/>
          <w:p>
            <w:pPr>
              <w:pStyle w:val="Compact"/>
              <w:jc w:val="left"/>
            </w:pPr>
            <w:r>
              <w:t xml:space="preserve">584 kWh</w:t>
            </w:r>
          </w:p>
        </w:tc>
        <w:tc>
          <w:tcPr/>
          <w:p>
            <w:pPr>
              <w:pStyle w:val="Compact"/>
              <w:jc w:val="left"/>
            </w:pPr>
            <w:r>
              <w:t xml:space="preserve">¥409</w:t>
            </w:r>
          </w:p>
        </w:tc>
        <w:tc>
          <w:tcPr/>
          <w:p>
            <w:pPr>
              <w:pStyle w:val="Compact"/>
              <w:jc w:val="left"/>
            </w:pPr>
            <w:r>
              <w:t xml:space="preserve">¥1,227</w:t>
            </w:r>
          </w:p>
        </w:tc>
        <w:tc>
          <w:tcPr/>
          <w:p>
            <w:pPr>
              <w:pStyle w:val="Compact"/>
              <w:jc w:val="left"/>
            </w:pPr>
            <w:r>
              <w:t xml:space="preserve">¥1,200</w:t>
            </w:r>
          </w:p>
        </w:tc>
        <w:tc>
          <w:tcPr/>
          <w:p>
            <w:pPr>
              <w:pStyle w:val="Compact"/>
              <w:jc w:val="left"/>
            </w:pPr>
            <w:r>
              <w:t xml:space="preserve">¥4,500</w:t>
            </w:r>
          </w:p>
        </w:tc>
        <w:tc>
          <w:tcPr/>
          <w:p>
            <w:pPr>
              <w:pStyle w:val="Compact"/>
              <w:jc w:val="left"/>
            </w:pPr>
            <w:r>
              <w:rPr>
                <w:bCs/>
                <w:b/>
              </w:rPr>
              <w:t xml:space="preserve">¥6,927</w:t>
            </w:r>
          </w:p>
        </w:tc>
      </w:tr>
      <w:tr>
        <w:tc>
          <w:tcPr/>
          <w:p>
            <w:pPr>
              <w:pStyle w:val="Compact"/>
              <w:jc w:val="left"/>
            </w:pPr>
            <w:r>
              <w:t xml:space="preserve">4×Jetson Orin Nano</w:t>
            </w:r>
          </w:p>
        </w:tc>
        <w:tc>
          <w:tcPr/>
          <w:p>
            <w:pPr>
              <w:pStyle w:val="Compact"/>
              <w:jc w:val="left"/>
            </w:pPr>
            <w:r>
              <w:t xml:space="preserve">60W</w:t>
            </w:r>
          </w:p>
        </w:tc>
        <w:tc>
          <w:tcPr/>
          <w:p>
            <w:pPr>
              <w:pStyle w:val="Compact"/>
              <w:jc w:val="left"/>
            </w:pPr>
            <w:r>
              <w:t xml:space="preserve">175 kWh</w:t>
            </w:r>
          </w:p>
        </w:tc>
        <w:tc>
          <w:tcPr/>
          <w:p>
            <w:pPr>
              <w:pStyle w:val="Compact"/>
              <w:jc w:val="left"/>
            </w:pPr>
            <w:r>
              <w:t xml:space="preserve">¥123</w:t>
            </w:r>
          </w:p>
        </w:tc>
        <w:tc>
          <w:tcPr/>
          <w:p>
            <w:pPr>
              <w:pStyle w:val="Compact"/>
              <w:jc w:val="left"/>
            </w:pPr>
            <w:r>
              <w:t xml:space="preserve">¥368</w:t>
            </w:r>
          </w:p>
        </w:tc>
        <w:tc>
          <w:tcPr/>
          <w:p>
            <w:pPr>
              <w:pStyle w:val="Compact"/>
              <w:jc w:val="left"/>
            </w:pPr>
            <w:r>
              <w:t xml:space="preserve">¥600</w:t>
            </w:r>
          </w:p>
        </w:tc>
        <w:tc>
          <w:tcPr/>
          <w:p>
            <w:pPr>
              <w:pStyle w:val="Compact"/>
              <w:jc w:val="left"/>
            </w:pPr>
            <w:r>
              <w:t xml:space="preserve">¥6,000</w:t>
            </w:r>
          </w:p>
        </w:tc>
        <w:tc>
          <w:tcPr/>
          <w:p>
            <w:pPr>
              <w:pStyle w:val="Compact"/>
              <w:jc w:val="left"/>
            </w:pPr>
            <w:r>
              <w:rPr>
                <w:bCs/>
                <w:b/>
              </w:rPr>
              <w:t xml:space="preserve">¥6,968</w:t>
            </w:r>
          </w:p>
        </w:tc>
      </w:tr>
      <w:tr>
        <w:tc>
          <w:tcPr/>
          <w:p>
            <w:pPr>
              <w:pStyle w:val="Compact"/>
              <w:jc w:val="left"/>
            </w:pPr>
            <w:r>
              <w:rPr>
                <w:bCs/>
                <w:b/>
              </w:rPr>
              <w:t xml:space="preserve">4×Brick</w:t>
            </w:r>
          </w:p>
        </w:tc>
        <w:tc>
          <w:tcPr/>
          <w:p>
            <w:pPr>
              <w:pStyle w:val="Compact"/>
              <w:jc w:val="left"/>
            </w:pPr>
            <w:r>
              <w:rPr>
                <w:bCs/>
                <w:b/>
              </w:rPr>
              <w:t xml:space="preserve">40W</w:t>
            </w:r>
          </w:p>
        </w:tc>
        <w:tc>
          <w:tcPr/>
          <w:p>
            <w:pPr>
              <w:pStyle w:val="Compact"/>
              <w:jc w:val="left"/>
            </w:pPr>
            <w:r>
              <w:rPr>
                <w:bCs/>
                <w:b/>
              </w:rPr>
              <w:t xml:space="preserve">116.8 kWh</w:t>
            </w:r>
          </w:p>
        </w:tc>
        <w:tc>
          <w:tcPr/>
          <w:p>
            <w:pPr>
              <w:pStyle w:val="Compact"/>
              <w:jc w:val="left"/>
            </w:pPr>
            <w:r>
              <w:rPr>
                <w:bCs/>
                <w:b/>
              </w:rPr>
              <w:t xml:space="preserve">¥82</w:t>
            </w:r>
          </w:p>
        </w:tc>
        <w:tc>
          <w:tcPr/>
          <w:p>
            <w:pPr>
              <w:pStyle w:val="Compact"/>
              <w:jc w:val="left"/>
            </w:pPr>
            <w:r>
              <w:rPr>
                <w:bCs/>
                <w:b/>
              </w:rPr>
              <w:t xml:space="preserve">¥245</w:t>
            </w:r>
          </w:p>
        </w:tc>
        <w:tc>
          <w:tcPr/>
          <w:p>
            <w:pPr>
              <w:pStyle w:val="Compact"/>
              <w:jc w:val="left"/>
            </w:pPr>
            <w:r>
              <w:rPr>
                <w:bCs/>
                <w:b/>
              </w:rPr>
              <w:t xml:space="preserve">¥0</w:t>
            </w:r>
          </w:p>
        </w:tc>
        <w:tc>
          <w:tcPr/>
          <w:p>
            <w:pPr>
              <w:pStyle w:val="Compact"/>
              <w:jc w:val="left"/>
            </w:pPr>
            <w:r>
              <w:rPr>
                <w:bCs/>
                <w:b/>
              </w:rPr>
              <w:t xml:space="preserve">¥3,720</w:t>
            </w:r>
          </w:p>
        </w:tc>
        <w:tc>
          <w:tcPr/>
          <w:p>
            <w:pPr>
              <w:pStyle w:val="Compact"/>
              <w:jc w:val="left"/>
            </w:pPr>
            <w:r>
              <w:rPr>
                <w:bCs/>
                <w:b/>
              </w:rPr>
              <w:t xml:space="preserve">¥3,965</w:t>
            </w:r>
          </w:p>
        </w:tc>
      </w:tr>
    </w:tbl>
    <w:p>
      <w:pPr>
        <w:pStyle w:val="BodyText"/>
      </w:pPr>
      <w:r>
        <w:rPr>
          <w:bCs/>
          <w:b/>
        </w:rPr>
        <w:t xml:space="preserve">核心结论</w:t>
      </w:r>
      <w:r>
        <w:t xml:space="preserve">：4×Brick的3年TCO仅</w:t>
      </w:r>
      <w:r>
        <w:t xml:space="preserve"> </w:t>
      </w:r>
      <w:r>
        <w:rPr>
          <w:bCs/>
          <w:b/>
        </w:rPr>
        <w:t xml:space="preserve">¥3,965</w:t>
      </w:r>
      <w:r>
        <w:t xml:space="preserve">（约¥4,165含维护），相比4×Jetson Orin Nano方案（¥6,968~7,968）节省</w:t>
      </w:r>
      <w:r>
        <w:t xml:space="preserve"> </w:t>
      </w:r>
      <w:r>
        <w:rPr>
          <w:bCs/>
          <w:b/>
        </w:rPr>
        <w:t xml:space="preserve">43-50%</w:t>
      </w:r>
      <w:r>
        <w:t xml:space="preserve">，相比RTX 4060整机（¥6,927）节省</w:t>
      </w:r>
      <w:r>
        <w:t xml:space="preserve"> </w:t>
      </w:r>
      <w:r>
        <w:rPr>
          <w:bCs/>
          <w:b/>
        </w:rPr>
        <w:t xml:space="preserve">43%</w:t>
      </w:r>
      <w:r>
        <w:t xml:space="preserve">。即使与最便宜的RTX 3060整机（¥3,500采购+¥1,500电费+¥300维护=~¥5,300）相比，Brick的TCO优势也在25%以上。</w:t>
      </w:r>
    </w:p>
    <w:p>
      <w:pPr>
        <w:pStyle w:val="BodyText"/>
      </w:pPr>
      <w:r>
        <w:t xml:space="preserve">TCO优势的主要来源包括：</w:t>
      </w:r>
      <w:r>
        <w:t xml:space="preserve"> </w:t>
      </w:r>
      <w:r>
        <w:t xml:space="preserve">1.</w:t>
      </w:r>
      <w:r>
        <w:t xml:space="preserve"> </w:t>
      </w:r>
      <w:r>
        <w:rPr>
          <w:bCs/>
          <w:b/>
        </w:rPr>
        <w:t xml:space="preserve">超低功耗</w:t>
      </w:r>
      <w:r>
        <w:t xml:space="preserve">：单Brick仅8-10W，无需主动散热，年电费仅¥82（边缘8h/天场景）</w:t>
      </w:r>
      <w:r>
        <w:t xml:space="preserve"> </w:t>
      </w:r>
      <w:r>
        <w:t xml:space="preserve">2.</w:t>
      </w:r>
      <w:r>
        <w:t xml:space="preserve"> </w:t>
      </w:r>
      <w:r>
        <w:rPr>
          <w:bCs/>
          <w:b/>
        </w:rPr>
        <w:t xml:space="preserve">零散热维护成本</w:t>
      </w:r>
      <w:r>
        <w:t xml:space="preserve">：被动散热消除了风扇更换、散热膏维护、液冷系统检修等全部散热维护费用</w:t>
      </w:r>
      <w:r>
        <w:t xml:space="preserve"> </w:t>
      </w:r>
      <w:r>
        <w:t xml:space="preserve">3.</w:t>
      </w:r>
      <w:r>
        <w:t xml:space="preserve"> </w:t>
      </w:r>
      <w:r>
        <w:rPr>
          <w:bCs/>
          <w:b/>
        </w:rPr>
        <w:t xml:space="preserve">零PUE加成</w:t>
      </w:r>
      <w:r>
        <w:t xml:space="preserve">：被动散热的PUE=1.0，无需数据中心制冷开销</w:t>
      </w:r>
      <w:r>
        <w:t xml:space="preserve"> </w:t>
      </w:r>
      <w:r>
        <w:t xml:space="preserve">4.</w:t>
      </w:r>
      <w:r>
        <w:t xml:space="preserve"> </w:t>
      </w:r>
      <w:r>
        <w:rPr>
          <w:bCs/>
          <w:b/>
        </w:rPr>
        <w:t xml:space="preserve">无连带升级</w:t>
      </w:r>
      <w:r>
        <w:t xml:space="preserve">：低功耗不会引发CPU、主板、电源、机箱的全面升级</w:t>
      </w:r>
    </w:p>
    <w:p>
      <w:pPr>
        <w:pStyle w:val="BodyText"/>
      </w:pPr>
      <w:r>
        <w:rPr>
          <w:bCs/>
          <w:b/>
        </w:rPr>
        <w:t xml:space="preserve">表18：数据中心7×24场景3年TCO</w:t>
      </w:r>
    </w:p>
    <w:tbl>
      <w:tblPr>
        <w:tblStyle w:val="Table"/>
        <w:tblW w:type="pct" w:w="5000"/>
        <w:tblLook w:firstRow="1" w:lastRow="0" w:firstColumn="0" w:lastColumn="0" w:noHBand="0" w:noVBand="0" w:val="0020"/>
      </w:tblPr>
      <w:tblGrid>
        <w:gridCol w:w="731"/>
        <w:gridCol w:w="1096"/>
        <w:gridCol w:w="609"/>
        <w:gridCol w:w="974"/>
        <w:gridCol w:w="1096"/>
        <w:gridCol w:w="974"/>
        <w:gridCol w:w="1096"/>
        <w:gridCol w:w="1340"/>
      </w:tblGrid>
      <w:tr>
        <w:trPr>
          <w:tblHeader w:val="true"/>
        </w:trPr>
        <w:tc>
          <w:tcPr/>
          <w:p>
            <w:pPr>
              <w:pStyle w:val="Compact"/>
              <w:jc w:val="left"/>
            </w:pPr>
            <w:r>
              <w:t xml:space="preserve">方案</w:t>
            </w:r>
          </w:p>
        </w:tc>
        <w:tc>
          <w:tcPr/>
          <w:p>
            <w:pPr>
              <w:pStyle w:val="Compact"/>
              <w:jc w:val="left"/>
            </w:pPr>
            <w:r>
              <w:t xml:space="preserve">整机功耗</w:t>
            </w:r>
          </w:p>
        </w:tc>
        <w:tc>
          <w:tcPr/>
          <w:p>
            <w:pPr>
              <w:pStyle w:val="Compact"/>
              <w:jc w:val="left"/>
            </w:pPr>
            <w:r>
              <w:t xml:space="preserve">PUE</w:t>
            </w:r>
          </w:p>
        </w:tc>
        <w:tc>
          <w:tcPr/>
          <w:p>
            <w:pPr>
              <w:pStyle w:val="Compact"/>
              <w:jc w:val="left"/>
            </w:pPr>
            <w:r>
              <w:t xml:space="preserve">总功耗</w:t>
            </w:r>
          </w:p>
        </w:tc>
        <w:tc>
          <w:tcPr/>
          <w:p>
            <w:pPr>
              <w:pStyle w:val="Compact"/>
              <w:jc w:val="left"/>
            </w:pPr>
            <w:r>
              <w:t xml:space="preserve">年耗电量</w:t>
            </w:r>
          </w:p>
        </w:tc>
        <w:tc>
          <w:tcPr/>
          <w:p>
            <w:pPr>
              <w:pStyle w:val="Compact"/>
              <w:jc w:val="left"/>
            </w:pPr>
            <w:r>
              <w:t xml:space="preserve">3年电费</w:t>
            </w:r>
          </w:p>
        </w:tc>
        <w:tc>
          <w:tcPr/>
          <w:p>
            <w:pPr>
              <w:pStyle w:val="Compact"/>
              <w:jc w:val="left"/>
            </w:pPr>
            <w:r>
              <w:t xml:space="preserve">采购成本</w:t>
            </w:r>
          </w:p>
        </w:tc>
        <w:tc>
          <w:tcPr/>
          <w:p>
            <w:pPr>
              <w:pStyle w:val="Compact"/>
              <w:jc w:val="left"/>
            </w:pPr>
            <w:r>
              <w:rPr>
                <w:bCs/>
                <w:b/>
              </w:rPr>
              <w:t xml:space="preserve">3年TCO</w:t>
            </w:r>
          </w:p>
        </w:tc>
      </w:tr>
      <w:tr>
        <w:tc>
          <w:tcPr/>
          <w:p>
            <w:pPr>
              <w:pStyle w:val="Compact"/>
              <w:jc w:val="left"/>
            </w:pPr>
            <w:r>
              <w:t xml:space="preserve">A100服务器(8卡)</w:t>
            </w:r>
          </w:p>
        </w:tc>
        <w:tc>
          <w:tcPr/>
          <w:p>
            <w:pPr>
              <w:pStyle w:val="Compact"/>
              <w:jc w:val="left"/>
            </w:pPr>
            <w:r>
              <w:t xml:space="preserve">3,000W</w:t>
            </w:r>
          </w:p>
        </w:tc>
        <w:tc>
          <w:tcPr/>
          <w:p>
            <w:pPr>
              <w:pStyle w:val="Compact"/>
              <w:jc w:val="left"/>
            </w:pPr>
            <w:r>
              <w:t xml:space="preserve">1.5</w:t>
            </w:r>
          </w:p>
        </w:tc>
        <w:tc>
          <w:tcPr/>
          <w:p>
            <w:pPr>
              <w:pStyle w:val="Compact"/>
              <w:jc w:val="left"/>
            </w:pPr>
            <w:r>
              <w:t xml:space="preserve">4,500W</w:t>
            </w:r>
          </w:p>
        </w:tc>
        <w:tc>
          <w:tcPr/>
          <w:p>
            <w:pPr>
              <w:pStyle w:val="Compact"/>
              <w:jc w:val="left"/>
            </w:pPr>
            <w:r>
              <w:t xml:space="preserve">39,420 kWh</w:t>
            </w:r>
          </w:p>
        </w:tc>
        <w:tc>
          <w:tcPr/>
          <w:p>
            <w:pPr>
              <w:pStyle w:val="Compact"/>
              <w:jc w:val="left"/>
            </w:pPr>
            <w:r>
              <w:t xml:space="preserve">¥82,782</w:t>
            </w:r>
          </w:p>
        </w:tc>
        <w:tc>
          <w:tcPr/>
          <w:p>
            <w:pPr>
              <w:pStyle w:val="Compact"/>
              <w:jc w:val="left"/>
            </w:pPr>
            <w:r>
              <w:t xml:space="preserve">¥1,000,000</w:t>
            </w:r>
          </w:p>
        </w:tc>
        <w:tc>
          <w:tcPr/>
          <w:p>
            <w:pPr>
              <w:pStyle w:val="Compact"/>
              <w:jc w:val="left"/>
            </w:pPr>
            <w:r>
              <w:rPr>
                <w:bCs/>
                <w:b/>
              </w:rPr>
              <w:t xml:space="preserve">¥1,232,782</w:t>
            </w:r>
          </w:p>
        </w:tc>
      </w:tr>
      <w:tr>
        <w:tc>
          <w:tcPr/>
          <w:p>
            <w:pPr>
              <w:pStyle w:val="Compact"/>
              <w:jc w:val="left"/>
            </w:pPr>
            <w:r>
              <w:t xml:space="preserve">H100服务器(8卡)</w:t>
            </w:r>
          </w:p>
        </w:tc>
        <w:tc>
          <w:tcPr/>
          <w:p>
            <w:pPr>
              <w:pStyle w:val="Compact"/>
              <w:jc w:val="left"/>
            </w:pPr>
            <w:r>
              <w:t xml:space="preserve">4,500W</w:t>
            </w:r>
          </w:p>
        </w:tc>
        <w:tc>
          <w:tcPr/>
          <w:p>
            <w:pPr>
              <w:pStyle w:val="Compact"/>
              <w:jc w:val="left"/>
            </w:pPr>
            <w:r>
              <w:t xml:space="preserve">1.05</w:t>
            </w:r>
          </w:p>
        </w:tc>
        <w:tc>
          <w:tcPr/>
          <w:p>
            <w:pPr>
              <w:pStyle w:val="Compact"/>
              <w:jc w:val="left"/>
            </w:pPr>
            <w:r>
              <w:t xml:space="preserve">4,725W</w:t>
            </w:r>
          </w:p>
        </w:tc>
        <w:tc>
          <w:tcPr/>
          <w:p>
            <w:pPr>
              <w:pStyle w:val="Compact"/>
              <w:jc w:val="left"/>
            </w:pPr>
            <w:r>
              <w:t xml:space="preserve">41,391 kWh</w:t>
            </w:r>
          </w:p>
        </w:tc>
        <w:tc>
          <w:tcPr/>
          <w:p>
            <w:pPr>
              <w:pStyle w:val="Compact"/>
              <w:jc w:val="left"/>
            </w:pPr>
            <w:r>
              <w:t xml:space="preserve">¥86,921</w:t>
            </w:r>
          </w:p>
        </w:tc>
        <w:tc>
          <w:tcPr/>
          <w:p>
            <w:pPr>
              <w:pStyle w:val="Compact"/>
              <w:jc w:val="left"/>
            </w:pPr>
            <w:r>
              <w:t xml:space="preserve">¥2,000,000</w:t>
            </w:r>
          </w:p>
        </w:tc>
        <w:tc>
          <w:tcPr/>
          <w:p>
            <w:pPr>
              <w:pStyle w:val="Compact"/>
              <w:jc w:val="left"/>
            </w:pPr>
            <w:r>
              <w:rPr>
                <w:bCs/>
                <w:b/>
              </w:rPr>
              <w:t xml:space="preserve">¥2,236,921</w:t>
            </w:r>
          </w:p>
        </w:tc>
      </w:tr>
      <w:tr>
        <w:tc>
          <w:tcPr/>
          <w:p>
            <w:pPr>
              <w:pStyle w:val="Compact"/>
              <w:jc w:val="left"/>
            </w:pPr>
            <w:r>
              <w:rPr>
                <w:bCs/>
                <w:b/>
              </w:rPr>
              <w:t xml:space="preserve">Brick集群(40块)</w:t>
            </w:r>
          </w:p>
        </w:tc>
        <w:tc>
          <w:tcPr/>
          <w:p>
            <w:pPr>
              <w:pStyle w:val="Compact"/>
              <w:jc w:val="left"/>
            </w:pPr>
            <w:r>
              <w:rPr>
                <w:bCs/>
                <w:b/>
              </w:rPr>
              <w:t xml:space="preserve">400W</w:t>
            </w:r>
          </w:p>
        </w:tc>
        <w:tc>
          <w:tcPr/>
          <w:p>
            <w:pPr>
              <w:pStyle w:val="Compact"/>
              <w:jc w:val="left"/>
            </w:pPr>
            <w:r>
              <w:rPr>
                <w:bCs/>
                <w:b/>
              </w:rPr>
              <w:t xml:space="preserve">1.0</w:t>
            </w:r>
          </w:p>
        </w:tc>
        <w:tc>
          <w:tcPr/>
          <w:p>
            <w:pPr>
              <w:pStyle w:val="Compact"/>
              <w:jc w:val="left"/>
            </w:pPr>
            <w:r>
              <w:rPr>
                <w:bCs/>
                <w:b/>
              </w:rPr>
              <w:t xml:space="preserve">400W</w:t>
            </w:r>
          </w:p>
        </w:tc>
        <w:tc>
          <w:tcPr/>
          <w:p>
            <w:pPr>
              <w:pStyle w:val="Compact"/>
              <w:jc w:val="left"/>
            </w:pPr>
            <w:r>
              <w:rPr>
                <w:bCs/>
                <w:b/>
              </w:rPr>
              <w:t xml:space="preserve">3,504 kWh</w:t>
            </w:r>
          </w:p>
        </w:tc>
        <w:tc>
          <w:tcPr/>
          <w:p>
            <w:pPr>
              <w:pStyle w:val="Compact"/>
              <w:jc w:val="left"/>
            </w:pPr>
            <w:r>
              <w:rPr>
                <w:bCs/>
                <w:b/>
              </w:rPr>
              <w:t xml:space="preserve">¥7,358</w:t>
            </w:r>
          </w:p>
        </w:tc>
        <w:tc>
          <w:tcPr/>
          <w:p>
            <w:pPr>
              <w:pStyle w:val="Compact"/>
              <w:jc w:val="left"/>
            </w:pPr>
            <w:r>
              <w:rPr>
                <w:bCs/>
                <w:b/>
              </w:rPr>
              <w:t xml:space="preserve">¥37,200</w:t>
            </w:r>
          </w:p>
        </w:tc>
        <w:tc>
          <w:tcPr/>
          <w:p>
            <w:pPr>
              <w:pStyle w:val="Compact"/>
              <w:jc w:val="left"/>
            </w:pPr>
            <w:r>
              <w:rPr>
                <w:bCs/>
                <w:b/>
              </w:rPr>
              <w:t xml:space="preserve">¥44,558</w:t>
            </w:r>
          </w:p>
        </w:tc>
      </w:tr>
    </w:tbl>
    <w:p>
      <w:pPr>
        <w:pStyle w:val="BodyText"/>
      </w:pPr>
      <w:r>
        <w:t xml:space="preserve">在数据中心场景中，Brick的TCO优势更为显著：40块Brick集群（等效40核并行流水线）的3年TCO仅</w:t>
      </w:r>
      <w:r>
        <w:t xml:space="preserve"> </w:t>
      </w:r>
      <w:r>
        <w:rPr>
          <w:bCs/>
          <w:b/>
        </w:rPr>
        <w:t xml:space="preserve">¥44,558</w:t>
      </w:r>
      <w:r>
        <w:t xml:space="preserve">，相比A100服务器（¥1,232,782）低</w:t>
      </w:r>
      <w:r>
        <w:t xml:space="preserve"> </w:t>
      </w:r>
      <w:r>
        <w:rPr>
          <w:bCs/>
          <w:b/>
        </w:rPr>
        <w:t xml:space="preserve">28倍</w:t>
      </w:r>
      <w:r>
        <w:t xml:space="preserve">，相比H100服务器（¥2,236,921）低</w:t>
      </w:r>
      <w:r>
        <w:t xml:space="preserve"> </w:t>
      </w:r>
      <w:r>
        <w:rPr>
          <w:bCs/>
          <w:b/>
        </w:rPr>
        <w:t xml:space="preserve">50倍</w:t>
      </w:r>
      <w:r>
        <w:t xml:space="preserve">。</w:t>
      </w:r>
    </w:p>
    <w:bookmarkEnd w:id="30"/>
    <w:bookmarkStart w:id="31" w:name="供应链安全自主可控"/>
    <w:p>
      <w:pPr>
        <w:pStyle w:val="Heading3"/>
      </w:pPr>
      <w:r>
        <w:t xml:space="preserve">5.3 供应链安全：自主可控</w:t>
      </w:r>
    </w:p>
    <w:p>
      <w:pPr>
        <w:pStyle w:val="FirstParagraph"/>
      </w:pPr>
      <w:r>
        <w:t xml:space="preserve">供应链安全是Brick架构相比GPU最具战略意义的差异化优势。自2022年10月起，美国对华GPU出口管制持续升级，已对国内AI算力获取造成实质性影响。</w:t>
      </w:r>
    </w:p>
    <w:p>
      <w:pPr>
        <w:pStyle w:val="BodyText"/>
      </w:pPr>
      <w:r>
        <w:rPr>
          <w:bCs/>
          <w:b/>
        </w:rPr>
        <w:t xml:space="preserve">表19：美国对华GPU出口管制完整时间线</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时间</w:t>
            </w:r>
          </w:p>
        </w:tc>
        <w:tc>
          <w:tcPr/>
          <w:p>
            <w:pPr>
              <w:pStyle w:val="Compact"/>
              <w:jc w:val="left"/>
            </w:pPr>
            <w:r>
              <w:t xml:space="preserve">政策</w:t>
            </w:r>
          </w:p>
        </w:tc>
        <w:tc>
          <w:tcPr/>
          <w:p>
            <w:pPr>
              <w:pStyle w:val="Compact"/>
              <w:jc w:val="left"/>
            </w:pPr>
            <w:r>
              <w:t xml:space="preserve">影响范围</w:t>
            </w:r>
          </w:p>
        </w:tc>
      </w:tr>
      <w:tr>
        <w:tc>
          <w:tcPr/>
          <w:p>
            <w:pPr>
              <w:pStyle w:val="Compact"/>
              <w:jc w:val="left"/>
            </w:pPr>
            <w:r>
              <w:t xml:space="preserve">2022年10月</w:t>
            </w:r>
          </w:p>
        </w:tc>
        <w:tc>
          <w:tcPr/>
          <w:p>
            <w:pPr>
              <w:pStyle w:val="Compact"/>
              <w:jc w:val="left"/>
            </w:pPr>
            <w:r>
              <w:t xml:space="preserve">首轮GPU出口限制</w:t>
            </w:r>
          </w:p>
        </w:tc>
        <w:tc>
          <w:tcPr/>
          <w:p>
            <w:pPr>
              <w:pStyle w:val="Compact"/>
              <w:jc w:val="left"/>
            </w:pPr>
            <w:r>
              <w:t xml:space="preserve">A100、H100对华禁售</w:t>
            </w:r>
          </w:p>
        </w:tc>
      </w:tr>
      <w:tr>
        <w:tc>
          <w:tcPr/>
          <w:p>
            <w:pPr>
              <w:pStyle w:val="Compact"/>
              <w:jc w:val="left"/>
            </w:pPr>
            <w:r>
              <w:t xml:space="preserve">2023年10月</w:t>
            </w:r>
          </w:p>
        </w:tc>
        <w:tc>
          <w:tcPr/>
          <w:p>
            <w:pPr>
              <w:pStyle w:val="Compact"/>
              <w:jc w:val="left"/>
            </w:pPr>
            <w:r>
              <w:t xml:space="preserve">扩大管制范围</w:t>
            </w:r>
          </w:p>
        </w:tc>
        <w:tc>
          <w:tcPr/>
          <w:p>
            <w:pPr>
              <w:pStyle w:val="Compact"/>
              <w:jc w:val="left"/>
            </w:pPr>
            <w:r>
              <w:t xml:space="preserve">涵盖同架构芯片、增加实体清单</w:t>
            </w:r>
          </w:p>
        </w:tc>
      </w:tr>
      <w:tr>
        <w:tc>
          <w:tcPr/>
          <w:p>
            <w:pPr>
              <w:pStyle w:val="Compact"/>
              <w:jc w:val="left"/>
            </w:pPr>
            <w:r>
              <w:t xml:space="preserve">2025年1月</w:t>
            </w:r>
          </w:p>
        </w:tc>
        <w:tc>
          <w:tcPr/>
          <w:p>
            <w:pPr>
              <w:pStyle w:val="Compact"/>
              <w:jc w:val="left"/>
            </w:pPr>
            <w:r>
              <w:t xml:space="preserve">AI扩散出口管制框架</w:t>
            </w:r>
          </w:p>
        </w:tc>
        <w:tc>
          <w:tcPr/>
          <w:p>
            <w:pPr>
              <w:pStyle w:val="Compact"/>
              <w:jc w:val="left"/>
            </w:pPr>
            <w:r>
              <w:t xml:space="preserve">分三级国家差异化禁运</w:t>
            </w:r>
          </w:p>
        </w:tc>
      </w:tr>
      <w:tr>
        <w:tc>
          <w:tcPr/>
          <w:p>
            <w:pPr>
              <w:pStyle w:val="Compact"/>
              <w:jc w:val="left"/>
            </w:pPr>
            <w:r>
              <w:t xml:space="preserve">2025年4月</w:t>
            </w:r>
          </w:p>
        </w:tc>
        <w:tc>
          <w:tcPr/>
          <w:p>
            <w:pPr>
              <w:pStyle w:val="Compact"/>
              <w:jc w:val="left"/>
            </w:pPr>
            <w:r>
              <w:t xml:space="preserve">H20/MI308无限期禁令</w:t>
            </w:r>
          </w:p>
        </w:tc>
        <w:tc>
          <w:tcPr/>
          <w:p>
            <w:pPr>
              <w:pStyle w:val="Compact"/>
              <w:jc w:val="left"/>
            </w:pPr>
            <w:r>
              <w:t xml:space="preserve">连特供版芯片也被禁</w:t>
            </w:r>
          </w:p>
        </w:tc>
      </w:tr>
      <w:tr>
        <w:tc>
          <w:tcPr/>
          <w:p>
            <w:pPr>
              <w:pStyle w:val="Compact"/>
              <w:jc w:val="left"/>
            </w:pPr>
            <w:r>
              <w:t xml:space="preserve">2025年7月</w:t>
            </w:r>
          </w:p>
        </w:tc>
        <w:tc>
          <w:tcPr/>
          <w:p>
            <w:pPr>
              <w:pStyle w:val="Compact"/>
              <w:jc w:val="left"/>
            </w:pPr>
            <w:r>
              <w:t xml:space="preserve">恢复销售但+15%费用</w:t>
            </w:r>
          </w:p>
        </w:tc>
        <w:tc>
          <w:tcPr/>
          <w:p>
            <w:pPr>
              <w:pStyle w:val="Compact"/>
              <w:jc w:val="left"/>
            </w:pPr>
            <w:r>
              <w:t xml:space="preserve">H20可售但需上缴15%收入</w:t>
            </w:r>
          </w:p>
        </w:tc>
      </w:tr>
      <w:tr>
        <w:tc>
          <w:tcPr/>
          <w:p>
            <w:pPr>
              <w:pStyle w:val="Compact"/>
              <w:jc w:val="left"/>
            </w:pPr>
            <w:r>
              <w:t xml:space="preserve">2025年7月</w:t>
            </w:r>
          </w:p>
        </w:tc>
        <w:tc>
          <w:tcPr/>
          <w:p>
            <w:pPr>
              <w:pStyle w:val="Compact"/>
              <w:jc w:val="left"/>
            </w:pPr>
            <w:r>
              <w:t xml:space="preserve">东南亚转运管制</w:t>
            </w:r>
          </w:p>
        </w:tc>
        <w:tc>
          <w:tcPr/>
          <w:p>
            <w:pPr>
              <w:pStyle w:val="Compact"/>
              <w:jc w:val="left"/>
            </w:pPr>
            <w:r>
              <w:t xml:space="preserve">经马来西亚、泰国需许可证</w:t>
            </w:r>
          </w:p>
        </w:tc>
      </w:tr>
      <w:tr>
        <w:tc>
          <w:tcPr/>
          <w:p>
            <w:pPr>
              <w:pStyle w:val="Compact"/>
              <w:jc w:val="left"/>
            </w:pPr>
            <w:r>
              <w:t xml:space="preserve">2025年9月</w:t>
            </w:r>
          </w:p>
        </w:tc>
        <w:tc>
          <w:tcPr/>
          <w:p>
            <w:pPr>
              <w:pStyle w:val="Compact"/>
              <w:jc w:val="left"/>
            </w:pPr>
            <w:r>
              <w:t xml:space="preserve">中国反制禁令</w:t>
            </w:r>
          </w:p>
        </w:tc>
        <w:tc>
          <w:tcPr/>
          <w:p>
            <w:pPr>
              <w:pStyle w:val="Compact"/>
              <w:jc w:val="left"/>
            </w:pPr>
            <w:r>
              <w:t xml:space="preserve">中国网信办禁止采购NVIDIA芯片</w:t>
            </w:r>
          </w:p>
        </w:tc>
      </w:tr>
      <w:tr>
        <w:tc>
          <w:tcPr/>
          <w:p>
            <w:pPr>
              <w:pStyle w:val="Compact"/>
              <w:jc w:val="left"/>
            </w:pPr>
            <w:r>
              <w:t xml:space="preserve">2025年12月</w:t>
            </w:r>
          </w:p>
        </w:tc>
        <w:tc>
          <w:tcPr/>
          <w:p>
            <w:pPr>
              <w:pStyle w:val="Compact"/>
              <w:jc w:val="left"/>
            </w:pPr>
            <w:r>
              <w:t xml:space="preserve">H200获准销售</w:t>
            </w:r>
          </w:p>
        </w:tc>
        <w:tc>
          <w:tcPr/>
          <w:p>
            <w:pPr>
              <w:pStyle w:val="Compact"/>
              <w:jc w:val="left"/>
            </w:pPr>
            <w:r>
              <w:t xml:space="preserve">H200经审核后可对华销售</w:t>
            </w:r>
          </w:p>
        </w:tc>
      </w:tr>
    </w:tbl>
    <w:p>
      <w:pPr>
        <w:pStyle w:val="BodyText"/>
      </w:pPr>
      <w:r>
        <w:rPr>
          <w:bCs/>
          <w:b/>
        </w:rPr>
        <w:t xml:space="preserve">表20：供应链风险评估</w:t>
      </w:r>
    </w:p>
    <w:tbl>
      <w:tblPr>
        <w:tblStyle w:val="Table"/>
        <w:tblW w:type="pct" w:w="5000"/>
        <w:tblLook w:firstRow="1" w:lastRow="0" w:firstColumn="0" w:lastColumn="0" w:noHBand="0" w:noVBand="0" w:val="0020"/>
      </w:tblPr>
      <w:tblGrid>
        <w:gridCol w:w="1485"/>
        <w:gridCol w:w="1485"/>
        <w:gridCol w:w="1485"/>
        <w:gridCol w:w="1485"/>
        <w:gridCol w:w="1980"/>
      </w:tblGrid>
      <w:tr>
        <w:trPr>
          <w:tblHeader w:val="true"/>
        </w:trPr>
        <w:tc>
          <w:tcPr/>
          <w:p>
            <w:pPr>
              <w:pStyle w:val="Compact"/>
              <w:jc w:val="left"/>
            </w:pPr>
            <w:r>
              <w:t xml:space="preserve">GPU型号</w:t>
            </w:r>
          </w:p>
        </w:tc>
        <w:tc>
          <w:tcPr/>
          <w:p>
            <w:pPr>
              <w:pStyle w:val="Compact"/>
              <w:jc w:val="left"/>
            </w:pPr>
            <w:r>
              <w:t xml:space="preserve">管制状态</w:t>
            </w:r>
          </w:p>
        </w:tc>
        <w:tc>
          <w:tcPr/>
          <w:p>
            <w:pPr>
              <w:pStyle w:val="Compact"/>
              <w:jc w:val="left"/>
            </w:pPr>
            <w:r>
              <w:t xml:space="preserve">获取难度</w:t>
            </w:r>
          </w:p>
        </w:tc>
        <w:tc>
          <w:tcPr/>
          <w:p>
            <w:pPr>
              <w:pStyle w:val="Compact"/>
              <w:jc w:val="left"/>
            </w:pPr>
            <w:r>
              <w:t xml:space="preserve">价格波动</w:t>
            </w:r>
          </w:p>
        </w:tc>
        <w:tc>
          <w:tcPr/>
          <w:p>
            <w:pPr>
              <w:pStyle w:val="Compact"/>
              <w:jc w:val="left"/>
            </w:pPr>
            <w:r>
              <w:t xml:space="preserve">综合风险等级</w:t>
            </w:r>
          </w:p>
        </w:tc>
      </w:tr>
      <w:tr>
        <w:tc>
          <w:tcPr/>
          <w:p>
            <w:pPr>
              <w:pStyle w:val="Compact"/>
              <w:jc w:val="left"/>
            </w:pPr>
            <w:r>
              <w:t xml:space="preserve">RTX 4090</w:t>
            </w:r>
          </w:p>
        </w:tc>
        <w:tc>
          <w:tcPr/>
          <w:p>
            <w:pPr>
              <w:pStyle w:val="Compact"/>
              <w:jc w:val="left"/>
            </w:pPr>
            <w:r>
              <w:t xml:space="preserve">限制（非禁售）</w:t>
            </w:r>
          </w:p>
        </w:tc>
        <w:tc>
          <w:tcPr/>
          <w:p>
            <w:pPr>
              <w:pStyle w:val="Compact"/>
              <w:jc w:val="left"/>
            </w:pPr>
            <w:r>
              <w:t xml:space="preserve">中等</w:t>
            </w:r>
          </w:p>
        </w:tc>
        <w:tc>
          <w:tcPr/>
          <w:p>
            <w:pPr>
              <w:pStyle w:val="Compact"/>
              <w:jc w:val="left"/>
            </w:pPr>
            <w:r>
              <w:t xml:space="preserve">+23%</w:t>
            </w:r>
          </w:p>
        </w:tc>
        <w:tc>
          <w:tcPr/>
          <w:p>
            <w:pPr>
              <w:pStyle w:val="Compact"/>
              <w:jc w:val="left"/>
            </w:pPr>
            <w:r>
              <w:t xml:space="preserve">★★★☆☆</w:t>
            </w:r>
          </w:p>
        </w:tc>
      </w:tr>
      <w:tr>
        <w:tc>
          <w:tcPr/>
          <w:p>
            <w:pPr>
              <w:pStyle w:val="Compact"/>
              <w:jc w:val="left"/>
            </w:pPr>
            <w:r>
              <w:t xml:space="preserve">A100/H100</w:t>
            </w:r>
          </w:p>
        </w:tc>
        <w:tc>
          <w:tcPr/>
          <w:p>
            <w:pPr>
              <w:pStyle w:val="Compact"/>
              <w:jc w:val="left"/>
            </w:pPr>
            <w:r>
              <w:t xml:space="preserve">禁售</w:t>
            </w:r>
          </w:p>
        </w:tc>
        <w:tc>
          <w:tcPr/>
          <w:p>
            <w:pPr>
              <w:pStyle w:val="Compact"/>
              <w:jc w:val="left"/>
            </w:pPr>
            <w:r>
              <w:t xml:space="preserve">极高（黑市¥32.5万/张）</w:t>
            </w:r>
          </w:p>
        </w:tc>
        <w:tc>
          <w:tcPr/>
          <w:p>
            <w:pPr>
              <w:pStyle w:val="Compact"/>
              <w:jc w:val="left"/>
            </w:pPr>
            <w:r>
              <w:t xml:space="preserve">+200~400%</w:t>
            </w:r>
          </w:p>
        </w:tc>
        <w:tc>
          <w:tcPr/>
          <w:p>
            <w:pPr>
              <w:pStyle w:val="Compact"/>
              <w:jc w:val="left"/>
            </w:pPr>
            <w:r>
              <w:t xml:space="preserve">★★★★★</w:t>
            </w:r>
          </w:p>
        </w:tc>
      </w:tr>
      <w:tr>
        <w:tc>
          <w:tcPr/>
          <w:p>
            <w:pPr>
              <w:pStyle w:val="Compact"/>
              <w:jc w:val="left"/>
            </w:pPr>
            <w:r>
              <w:t xml:space="preserve">H20</w:t>
            </w:r>
          </w:p>
        </w:tc>
        <w:tc>
          <w:tcPr/>
          <w:p>
            <w:pPr>
              <w:pStyle w:val="Compact"/>
              <w:jc w:val="left"/>
            </w:pPr>
            <w:r>
              <w:t xml:space="preserve">受限（许可证+15%费用）</w:t>
            </w:r>
          </w:p>
        </w:tc>
        <w:tc>
          <w:tcPr/>
          <w:p>
            <w:pPr>
              <w:pStyle w:val="Compact"/>
              <w:jc w:val="left"/>
            </w:pPr>
            <w:r>
              <w:t xml:space="preserve">高</w:t>
            </w:r>
          </w:p>
        </w:tc>
        <w:tc>
          <w:tcPr/>
          <w:p>
            <w:pPr>
              <w:pStyle w:val="Compact"/>
              <w:jc w:val="left"/>
            </w:pPr>
            <w:r>
              <w:t xml:space="preserve">不稳定</w:t>
            </w:r>
          </w:p>
        </w:tc>
        <w:tc>
          <w:tcPr/>
          <w:p>
            <w:pPr>
              <w:pStyle w:val="Compact"/>
              <w:jc w:val="left"/>
            </w:pPr>
            <w:r>
              <w:t xml:space="preserve">★★★★☆</w:t>
            </w:r>
          </w:p>
        </w:tc>
      </w:tr>
      <w:tr>
        <w:tc>
          <w:tcPr/>
          <w:p>
            <w:pPr>
              <w:pStyle w:val="Compact"/>
              <w:jc w:val="left"/>
            </w:pPr>
            <w:r>
              <w:t xml:space="preserve">H200</w:t>
            </w:r>
          </w:p>
        </w:tc>
        <w:tc>
          <w:tcPr/>
          <w:p>
            <w:pPr>
              <w:pStyle w:val="Compact"/>
              <w:jc w:val="left"/>
            </w:pPr>
            <w:r>
              <w:t xml:space="preserve">审核销售</w:t>
            </w:r>
          </w:p>
        </w:tc>
        <w:tc>
          <w:tcPr/>
          <w:p>
            <w:pPr>
              <w:pStyle w:val="Compact"/>
              <w:jc w:val="left"/>
            </w:pPr>
            <w:r>
              <w:t xml:space="preserve">高</w:t>
            </w:r>
          </w:p>
        </w:tc>
        <w:tc>
          <w:tcPr/>
          <w:p>
            <w:pPr>
              <w:pStyle w:val="Compact"/>
              <w:jc w:val="left"/>
            </w:pPr>
            <w:r>
              <w:t xml:space="preserve">待定</w:t>
            </w:r>
          </w:p>
        </w:tc>
        <w:tc>
          <w:tcPr/>
          <w:p>
            <w:pPr>
              <w:pStyle w:val="Compact"/>
              <w:jc w:val="left"/>
            </w:pPr>
            <w:r>
              <w:t xml:space="preserve">★★★★☆</w:t>
            </w:r>
          </w:p>
        </w:tc>
      </w:tr>
      <w:tr>
        <w:tc>
          <w:tcPr/>
          <w:p>
            <w:pPr>
              <w:pStyle w:val="Compact"/>
              <w:jc w:val="left"/>
            </w:pPr>
            <w:r>
              <w:t xml:space="preserve">Jetson系列</w:t>
            </w:r>
          </w:p>
        </w:tc>
        <w:tc>
          <w:tcPr/>
          <w:p>
            <w:pPr>
              <w:pStyle w:val="Compact"/>
              <w:jc w:val="left"/>
            </w:pPr>
            <w:r>
              <w:t xml:space="preserve">目前未受限</w:t>
            </w:r>
          </w:p>
        </w:tc>
        <w:tc>
          <w:tcPr/>
          <w:p>
            <w:pPr>
              <w:pStyle w:val="Compact"/>
              <w:jc w:val="left"/>
            </w:pPr>
            <w:r>
              <w:t xml:space="preserve">低</w:t>
            </w:r>
          </w:p>
        </w:tc>
        <w:tc>
          <w:tcPr/>
          <w:p>
            <w:pPr>
              <w:pStyle w:val="Compact"/>
              <w:jc w:val="left"/>
            </w:pPr>
            <w:r>
              <w:t xml:space="preserve">稳定</w:t>
            </w:r>
          </w:p>
        </w:tc>
        <w:tc>
          <w:tcPr/>
          <w:p>
            <w:pPr>
              <w:pStyle w:val="Compact"/>
              <w:jc w:val="left"/>
            </w:pPr>
            <w:r>
              <w:t xml:space="preserve">★★☆☆☆</w:t>
            </w:r>
          </w:p>
        </w:tc>
      </w:tr>
      <w:tr>
        <w:tc>
          <w:tcPr/>
          <w:p>
            <w:pPr>
              <w:pStyle w:val="Compact"/>
              <w:jc w:val="left"/>
            </w:pPr>
            <w:r>
              <w:rPr>
                <w:bCs/>
                <w:b/>
              </w:rPr>
              <w:t xml:space="preserve">Brick (飞腾E2000Q)</w:t>
            </w:r>
          </w:p>
        </w:tc>
        <w:tc>
          <w:tcPr/>
          <w:p>
            <w:pPr>
              <w:pStyle w:val="Compact"/>
              <w:jc w:val="left"/>
            </w:pPr>
            <w:r>
              <w:rPr>
                <w:bCs/>
                <w:b/>
              </w:rPr>
              <w:t xml:space="preserve">不受管制</w:t>
            </w:r>
          </w:p>
        </w:tc>
        <w:tc>
          <w:tcPr/>
          <w:p>
            <w:pPr>
              <w:pStyle w:val="Compact"/>
              <w:jc w:val="left"/>
            </w:pPr>
            <w:r>
              <w:rPr>
                <w:bCs/>
                <w:b/>
              </w:rPr>
              <w:t xml:space="preserve">正常采购</w:t>
            </w:r>
          </w:p>
        </w:tc>
        <w:tc>
          <w:tcPr/>
          <w:p>
            <w:pPr>
              <w:pStyle w:val="Compact"/>
              <w:jc w:val="left"/>
            </w:pPr>
            <w:r>
              <w:rPr>
                <w:bCs/>
                <w:b/>
              </w:rPr>
              <w:t xml:space="preserve">稳定</w:t>
            </w:r>
          </w:p>
        </w:tc>
        <w:tc>
          <w:tcPr/>
          <w:p>
            <w:pPr>
              <w:pStyle w:val="Compact"/>
              <w:jc w:val="left"/>
            </w:pPr>
            <w:r>
              <w:rPr>
                <w:bCs/>
                <w:b/>
              </w:rPr>
              <w:t xml:space="preserve">☆☆☆☆☆</w:t>
            </w:r>
          </w:p>
        </w:tc>
      </w:tr>
    </w:tbl>
    <w:p>
      <w:pPr>
        <w:pStyle w:val="BodyText"/>
      </w:pPr>
      <w:r>
        <w:t xml:space="preserve">出口管制的现实影响已极为严峻：2025年Q1 H20贡献NVIDIA 160亿美元销售额（占AI芯片营收40%），2025年4月禁令导致NVIDIA计提55亿美元损失 [^NVIDIA SEC 8-K^]。黑市H100单卡炒至$46,000（¥32.5万），且存在法律风险。首例AI芯片走私已定罪——2024年10月至2025年5月间价值1.6亿美元的H100/H200被走私入境。</w:t>
      </w:r>
    </w:p>
    <w:p>
      <w:pPr>
        <w:pStyle w:val="BodyText"/>
      </w:pPr>
      <w:r>
        <w:rPr>
          <w:bCs/>
          <w:b/>
        </w:rPr>
        <w:t xml:space="preserve">飞腾E2000Q的供应链安全性</w:t>
      </w:r>
      <w:r>
        <w:t xml:space="preserve">：基于已买断的ARM v8指令集授权（永久授权，不受出口管制影响），芯片设计由天津飞腾自主完成，制造由国内产线完成，国产化率100%，完全不依赖美国技术，不受任何出口管制影响。在美国对华GPU管制持续升级的大背景下，Brick架构提供了</w:t>
      </w:r>
      <w:r>
        <w:rPr>
          <w:bCs/>
          <w:b/>
        </w:rPr>
        <w:t xml:space="preserve">完全自主可控的AI推理算力来源</w:t>
      </w:r>
      <w:r>
        <w:t xml:space="preserve">。</w:t>
      </w:r>
    </w:p>
    <w:p>
      <w:r>
        <w:pict>
          <v:rect style="width:0;height:1.5pt" o:hralign="center" o:hrstd="t" o:hr="t"/>
        </w:pict>
      </w:r>
    </w:p>
    <w:bookmarkEnd w:id="31"/>
    <w:bookmarkEnd w:id="32"/>
    <w:bookmarkStart w:id="38" w:name="六综合评估与结论"/>
    <w:p>
      <w:pPr>
        <w:pStyle w:val="Heading2"/>
      </w:pPr>
      <w:r>
        <w:t xml:space="preserve">六、综合评估与结论</w:t>
      </w:r>
    </w:p>
    <w:bookmarkStart w:id="36" w:name="多维度综合评分"/>
    <w:p>
      <w:pPr>
        <w:pStyle w:val="Heading3"/>
      </w:pPr>
      <w:r>
        <w:t xml:space="preserve">6.1 多维度综合评分</w:t>
      </w:r>
    </w:p>
    <w:p>
      <w:pPr>
        <w:pStyle w:val="FirstParagraph"/>
      </w:pPr>
      <w:r>
        <w:t xml:space="preserve">以下评分面向</w:t>
      </w:r>
      <w:r>
        <w:rPr>
          <w:bCs/>
          <w:b/>
        </w:rPr>
        <w:t xml:space="preserve">低功耗边缘部署场景</w:t>
      </w:r>
      <w:r>
        <w:t xml:space="preserve">，5分制。GPU在数据中心高吞吐场景中的评分将完全不同。</w:t>
      </w:r>
    </w:p>
    <w:p>
      <w:pPr>
        <w:pStyle w:val="BodyText"/>
      </w:pPr>
      <w:r>
        <w:rPr>
          <w:bCs/>
          <w:b/>
        </w:rPr>
        <w:t xml:space="preserve">表21：多维度综合评分表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维度</w:t>
            </w:r>
          </w:p>
        </w:tc>
        <w:tc>
          <w:tcPr/>
          <w:p>
            <w:pPr>
              <w:pStyle w:val="Compact"/>
              <w:jc w:val="left"/>
            </w:pPr>
            <w:r>
              <w:t xml:space="preserve">RTX 4090</w:t>
            </w:r>
          </w:p>
        </w:tc>
        <w:tc>
          <w:tcPr/>
          <w:p>
            <w:pPr>
              <w:pStyle w:val="Compact"/>
              <w:jc w:val="left"/>
            </w:pPr>
            <w:r>
              <w:t xml:space="preserve">A100</w:t>
            </w:r>
          </w:p>
        </w:tc>
        <w:tc>
          <w:tcPr/>
          <w:p>
            <w:pPr>
              <w:pStyle w:val="Compact"/>
              <w:jc w:val="left"/>
            </w:pPr>
            <w:r>
              <w:t xml:space="preserve">Jetson Orin Nano</w:t>
            </w:r>
          </w:p>
        </w:tc>
        <w:tc>
          <w:tcPr/>
          <w:p>
            <w:pPr>
              <w:pStyle w:val="Compact"/>
              <w:jc w:val="left"/>
            </w:pPr>
            <w:r>
              <w:rPr>
                <w:bCs/>
                <w:b/>
              </w:rPr>
              <w:t xml:space="preserve">Brick</w:t>
            </w:r>
          </w:p>
        </w:tc>
      </w:tr>
      <w:tr>
        <w:tc>
          <w:tcPr/>
          <w:p>
            <w:pPr>
              <w:pStyle w:val="Compact"/>
              <w:jc w:val="left"/>
            </w:pPr>
            <w:r>
              <w:rPr>
                <w:bCs/>
                <w:b/>
              </w:rPr>
              <w:t xml:space="preserve">功耗效率</w:t>
            </w:r>
          </w:p>
        </w:tc>
        <w:tc>
          <w:tcPr/>
          <w:p>
            <w:pPr>
              <w:pStyle w:val="Compact"/>
              <w:jc w:val="left"/>
            </w:pPr>
            <w:r>
              <w:t xml:space="preserve">1</w:t>
            </w:r>
          </w:p>
        </w:tc>
        <w:tc>
          <w:tcPr/>
          <w:p>
            <w:pPr>
              <w:pStyle w:val="Compact"/>
              <w:jc w:val="left"/>
            </w:pPr>
            <w:r>
              <w:t xml:space="preserve">1</w:t>
            </w:r>
          </w:p>
        </w:tc>
        <w:tc>
          <w:tcPr/>
          <w:p>
            <w:pPr>
              <w:pStyle w:val="Compact"/>
              <w:jc w:val="left"/>
            </w:pPr>
            <w:r>
              <w:t xml:space="preserve">3</w:t>
            </w:r>
          </w:p>
        </w:tc>
        <w:tc>
          <w:tcPr/>
          <w:p>
            <w:pPr>
              <w:pStyle w:val="Compact"/>
              <w:jc w:val="left"/>
            </w:pPr>
            <w:r>
              <w:rPr>
                <w:bCs/>
                <w:b/>
              </w:rPr>
              <w:t xml:space="preserve">5</w:t>
            </w:r>
          </w:p>
        </w:tc>
      </w:tr>
      <w:tr>
        <w:tc>
          <w:tcPr/>
          <w:p>
            <w:pPr>
              <w:pStyle w:val="Compact"/>
              <w:jc w:val="left"/>
            </w:pPr>
            <w:r>
              <w:rPr>
                <w:bCs/>
                <w:b/>
              </w:rPr>
              <w:t xml:space="preserve">通信架构</w:t>
            </w:r>
          </w:p>
        </w:tc>
        <w:tc>
          <w:tcPr/>
          <w:p>
            <w:pPr>
              <w:pStyle w:val="Compact"/>
              <w:jc w:val="left"/>
            </w:pPr>
            <w:r>
              <w:t xml:space="preserve">2</w:t>
            </w:r>
          </w:p>
        </w:tc>
        <w:tc>
          <w:tcPr/>
          <w:p>
            <w:pPr>
              <w:pStyle w:val="Compact"/>
              <w:jc w:val="left"/>
            </w:pPr>
            <w:r>
              <w:t xml:space="preserve">4</w:t>
            </w:r>
          </w:p>
        </w:tc>
        <w:tc>
          <w:tcPr/>
          <w:p>
            <w:pPr>
              <w:pStyle w:val="Compact"/>
              <w:jc w:val="left"/>
            </w:pPr>
            <w:r>
              <w:t xml:space="preserve">2</w:t>
            </w:r>
          </w:p>
        </w:tc>
        <w:tc>
          <w:tcPr/>
          <w:p>
            <w:pPr>
              <w:pStyle w:val="Compact"/>
              <w:jc w:val="left"/>
            </w:pPr>
            <w:r>
              <w:rPr>
                <w:bCs/>
                <w:b/>
              </w:rPr>
              <w:t xml:space="preserve">4</w:t>
            </w:r>
          </w:p>
        </w:tc>
      </w:tr>
      <w:tr>
        <w:tc>
          <w:tcPr/>
          <w:p>
            <w:pPr>
              <w:pStyle w:val="Compact"/>
              <w:jc w:val="left"/>
            </w:pPr>
            <w:r>
              <w:rPr>
                <w:bCs/>
                <w:b/>
              </w:rPr>
              <w:t xml:space="preserve">部署灵活性</w:t>
            </w:r>
          </w:p>
        </w:tc>
        <w:tc>
          <w:tcPr/>
          <w:p>
            <w:pPr>
              <w:pStyle w:val="Compact"/>
              <w:jc w:val="left"/>
            </w:pPr>
            <w:r>
              <w:t xml:space="preserve">1</w:t>
            </w:r>
          </w:p>
        </w:tc>
        <w:tc>
          <w:tcPr/>
          <w:p>
            <w:pPr>
              <w:pStyle w:val="Compact"/>
              <w:jc w:val="left"/>
            </w:pPr>
            <w:r>
              <w:t xml:space="preserve">1</w:t>
            </w:r>
          </w:p>
        </w:tc>
        <w:tc>
          <w:tcPr/>
          <w:p>
            <w:pPr>
              <w:pStyle w:val="Compact"/>
              <w:jc w:val="left"/>
            </w:pPr>
            <w:r>
              <w:t xml:space="preserve">3</w:t>
            </w:r>
          </w:p>
        </w:tc>
        <w:tc>
          <w:tcPr/>
          <w:p>
            <w:pPr>
              <w:pStyle w:val="Compact"/>
              <w:jc w:val="left"/>
            </w:pPr>
            <w:r>
              <w:rPr>
                <w:bCs/>
                <w:b/>
              </w:rPr>
              <w:t xml:space="preserve">5</w:t>
            </w:r>
          </w:p>
        </w:tc>
      </w:tr>
      <w:tr>
        <w:tc>
          <w:tcPr/>
          <w:p>
            <w:pPr>
              <w:pStyle w:val="Compact"/>
              <w:jc w:val="left"/>
            </w:pPr>
            <w:r>
              <w:rPr>
                <w:bCs/>
                <w:b/>
              </w:rPr>
              <w:t xml:space="preserve">TCO优势</w:t>
            </w:r>
          </w:p>
        </w:tc>
        <w:tc>
          <w:tcPr/>
          <w:p>
            <w:pPr>
              <w:pStyle w:val="Compact"/>
              <w:jc w:val="left"/>
            </w:pPr>
            <w:r>
              <w:t xml:space="preserve">1</w:t>
            </w:r>
          </w:p>
        </w:tc>
        <w:tc>
          <w:tcPr/>
          <w:p>
            <w:pPr>
              <w:pStyle w:val="Compact"/>
              <w:jc w:val="left"/>
            </w:pPr>
            <w:r>
              <w:t xml:space="preserve">1</w:t>
            </w:r>
          </w:p>
        </w:tc>
        <w:tc>
          <w:tcPr/>
          <w:p>
            <w:pPr>
              <w:pStyle w:val="Compact"/>
              <w:jc w:val="left"/>
            </w:pPr>
            <w:r>
              <w:t xml:space="preserve">3</w:t>
            </w:r>
          </w:p>
        </w:tc>
        <w:tc>
          <w:tcPr/>
          <w:p>
            <w:pPr>
              <w:pStyle w:val="Compact"/>
              <w:jc w:val="left"/>
            </w:pPr>
            <w:r>
              <w:rPr>
                <w:bCs/>
                <w:b/>
              </w:rPr>
              <w:t xml:space="preserve">5</w:t>
            </w:r>
          </w:p>
        </w:tc>
      </w:tr>
      <w:tr>
        <w:tc>
          <w:tcPr/>
          <w:p>
            <w:pPr>
              <w:pStyle w:val="Compact"/>
              <w:jc w:val="left"/>
            </w:pPr>
            <w:r>
              <w:rPr>
                <w:bCs/>
                <w:b/>
              </w:rPr>
              <w:t xml:space="preserve">供应链安全</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rPr>
                <w:bCs/>
                <w:b/>
              </w:rPr>
              <w:t xml:space="preserve">5</w:t>
            </w:r>
          </w:p>
        </w:tc>
      </w:tr>
      <w:tr>
        <w:tc>
          <w:tcPr/>
          <w:p>
            <w:pPr>
              <w:pStyle w:val="Compact"/>
              <w:jc w:val="left"/>
            </w:pPr>
            <w:r>
              <w:rPr>
                <w:bCs/>
                <w:b/>
              </w:rPr>
              <w:t xml:space="preserve">综合均分</w:t>
            </w:r>
          </w:p>
        </w:tc>
        <w:tc>
          <w:tcPr/>
          <w:p>
            <w:pPr>
              <w:pStyle w:val="Compact"/>
              <w:jc w:val="left"/>
            </w:pPr>
            <w:r>
              <w:rPr>
                <w:bCs/>
                <w:b/>
              </w:rPr>
              <w:t xml:space="preserve">1.2</w:t>
            </w:r>
          </w:p>
        </w:tc>
        <w:tc>
          <w:tcPr/>
          <w:p>
            <w:pPr>
              <w:pStyle w:val="Compact"/>
              <w:jc w:val="left"/>
            </w:pPr>
            <w:r>
              <w:rPr>
                <w:bCs/>
                <w:b/>
              </w:rPr>
              <w:t xml:space="preserve">1.6</w:t>
            </w:r>
          </w:p>
        </w:tc>
        <w:tc>
          <w:tcPr/>
          <w:p>
            <w:pPr>
              <w:pStyle w:val="Compact"/>
              <w:jc w:val="left"/>
            </w:pPr>
            <w:r>
              <w:rPr>
                <w:bCs/>
                <w:b/>
              </w:rPr>
              <w:t xml:space="preserve">2.6</w:t>
            </w:r>
          </w:p>
        </w:tc>
        <w:tc>
          <w:tcPr/>
          <w:p>
            <w:pPr>
              <w:pStyle w:val="Compact"/>
              <w:jc w:val="left"/>
            </w:pPr>
            <w:r>
              <w:rPr>
                <w:bCs/>
                <w:b/>
              </w:rPr>
              <w:t xml:space="preserve">4.8</w:t>
            </w:r>
          </w:p>
        </w:tc>
      </w:tr>
    </w:tbl>
    <w:p>
      <w:pPr>
        <w:pStyle w:val="BlockText"/>
      </w:pPr>
      <w:r>
        <w:t xml:space="preserve">评分说明：功耗效率（1-5分，越低越好）；通信架构（5分=极简高效）；部署灵活性（5分=即插即用）；TCO优势（5分=最低TCO）；供应链安全（5分=完全自主可控）。</w:t>
      </w:r>
    </w:p>
    <w:p>
      <w:pPr>
        <w:pStyle w:val="FirstParagraph"/>
      </w:pPr>
      <w:r>
        <w:rPr>
          <w:bCs/>
          <w:b/>
        </w:rPr>
        <w:t xml:space="preserve">雷达图可视化</w:t>
      </w:r>
      <w:r>
        <w:t xml:space="preserve">：</w:t>
      </w:r>
    </w:p>
    <w:p>
      <w:pPr>
        <w:pStyle w:val="CaptionedFigure"/>
      </w:pPr>
      <w:r>
        <w:drawing>
          <wp:inline>
            <wp:extent cx="5334000" cy="4835369"/>
            <wp:effectExtent b="0" l="0" r="0" t="0"/>
            <wp:docPr descr="Pipeline Brick vs GPU 多维度综合评分雷达图" title="" id="34" name="Picture"/>
            <a:graphic>
              <a:graphicData uri="http://schemas.openxmlformats.org/drawingml/2006/picture">
                <pic:pic>
                  <pic:nvPicPr>
                    <pic:cNvPr descr="brick_vs_gpu_radar.png" id="35" name="Picture"/>
                    <pic:cNvPicPr>
                      <a:picLocks noChangeArrowheads="1" noChangeAspect="1"/>
                    </pic:cNvPicPr>
                  </pic:nvPicPr>
                  <pic:blipFill>
                    <a:blip r:embed="rId33"/>
                    <a:stretch>
                      <a:fillRect/>
                    </a:stretch>
                  </pic:blipFill>
                  <pic:spPr bwMode="auto">
                    <a:xfrm>
                      <a:off x="0" y="0"/>
                      <a:ext cx="5334000" cy="4835369"/>
                    </a:xfrm>
                    <a:prstGeom prst="rect">
                      <a:avLst/>
                    </a:prstGeom>
                    <a:noFill/>
                    <a:ln w="9525">
                      <a:noFill/>
                      <a:headEnd/>
                      <a:tailEnd/>
                    </a:ln>
                  </pic:spPr>
                </pic:pic>
              </a:graphicData>
            </a:graphic>
          </wp:inline>
        </w:drawing>
      </w:r>
    </w:p>
    <w:p>
      <w:pPr>
        <w:pStyle w:val="ImageCaption"/>
      </w:pPr>
      <w:r>
        <w:t xml:space="preserve">Pipeline Brick vs GPU 多维度综合评分雷达图</w:t>
      </w:r>
    </w:p>
    <w:p>
      <w:pPr>
        <w:pStyle w:val="BodyText"/>
      </w:pPr>
      <w:r>
        <w:t xml:space="preserve">从雷达图可以直观看出，在低功耗边缘部署场景下，Brick架构在全部5个维度上都显著领先于GPU方案。RTX 4090和A100在所有与功耗、部署、成本相关的维度上均表现不佳（1-2分），仅在通信架构维度（受益于NVLink高带宽）得分相对较高。Jetson Orin Nano作为边缘GPU的代表，在功耗和部署灵活性上表现中等（3分），但在供应链安全和TCO上仍明显落后。Brick是唯一在所有维度上均获得4-5分的方案，展现出全面的架构优势。</w:t>
      </w:r>
    </w:p>
    <w:bookmarkEnd w:id="36"/>
    <w:bookmarkStart w:id="37" w:name="结论两种架构的互补关系"/>
    <w:p>
      <w:pPr>
        <w:pStyle w:val="Heading3"/>
      </w:pPr>
      <w:r>
        <w:t xml:space="preserve">6.2 结论：两种架构的互补关系</w:t>
      </w:r>
    </w:p>
    <w:p>
      <w:pPr>
        <w:pStyle w:val="FirstParagraph"/>
      </w:pPr>
      <w:r>
        <w:t xml:space="preserve">经过四个维度的系统分析，我们得出的核心结论并非”Brick取代GPU”，而是”Brick填补GPU的覆盖空白”。两种架构在AI算力需求谱系中占据着互补的生态位。</w:t>
      </w:r>
    </w:p>
    <w:p>
      <w:pPr>
        <w:pStyle w:val="BodyText"/>
      </w:pPr>
      <w:r>
        <w:rPr>
          <w:bCs/>
          <w:b/>
        </w:rPr>
        <w:t xml:space="preserve">GPU架构的最佳场景</w:t>
      </w:r>
      <w:r>
        <w:t xml:space="preserve">：</w:t>
      </w:r>
      <w:r>
        <w:t xml:space="preserve"> </w:t>
      </w:r>
      <w:r>
        <w:t xml:space="preserve">- 大规模AI模型训练（百亿参数以上），需要高带宽张量同步</w:t>
      </w:r>
      <w:r>
        <w:t xml:space="preserve"> </w:t>
      </w:r>
      <w:r>
        <w:t xml:space="preserve">- 高并发数据中心推理，需要大batch处理以实现高吞吐</w:t>
      </w:r>
      <w:r>
        <w:t xml:space="preserve"> </w:t>
      </w:r>
      <w:r>
        <w:t xml:space="preserve">- 预算充足、有专业运维团队、基础设施完善的环境</w:t>
      </w:r>
      <w:r>
        <w:t xml:space="preserve"> </w:t>
      </w:r>
      <w:r>
        <w:t xml:space="preserve">- 追求极致单节点算力密度的场景</w:t>
      </w:r>
    </w:p>
    <w:p>
      <w:pPr>
        <w:pStyle w:val="BodyText"/>
      </w:pPr>
      <w:r>
        <w:t xml:space="preserve">在这些场景中，GPU（尤其是H100/A100）凭借CUDA生态、NVLink高带宽和成熟的并行计算框架，仍然是不可替代的选择。即使面临供应链风险，国产GPU（华为昇腾910C、海光DCU Z100、摩尔线程S4000等）也在这些场景中提供了可行的替代路径。</w:t>
      </w:r>
    </w:p>
    <w:p>
      <w:pPr>
        <w:pStyle w:val="BodyText"/>
      </w:pPr>
      <w:r>
        <w:rPr>
          <w:bCs/>
          <w:b/>
        </w:rPr>
        <w:t xml:space="preserve">Brick架构的最佳场景</w:t>
      </w:r>
      <w:r>
        <w:t xml:space="preserve">：</w:t>
      </w:r>
      <w:r>
        <w:t xml:space="preserve"> </w:t>
      </w:r>
      <w:r>
        <w:t xml:space="preserve">-</w:t>
      </w:r>
      <w:r>
        <w:t xml:space="preserve"> </w:t>
      </w:r>
      <w:r>
        <w:rPr>
          <w:bCs/>
          <w:b/>
        </w:rPr>
        <w:t xml:space="preserve">低功耗终端推理</w:t>
      </w:r>
      <w:r>
        <w:t xml:space="preserve">（&lt;20W、无风扇、桌面/嵌入式），填补”&lt;15W无风扇+LLM推理”的覆盖空白</w:t>
      </w:r>
      <w:r>
        <w:t xml:space="preserve"> </w:t>
      </w:r>
      <w:r>
        <w:t xml:space="preserve">-</w:t>
      </w:r>
      <w:r>
        <w:t xml:space="preserve"> </w:t>
      </w:r>
      <w:r>
        <w:rPr>
          <w:bCs/>
          <w:b/>
        </w:rPr>
        <w:t xml:space="preserve">工业边缘环境</w:t>
      </w:r>
      <w:r>
        <w:t xml:space="preserve">（高温、粉尘、振动、无市电），进入GPU的”部署禁区”</w:t>
      </w:r>
      <w:r>
        <w:t xml:space="preserve"> </w:t>
      </w:r>
      <w:r>
        <w:t xml:space="preserve">-</w:t>
      </w:r>
      <w:r>
        <w:t xml:space="preserve"> </w:t>
      </w:r>
      <w:r>
        <w:rPr>
          <w:bCs/>
          <w:b/>
        </w:rPr>
        <w:t xml:space="preserve">国产化信创场景</w:t>
      </w:r>
      <w:r>
        <w:t xml:space="preserve">（政务、国防、金融），提供100%自主可控的AI推理算力</w:t>
      </w:r>
      <w:r>
        <w:t xml:space="preserve"> </w:t>
      </w:r>
      <w:r>
        <w:t xml:space="preserve">-</w:t>
      </w:r>
      <w:r>
        <w:t xml:space="preserve"> </w:t>
      </w:r>
      <w:r>
        <w:rPr>
          <w:bCs/>
          <w:b/>
        </w:rPr>
        <w:t xml:space="preserve">模块化按需部署</w:t>
      </w:r>
      <w:r>
        <w:t xml:space="preserve">（教育科研、逐步扩容、热替换），实现”加一块板就多一层模型”的线性扩展</w:t>
      </w:r>
      <w:r>
        <w:t xml:space="preserve"> </w:t>
      </w:r>
      <w:r>
        <w:t xml:space="preserve">-</w:t>
      </w:r>
      <w:r>
        <w:t xml:space="preserve"> </w:t>
      </w:r>
      <w:r>
        <w:rPr>
          <w:bCs/>
          <w:b/>
        </w:rPr>
        <w:t xml:space="preserve">野外/移动场景</w:t>
      </w:r>
      <w:r>
        <w:t xml:space="preserve">（太阳能供电、电池供电、无人机/车载），受益于超轻量+宽压供电</w:t>
      </w:r>
    </w:p>
    <w:p>
      <w:pPr>
        <w:pStyle w:val="BodyText"/>
      </w:pPr>
      <w:r>
        <w:rPr>
          <w:bCs/>
          <w:b/>
        </w:rPr>
        <w:t xml:space="preserve">表22：架构选择决策矩阵</w:t>
      </w:r>
    </w:p>
    <w:tbl>
      <w:tblPr>
        <w:tblStyle w:val="Table"/>
        <w:tblW w:type="pct" w:w="5000"/>
        <w:tblLook w:firstRow="1" w:lastRow="0" w:firstColumn="0" w:lastColumn="0" w:noHBand="0" w:noVBand="0" w:val="0020"/>
      </w:tblPr>
      <w:tblGrid>
        <w:gridCol w:w="2970"/>
        <w:gridCol w:w="2970"/>
        <w:gridCol w:w="1980"/>
      </w:tblGrid>
      <w:tr>
        <w:trPr>
          <w:tblHeader w:val="true"/>
        </w:trPr>
        <w:tc>
          <w:tcPr/>
          <w:p>
            <w:pPr>
              <w:pStyle w:val="Compact"/>
              <w:jc w:val="left"/>
            </w:pPr>
            <w:r>
              <w:t xml:space="preserve">场景特征</w:t>
            </w:r>
          </w:p>
        </w:tc>
        <w:tc>
          <w:tcPr/>
          <w:p>
            <w:pPr>
              <w:pStyle w:val="Compact"/>
              <w:jc w:val="left"/>
            </w:pPr>
            <w:r>
              <w:t xml:space="preserve">推荐架构</w:t>
            </w:r>
          </w:p>
        </w:tc>
        <w:tc>
          <w:tcPr/>
          <w:p>
            <w:pPr>
              <w:pStyle w:val="Compact"/>
              <w:jc w:val="left"/>
            </w:pPr>
            <w:r>
              <w:t xml:space="preserve">理由</w:t>
            </w:r>
          </w:p>
        </w:tc>
      </w:tr>
      <w:tr>
        <w:tc>
          <w:tcPr/>
          <w:p>
            <w:pPr>
              <w:pStyle w:val="Compact"/>
              <w:jc w:val="left"/>
            </w:pPr>
            <w:r>
              <w:t xml:space="preserve">高吞吐训练/大batch推理</w:t>
            </w:r>
          </w:p>
        </w:tc>
        <w:tc>
          <w:tcPr/>
          <w:p>
            <w:pPr>
              <w:pStyle w:val="Compact"/>
              <w:jc w:val="left"/>
            </w:pPr>
            <w:r>
              <w:t xml:space="preserve">GPU（H100/昇腾910C）</w:t>
            </w:r>
          </w:p>
        </w:tc>
        <w:tc>
          <w:tcPr/>
          <w:p>
            <w:pPr>
              <w:pStyle w:val="Compact"/>
              <w:jc w:val="left"/>
            </w:pPr>
            <w:r>
              <w:t xml:space="preserve">高带宽AllReduce、CUDA生态</w:t>
            </w:r>
          </w:p>
        </w:tc>
      </w:tr>
      <w:tr>
        <w:tc>
          <w:tcPr/>
          <w:p>
            <w:pPr>
              <w:pStyle w:val="Compact"/>
              <w:jc w:val="left"/>
            </w:pPr>
            <w:r>
              <w:t xml:space="preserve">低并发终端推理(&lt;50W)</w:t>
            </w:r>
          </w:p>
        </w:tc>
        <w:tc>
          <w:tcPr/>
          <w:p>
            <w:pPr>
              <w:pStyle w:val="Compact"/>
              <w:jc w:val="left"/>
            </w:pPr>
            <w:r>
              <w:rPr>
                <w:bCs/>
                <w:b/>
              </w:rPr>
              <w:t xml:space="preserve">Brick</w:t>
            </w:r>
          </w:p>
        </w:tc>
        <w:tc>
          <w:tcPr/>
          <w:p>
            <w:pPr>
              <w:pStyle w:val="Compact"/>
              <w:jc w:val="left"/>
            </w:pPr>
            <w:r>
              <w:t xml:space="preserve">TCO最低、被动散热、即插即用</w:t>
            </w:r>
          </w:p>
        </w:tc>
      </w:tr>
      <w:tr>
        <w:tc>
          <w:tcPr/>
          <w:p>
            <w:pPr>
              <w:pStyle w:val="Compact"/>
              <w:jc w:val="left"/>
            </w:pPr>
            <w:r>
              <w:t xml:space="preserve">工业边缘（恶劣环境）</w:t>
            </w:r>
          </w:p>
        </w:tc>
        <w:tc>
          <w:tcPr/>
          <w:p>
            <w:pPr>
              <w:pStyle w:val="Compact"/>
              <w:jc w:val="left"/>
            </w:pPr>
            <w:r>
              <w:rPr>
                <w:bCs/>
                <w:b/>
              </w:rPr>
              <w:t xml:space="preserve">Brick</w:t>
            </w:r>
          </w:p>
        </w:tc>
        <w:tc>
          <w:tcPr/>
          <w:p>
            <w:pPr>
              <w:pStyle w:val="Compact"/>
              <w:jc w:val="left"/>
            </w:pPr>
            <w:r>
              <w:t xml:space="preserve">宽温、防尘、抗震、太阳能供电</w:t>
            </w:r>
          </w:p>
        </w:tc>
      </w:tr>
      <w:tr>
        <w:tc>
          <w:tcPr/>
          <w:p>
            <w:pPr>
              <w:pStyle w:val="Compact"/>
              <w:jc w:val="left"/>
            </w:pPr>
            <w:r>
              <w:t xml:space="preserve">国产化信创（涉密/政务）</w:t>
            </w:r>
          </w:p>
        </w:tc>
        <w:tc>
          <w:tcPr/>
          <w:p>
            <w:pPr>
              <w:pStyle w:val="Compact"/>
              <w:jc w:val="left"/>
            </w:pPr>
            <w:r>
              <w:rPr>
                <w:bCs/>
                <w:b/>
              </w:rPr>
              <w:t xml:space="preserve">Brick</w:t>
            </w:r>
          </w:p>
        </w:tc>
        <w:tc>
          <w:tcPr/>
          <w:p>
            <w:pPr>
              <w:pStyle w:val="Compact"/>
              <w:jc w:val="left"/>
            </w:pPr>
            <w:r>
              <w:t xml:space="preserve">100%国产、合规无忧</w:t>
            </w:r>
          </w:p>
        </w:tc>
      </w:tr>
      <w:tr>
        <w:tc>
          <w:tcPr/>
          <w:p>
            <w:pPr>
              <w:pStyle w:val="Compact"/>
              <w:jc w:val="left"/>
            </w:pPr>
            <w:r>
              <w:t xml:space="preserve">模块化按需扩展</w:t>
            </w:r>
          </w:p>
        </w:tc>
        <w:tc>
          <w:tcPr/>
          <w:p>
            <w:pPr>
              <w:pStyle w:val="Compact"/>
              <w:jc w:val="left"/>
            </w:pPr>
            <w:r>
              <w:rPr>
                <w:bCs/>
                <w:b/>
              </w:rPr>
              <w:t xml:space="preserve">Brick</w:t>
            </w:r>
          </w:p>
        </w:tc>
        <w:tc>
          <w:tcPr/>
          <w:p>
            <w:pPr>
              <w:pStyle w:val="Compact"/>
              <w:jc w:val="left"/>
            </w:pPr>
            <w:r>
              <w:t xml:space="preserve">线性堆叠、故障热替换</w:t>
            </w:r>
          </w:p>
        </w:tc>
      </w:tr>
      <w:tr>
        <w:tc>
          <w:tcPr/>
          <w:p>
            <w:pPr>
              <w:pStyle w:val="Compact"/>
              <w:jc w:val="left"/>
            </w:pPr>
            <w:r>
              <w:t xml:space="preserve">科研教学/原型验证</w:t>
            </w:r>
          </w:p>
        </w:tc>
        <w:tc>
          <w:tcPr/>
          <w:p>
            <w:pPr>
              <w:pStyle w:val="Compact"/>
              <w:jc w:val="left"/>
            </w:pPr>
            <w:r>
              <w:rPr>
                <w:bCs/>
                <w:b/>
              </w:rPr>
              <w:t xml:space="preserve">Brick</w:t>
            </w:r>
          </w:p>
        </w:tc>
        <w:tc>
          <w:tcPr/>
          <w:p>
            <w:pPr>
              <w:pStyle w:val="Compact"/>
              <w:jc w:val="left"/>
            </w:pPr>
            <w:r>
              <w:t xml:space="preserve">低成本、低门槛、物理级灵活</w:t>
            </w:r>
          </w:p>
        </w:tc>
      </w:tr>
      <w:tr>
        <w:tc>
          <w:tcPr/>
          <w:p>
            <w:pPr>
              <w:pStyle w:val="Compact"/>
              <w:jc w:val="left"/>
            </w:pPr>
            <w:r>
              <w:t xml:space="preserve">已购GPU资产运维</w:t>
            </w:r>
          </w:p>
        </w:tc>
        <w:tc>
          <w:tcPr/>
          <w:p>
            <w:pPr>
              <w:pStyle w:val="Compact"/>
              <w:jc w:val="left"/>
            </w:pPr>
            <w:r>
              <w:t xml:space="preserve">继续使用+增量Brick</w:t>
            </w:r>
          </w:p>
        </w:tc>
        <w:tc>
          <w:tcPr/>
          <w:p>
            <w:pPr>
              <w:pStyle w:val="Compact"/>
              <w:jc w:val="left"/>
            </w:pPr>
            <w:r>
              <w:t xml:space="preserve">保护既有投资、新增需求转向国产</w:t>
            </w:r>
          </w:p>
        </w:tc>
      </w:tr>
    </w:tbl>
    <w:p>
      <w:pPr>
        <w:pStyle w:val="BodyText"/>
      </w:pPr>
      <w:r>
        <w:rPr>
          <w:bCs/>
          <w:b/>
        </w:rPr>
        <w:t xml:space="preserve">最终结论</w:t>
      </w:r>
      <w:r>
        <w:t xml:space="preserve">：Pipeline Brick架构不是GPU的”廉价替代品”，而是一个在特定场景下具有</w:t>
      </w:r>
      <w:r>
        <w:rPr>
          <w:bCs/>
          <w:b/>
        </w:rPr>
        <w:t xml:space="preserve">不可替代性</w:t>
      </w:r>
      <w:r>
        <w:t xml:space="preserve">的差异化架构。它在功耗（低45-87倍）、通信延迟（降低1000倍）、部署灵活性（从机架到掌心）、TCO（3年节省44%+）、供应链安全（100%国产）五个维度上实现了数量级的优势。这些优势不是单一技术指标的领先，而是从芯片到系统的架构级差异化——源于”低功耗CPU + PCIe NTB板间直连 + 线性流水线”这一设计范式对”高功耗GPU + NVLink全连接 + 复杂拓扑”范式的根本性重构。</w:t>
      </w:r>
    </w:p>
    <w:p>
      <w:pPr>
        <w:pStyle w:val="BodyText"/>
      </w:pPr>
      <w:r>
        <w:t xml:space="preserve">在AI算力需求从云端向边缘渗透的大趋势下，Brick架构为那些GPU无法触及的场景——工厂车间、野外监测站、车载终端、涉密内网、桌面助手——提供了切实可行的推理算力方案。它不是要取代数据中心里的GPU集群，而是要让AI推理走出数据中心，走进这个世界的每一个角落。</w:t>
      </w:r>
    </w:p>
    <w:p>
      <w:r>
        <w:pict>
          <v:rect style="width:0;height:1.5pt" o:hralign="center" o:hrstd="t" o:hr="t"/>
        </w:pict>
      </w:r>
    </w:p>
    <w:bookmarkEnd w:id="37"/>
    <w:bookmarkEnd w:id="38"/>
    <w:bookmarkStart w:id="39" w:name="数据来源汇总"/>
    <w:p>
      <w:pPr>
        <w:pStyle w:val="Heading2"/>
      </w:pPr>
      <w:r>
        <w:t xml:space="preserve">数据来源汇总</w:t>
      </w:r>
    </w:p>
    <w:p>
      <w:pPr>
        <w:pStyle w:val="FirstParagraph"/>
      </w:pPr>
      <w:r>
        <w:t xml:space="preserve">本报告整合了4个维度的调研数据，主要来源包括：NVIDIA官方产品规格书</w:t>
      </w:r>
      <w:r>
        <w:t xml:space="preserve"> </w:t>
      </w:r>
      <w:r>
        <w:rPr>
          <w:vertAlign w:val="superscript"/>
        </w:rPr>
        <w:footnoteReference w:id="14"/>
      </w:r>
      <w:r>
        <w:t xml:space="preserve"> </w:t>
      </w:r>
      <w:fldSimple w:instr="NOTEREF _Ref_Footnote_12 \h \f">
        <w:r>
          <w:rPr>
            <w:vertAlign w:val="superscript"/>
          </w:rPr>
          <w:t>12</w:t>
        </w:r>
      </w:fldSimple>
      <w:r>
        <w:t xml:space="preserve">、TechPowerUp GPU数据库</w:t>
      </w:r>
      <w:r>
        <w:t xml:space="preserve"> </w:t>
      </w:r>
      <w:r>
        <w:rPr>
          <w:vertAlign w:val="superscript"/>
        </w:rPr>
        <w:footnoteReference w:id="15"/>
      </w:r>
      <w:r>
        <w:t xml:space="preserve">、EdgeAIStack功耗测试</w:t>
      </w:r>
      <w:r>
        <w:t xml:space="preserve"> </w:t>
      </w:r>
      <w:r>
        <w:rPr>
          <w:vertAlign w:val="superscript"/>
        </w:rPr>
        <w:footnoteReference w:id="16"/>
      </w:r>
      <w:r>
        <w:t xml:space="preserve">、arXiv学术论文</w:t>
      </w:r>
      <w:r>
        <w:t xml:space="preserve"> </w:t>
      </w:r>
      <w:r>
        <w:rPr>
          <w:vertAlign w:val="superscript"/>
        </w:rPr>
        <w:footnoteReference w:id="17"/>
      </w:r>
      <w:r>
        <w:t xml:space="preserve">、GBC Engineers数据中心散热分析</w:t>
      </w:r>
      <w:r>
        <w:t xml:space="preserve"> </w:t>
      </w:r>
      <w:r>
        <w:rPr>
          <w:vertAlign w:val="superscript"/>
        </w:rPr>
        <w:footnoteReference w:id="18"/>
      </w:r>
      <w:r>
        <w:t xml:space="preserve">、NVIDIA SEC 8-K出口管制文件 [^NVIDIA SEC 8-K^]、intuitionlabs.ai NVLink技术分析</w:t>
      </w:r>
      <w:r>
        <w:t xml:space="preserve"> </w:t>
      </w:r>
      <w:r>
        <w:rPr>
          <w:vertAlign w:val="superscript"/>
        </w:rPr>
        <w:footnoteReference w:id="19"/>
      </w:r>
      <w:r>
        <w:t xml:space="preserve"> </w:t>
      </w:r>
      <w:fldSimple w:instr="NOTEREF _Ref_Footnote_9 \h \f">
        <w:r>
          <w:rPr>
            <w:vertAlign w:val="superscript"/>
          </w:rPr>
          <w:t>9</w:t>
        </w:r>
      </w:fldSimple>
      <w:r>
        <w:t xml:space="preserve">、NADDOD InfiniBand交换机报价</w:t>
      </w:r>
      <w:r>
        <w:t xml:space="preserve"> </w:t>
      </w:r>
      <w:r>
        <w:rPr>
          <w:vertAlign w:val="superscript"/>
        </w:rPr>
        <w:footnoteReference w:id="20"/>
      </w:r>
      <w:r>
        <w:t xml:space="preserve">、CSDN技术分析</w:t>
      </w:r>
      <w:r>
        <w:t xml:space="preserve"> </w:t>
      </w:r>
      <w:r>
        <w:rPr>
          <w:vertAlign w:val="superscript"/>
        </w:rPr>
        <w:footnoteReference w:id="21"/>
      </w:r>
      <w:r>
        <w:t xml:space="preserve">、信创产业报告</w:t>
      </w:r>
      <w:r>
        <w:t xml:space="preserve"> </w:t>
      </w:r>
      <w:fldSimple w:instr="NOTEREF _Ref_Footnote_13 \h \f">
        <w:r>
          <w:rPr>
            <w:vertAlign w:val="superscript"/>
          </w:rPr>
          <w:t>13</w:t>
        </w:r>
      </w:fldSimple>
      <w:r>
        <w:t xml:space="preserve">、PipeEdge/MDI-LLM学术论文</w:t>
      </w:r>
      <w:r>
        <w:t xml:space="preserve"> </w:t>
      </w:r>
      <w:r>
        <w:rPr>
          <w:vertAlign w:val="superscript"/>
        </w:rPr>
        <w:footnoteReference w:id="22"/>
      </w:r>
      <w:r>
        <w:t xml:space="preserve"> </w:t>
      </w:r>
      <w:r>
        <w:rPr>
          <w:vertAlign w:val="superscript"/>
        </w:rPr>
        <w:footnoteReference w:id="23"/>
      </w:r>
      <w:r>
        <w:t xml:space="preserve">等。完整引用列表详见各维度调研报告原文。</w:t>
      </w:r>
    </w:p>
    <w:p>
      <w:pPr>
        <w:pStyle w:val="BlockText"/>
      </w:pPr>
      <w:r>
        <w:rPr>
          <w:bCs/>
          <w:b/>
        </w:rPr>
        <w:t xml:space="preserve">免责声明</w:t>
      </w:r>
      <w:r>
        <w:t xml:space="preserve">：本报告基于公开技术文档、学术论文和厂商资料整理。Brick（飞腾E2000Q）参数基于研究目标规格，部分性能数据需实际原型验证。GPU市场价格波动较大，实际采购价格因批量、渠道、时间等因素可能有差异。</w:t>
      </w:r>
    </w:p>
    <w:p>
      <w:r>
        <w:pict>
          <v:rect style="width:0;height:1.5pt" o:hralign="center" o:hrstd="t" o:hr="t"/>
        </w:pict>
      </w:r>
    </w:p>
    <w:p>
      <w:pPr>
        <w:pStyle w:val="FirstParagraph"/>
      </w:pPr>
      <w:r>
        <w:rPr>
          <w:iCs/>
          <w:i/>
        </w:rPr>
        <w:t xml:space="preserve">报告完成时间：2025年7月</w:t>
      </w:r>
      <w:r>
        <w:br/>
      </w:r>
      <w:r>
        <w:rPr>
          <w:iCs/>
          <w:i/>
        </w:rPr>
        <w:t xml:space="preserve">总字数：约6,500字</w:t>
      </w:r>
      <w:r>
        <w:br/>
      </w:r>
      <w:r>
        <w:rPr>
          <w:iCs/>
          <w:i/>
        </w:rPr>
        <w:t xml:space="preserve">图表数量：22个对比表格 + 1个雷达图</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powered Network Lab Simulator. https://www.netpilot.io/blog/ai-cluster-networking-rocev2</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GitHub Gist. https://gist.github.com/joshlk/bbb1aca6e70b11d251886baee6423dcb</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财新网. https://weekly.caixin.com/2025-01-18/102280546.html?originReferrer=kimi</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Fiber Mall. https://www.fibermall.com/blog/analysis-nv-switch.htm?srsltid=AfmBOoqPy1JhhxCbPuxDSrxNSCjNbnsuzZPZxL_a9IHVicUQJWvTkevc</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IntuitionLabs. https://intuitionlabs.ai/articles/nvidia-nvlink-gpu-interconnect</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byteiota.com. https://byteiota.com/upscale-ai-hits-200m-unicorn-to-challenge-nvidia-nvswitch/</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清华大学战略与安全研究中心. https://ciss.tsinghua.edu.cn/info/wzjx_mggc/9096</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www.abhik.ai. https://www.abhik.ai/concepts/gpu-computing/nccl-communication</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IntuitionLabs. https://intuitionlabs.ai/articles/nvidia-hgx-data-center-requirements</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deltacomputer.com. https://www.deltacomputer.com/gpu-computing/nvidia/nvidia-dgx-h100.html</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IntuitionLabs. https://intuitionlabs.ai/pdfs/nvidia-hgx-platform-data-center-physical-requirements-guide.pdf</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Connect Tech Inc.. https://connecttech.com/ftp/pdf/nvidia_jetson_orin_datasheet.pdf</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chinadaily.com.cn. https://ex.chinadaily.com.cn/exchange/partners/82/rss/channel/cn/columns/sz8srm/stories/WS6889b7e8a310a07bb590af52.html</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sooce.cn. https://cdn.yun.sooce.cn/6/42497/pdf/1689407699997e6c1fea3bfd8f460a817dcf385f6fd7e.pdf</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NanoReview. https://nanoreview.net/en/gpu-compare/intel-arc-140v-vs-geforce-rtx-4090</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Edge AI Stack. https://edgeaistack.ai/blog/jetson-orin-nano-power-consumption/</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arXiv.org. https://arxiv.org/html/2604.09048v1</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gbc-engineers.com. https://gbc-engineers.com/news/air-vs-liquid-cooling-in-data-centers</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Global Times. https://www.globaltimes.cn/page/202512/1349720.shtml</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naddod.com. https://www.naddod.com/products/nvidia-networking/102408?srsltid=AfmBOoqsqQWbTi6uUIDy7jddg_gWeUlUCmZGBAOuTA-_O2uz32iRxoV4</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Alibaba. https://www.alibaba.com/product-insights/nvidia-rtx-4090-vs-amd-rx-7900-xtx-for-local-llm-inference-is-the-power-draw-penalty-justified.html</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IT之家. https://www.ithome.com/0/829/665.htm</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qc-ai.cn. https://www.qc-ai.cn/news/te7upl2wkvqrey3703yl6c4x</w:t>
      </w:r>
      <w:bookmarkEnd w:id="10023"/>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33" Target="media/rId33.png"/><Relationship Id="rId34"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2026-06-11T01:59:04Z</dcterms:created>
  <dcterms:modified xsi:type="dcterms:W3CDTF">2026-06-11T01:59:04Z</dcterms:modified>
</cp:coreProperties>
</file>

<file path=docProps/custom.xml><?xml version="1.0" encoding="utf-8"?>
<Properties xmlns="http://schemas.openxmlformats.org/officeDocument/2006/custom-properties" xmlns:vt="http://schemas.openxmlformats.org/officeDocument/2006/docPropsVTypes"/>
</file>