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44"/>
        </w:rPr>
        <w:t>卢麒元微博投资相关整理（09）</w:t>
      </w:r>
    </w:p>
    <w:p>
      <w:pPr>
        <w:spacing w:after="60"/>
      </w:pPr>
      <w:r>
        <w:rPr>
          <w:b/>
        </w:rPr>
        <w:t>来源：</w:t>
      </w:r>
      <w:r>
        <w:t>微博电脑端详情页与历史公开页面；每条记录均保留来源链接和完整性标记</w:t>
      </w:r>
    </w:p>
    <w:p>
      <w:pPr>
        <w:spacing w:after="60"/>
      </w:pPr>
      <w:r>
        <w:rPr>
          <w:b/>
        </w:rPr>
        <w:t>整理范围：</w:t>
      </w:r>
      <w:r>
        <w:t>09 月内投资、宏观、资产、货币、能源相关微博</w:t>
      </w:r>
    </w:p>
    <w:p>
      <w:pPr>
        <w:spacing w:after="60"/>
      </w:pPr>
      <w:r>
        <w:rPr>
          <w:b/>
        </w:rPr>
        <w:t>风险提示：</w:t>
      </w:r>
      <w:r>
        <w:t>原文观点不等于可验证事实，不构成买卖建议；涉及价格、政策、战争、利率与库存的数据须使用最新公开数据复核。</w:t>
      </w:r>
    </w:p>
    <w:p>
      <w:pPr>
        <w:pStyle w:val="Heading1"/>
      </w:pPr>
      <w:r>
        <w:t>1. 月度概览</w:t>
      </w:r>
    </w:p>
    <w:p>
      <w:r>
        <w:t>本月已纳入 2 条投资相关微博。主题分布：黄金/白银 1条；原油/能源 1条；股票/风险资产 1条；人民币/港币 1条。</w:t>
      </w:r>
    </w:p>
    <w:p>
      <w:pPr>
        <w:pStyle w:val="Heading1"/>
      </w:pPr>
      <w:r>
        <w:t>2. 微博索引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日期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涉及资产</w:t>
            </w:r>
          </w:p>
        </w:tc>
        <w:tc>
          <w:tcPr>
            <w:tcW w:type="dxa" w:w="345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核心原文</w:t>
            </w:r>
          </w:p>
        </w:tc>
        <w:tc>
          <w:tcPr>
            <w:tcW w:type="dxa" w:w="1296"/>
            <w:vAlign w:val="center"/>
            <w:shd w:fill="E8EEF5"/>
          </w:tcPr>
          <w:p>
            <w:pPr>
              <w:spacing w:after="0"/>
            </w:pPr>
            <w:r/>
            <w:r>
              <w:rPr>
                <w:b/>
                <w:sz w:val="18"/>
              </w:rPr>
              <w:t>来源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2026-09-30 10:17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转发/评论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黄金/白银、原油/能源、股票/风险资产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美国石油储备见底。全球剩余石油产能见底。全球石油裂解产能严重不足。东大减少石油进口，也同时限制石化产品出口。石化产品是工农业的基础原物料，由东大承载的天量通胀即将还给世界。货币收紧，通胀飞天，赤马开始越渊了。我已经在期待第五爻了，鸣镝终于响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https://weibo.com/1245732825/RkthvA6Zu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2026-09-28 20:15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原创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人民币/港币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两位老师好，祝节日安康快乐！</w:t>
              <w:br/>
              <w:t>认同先生的上述看法，做一点补充。</w:t>
              <w:br/>
              <w:t>第一，必须确保特定历史时期的资本积累率水平。六张网就是这个意思，较高资本积累率，才能确保经济不丧失增长动能。发展是硬道理，必须在发展中解决问题。解决问题，包括化解地方政府和居民...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https://weibo.com/1245732825/Rkel784mr</w:t>
            </w:r>
          </w:p>
        </w:tc>
      </w:tr>
    </w:tbl>
    <w:p>
      <w:pPr>
        <w:pStyle w:val="Heading1"/>
      </w:pPr>
      <w:r>
        <w:t>3. 原文整理</w:t>
      </w:r>
    </w:p>
    <w:p>
      <w:pPr>
        <w:pStyle w:val="Heading2"/>
      </w:pPr>
      <w:r>
        <w:t>1. 2026-09-30 10:17 - 转发/评论</w:t>
      </w:r>
    </w:p>
    <w:p>
      <w:pPr>
        <w:spacing w:after="60"/>
      </w:pPr>
      <w:r>
        <w:rPr>
          <w:b/>
        </w:rPr>
        <w:t>涉及资产：</w:t>
      </w:r>
      <w:r>
        <w:t>黄金/白银、原油/能源、股票/风险资产</w:t>
      </w:r>
    </w:p>
    <w:p>
      <w:pPr>
        <w:spacing w:after="60"/>
      </w:pPr>
      <w:r>
        <w:rPr>
          <w:b/>
        </w:rPr>
        <w:t>来源链接：</w:t>
      </w:r>
      <w:r>
        <w:t>https://weibo.com/1245732825/RkthvA6Zu</w:t>
      </w:r>
    </w:p>
    <w:p>
      <w:r>
        <w:rPr>
          <w:b/>
        </w:rPr>
        <w:t>原文观点：</w:t>
      </w:r>
    </w:p>
    <w:p>
      <w:r>
        <w:t>美国石油储备见底。全球剩余石油产能见底。全球石油裂解产能严重不足。东大减少石油进口，也同时限制石化产品出口。石化产品是工农业的基础原物料，由东大承载的天量通胀即将还给世界。货币收紧，通胀飞天，赤马开始越渊了。我已经在期待第五爻了，鸣镝终于响了。正西风落叶下长安…。</w:t>
      </w:r>
    </w:p>
    <w:p>
      <w:r>
        <w:rPr>
          <w:b/>
        </w:rPr>
        <w:t>转发原文：</w:t>
      </w:r>
    </w:p>
    <w:p>
      <w:r>
        <w:t>@新浪军事</w:t>
        <w:br/>
        <w:t>#美欲释放4000万桶石油储备#美国能源部战略石油储备项目管理办公室9月29日发布公告，计划以互换方式释放4000万桶储备原油。企业需近日提交申请，联邦政府将于今年11至12 月分批交付原油；借油企业从 2027年4月起开始归还，最晚至2029年底完成归还。</w:t>
        <w:br/>
        <w:br/>
        <w:t>据介绍，美国战略石油储备投放分为销售、互换两种模式，互换即企业临时借油，后续足额归还。数据显示，美国今年3月至6月已经开展三批石油储备互换，互换合约总共涉及1.07亿桶原油，以应对美国和以色列军事打击伊朗引发的油价上涨。 #油价暴跌黄金飙涨# 微博美股的微博视频</w:t>
      </w:r>
    </w:p>
    <w:p>
      <w:pPr>
        <w:pStyle w:val="Heading2"/>
      </w:pPr>
      <w:r>
        <w:t>2. 2026-09-28 20:15 - 原创</w:t>
      </w:r>
    </w:p>
    <w:p>
      <w:pPr>
        <w:spacing w:after="60"/>
      </w:pPr>
      <w:r>
        <w:rPr>
          <w:b/>
        </w:rPr>
        <w:t>涉及资产：</w:t>
      </w:r>
      <w:r>
        <w:t>人民币/港币</w:t>
      </w:r>
    </w:p>
    <w:p>
      <w:pPr>
        <w:spacing w:after="60"/>
      </w:pPr>
      <w:r>
        <w:rPr>
          <w:b/>
        </w:rPr>
        <w:t>来源链接：</w:t>
      </w:r>
      <w:r>
        <w:t>https://weibo.com/1245732825/Rkel784mr</w:t>
      </w:r>
    </w:p>
    <w:p>
      <w:r>
        <w:rPr>
          <w:b/>
        </w:rPr>
        <w:t>原文观点：</w:t>
      </w:r>
    </w:p>
    <w:p>
      <w:r>
        <w:t>两位老师好，祝节日安康快乐！</w:t>
        <w:br/>
        <w:t>认同先生的上述看法，做一点补充。</w:t>
        <w:br/>
        <w:t>第一，必须确保特定历史时期的资本积累率水平。六张网就是这个意思，较高资本积累率，才能确保经济不丧失增长动能。发展是硬道理，必须在发展中解决问题。解决问题，包括化解地方政府和居民的负债问题。</w:t>
        <w:br/>
        <w:t>第二，确保资本积累率，也才能确保就业水平，就业才是解决消费增长的正确方向。以工代赈，远远优于直接消费补贴。赤字货币化，加上赤字补贴化，会迅速减损人民币的实际价值。在战略上，是极为有害的。</w:t>
        <w:br/>
        <w:t>第三，解决居民消费问题，要从居民减负入手。国家应在建立国储委之后，开始建立国储委房储基金，确定各地不同的收入房价比和租售比的合理比率，开始在市场上收储居民房产。稳定价格，并为劳动者基本住房保障奠定基础。启动国家的住房储备，就是启动300万亿沉默资本，也就是间接启动居民消费。此事，应在21大纳入总体发展规划。</w:t>
        <w:br/>
        <w:t>第四，适度增加中央政府负债，大幅度增加社保基金拨付。必须收回社保基金的委托管理制度，社保基金应独立自主管理社保基金投资。社保基金应成为中国资本市场最大的均输平准基金，应成为中国资本市场的稳定基金，应成为境外投机资本的对冲基金。我们不能干戈倒置授人以柄。我们的熊市该结束了。牛市，才能刺激消费。总之，</w:t>
        <w:br/>
        <w:t>先生老成持国，您的观点是经得起检验的。再祝愉快！</w:t>
      </w:r>
    </w:p>
    <w:p>
      <w:pPr>
        <w:pStyle w:val="Heading1"/>
      </w:pPr>
      <w:r>
        <w:t>4. 出处说明</w:t>
      </w:r>
    </w:p>
    <w:p>
      <w:r>
        <w:t>每条微博来源链接均保留在正文。图片保存于同级 images 目录；如微博登录态不足导致图片未下载，正文保留原图 URL。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