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ACCDF"/>
    <w:p w14:paraId="138BFD0F"/>
    <w:p w14:paraId="4DEEE69F"/>
    <w:p w14:paraId="2BBD85BB"/>
    <w:p w14:paraId="68534516"/>
    <w:p w14:paraId="2A18B845"/>
    <w:p w14:paraId="03141738">
      <w:pPr>
        <w:spacing w:before="0" w:after="0"/>
        <w:jc w:val="center"/>
      </w:pPr>
      <w:r>
        <w:rPr>
          <w:rFonts w:ascii="Arial" w:hAnsi="Arial" w:eastAsia="微软雅黑"/>
          <w:b/>
          <w:color w:val="003366"/>
          <w:sz w:val="56"/>
        </w:rPr>
        <w:t>跨市场特质均值回归策略</w:t>
      </w:r>
    </w:p>
    <w:p w14:paraId="44FFE1B8">
      <w:pPr>
        <w:spacing w:before="0" w:after="80"/>
        <w:jc w:val="center"/>
      </w:pPr>
      <w:r>
        <w:rPr>
          <w:rFonts w:ascii="Arial" w:hAnsi="Arial" w:eastAsia="微软雅黑"/>
          <w:b/>
          <w:color w:val="003366"/>
          <w:sz w:val="56"/>
        </w:rPr>
        <w:t>分 析 报 告</w:t>
      </w:r>
    </w:p>
    <w:p w14:paraId="0BB936E8">
      <w:pPr>
        <w:spacing w:before="40" w:after="120"/>
        <w:jc w:val="center"/>
      </w:pPr>
      <w:r>
        <w:rPr>
          <w:rFonts w:ascii="Arial" w:hAnsi="Arial" w:eastAsia="微软雅黑"/>
          <w:b w:val="0"/>
          <w:color w:val="667788"/>
          <w:sz w:val="24"/>
        </w:rPr>
        <w:t>Idiosyncratic Mean-Reversion Statistical Arbitrage Strategy</w:t>
      </w:r>
    </w:p>
    <w:p w14:paraId="1B888262"/>
    <w:p w14:paraId="6BB533A1">
      <w:pPr>
        <w:spacing w:before="40" w:after="40"/>
        <w:jc w:val="center"/>
      </w:pPr>
      <w:r>
        <w:rPr>
          <w:rFonts w:ascii="Arial" w:hAnsi="Arial" w:eastAsia="微软雅黑"/>
          <w:b w:val="0"/>
          <w:sz w:val="24"/>
        </w:rPr>
        <w:t>回测期间：2023-06-01 ~ 2026-06-29（3年，1125个交易日）</w:t>
      </w:r>
    </w:p>
    <w:p w14:paraId="24847B0B">
      <w:pPr>
        <w:spacing w:before="40" w:after="40"/>
        <w:jc w:val="center"/>
      </w:pPr>
      <w:r>
        <w:rPr>
          <w:rFonts w:ascii="Arial" w:hAnsi="Arial" w:eastAsia="微软雅黑"/>
          <w:b w:val="0"/>
          <w:sz w:val="24"/>
        </w:rPr>
        <w:t>初始资金：$10,000,000 | 标的池：5基准因子 + 25目标资产</w:t>
      </w:r>
    </w:p>
    <w:p w14:paraId="3C5AEC8C">
      <w:pPr>
        <w:spacing w:before="40" w:after="40"/>
        <w:jc w:val="center"/>
      </w:pPr>
      <w:r>
        <w:rPr>
          <w:rFonts w:ascii="Arial" w:hAnsi="Arial" w:eastAsia="微软雅黑"/>
          <w:b w:val="0"/>
          <w:sz w:val="24"/>
        </w:rPr>
        <w:t>数据频率：日频 | 因子模型：Ridge回归(α=0.01) | 阈值：±2σ入场 / ±3σ止损</w:t>
      </w:r>
    </w:p>
    <w:p w14:paraId="5445DB48"/>
    <w:p w14:paraId="2BC29E08"/>
    <w:p w14:paraId="51C32D1C"/>
    <w:p w14:paraId="38D3D45A"/>
    <w:p w14:paraId="7F83B43A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22"/>
        </w:rPr>
        <w:t>报告生成：2026年6月30日</w:t>
      </w:r>
    </w:p>
    <w:p w14:paraId="25A187CD">
      <w:pPr>
        <w:spacing w:before="40" w:after="40"/>
        <w:jc w:val="center"/>
      </w:pPr>
      <w:r>
        <w:rPr>
          <w:rFonts w:ascii="Arial" w:hAnsi="Arial" w:eastAsia="微软雅黑"/>
          <w:b w:val="0"/>
          <w:color w:val="C81E1E"/>
          <w:sz w:val="20"/>
        </w:rPr>
        <w:t>本报告基于回测数据，过往表现不代表未来收益。</w:t>
      </w:r>
    </w:p>
    <w:p w14:paraId="0689F2E6">
      <w:r>
        <w:br w:type="page"/>
      </w:r>
    </w:p>
    <w:p w14:paraId="1B3EC973">
      <w:pPr>
        <w:pStyle w:val="3"/>
        <w:jc w:val="center"/>
        <w:rPr>
          <w:color w:val="003366"/>
          <w:sz w:val="60"/>
          <w:szCs w:val="60"/>
        </w:rPr>
      </w:pPr>
      <w:r>
        <w:rPr>
          <w:color w:val="003366"/>
          <w:sz w:val="60"/>
          <w:szCs w:val="60"/>
        </w:rPr>
        <w:t>目 录</w:t>
      </w:r>
    </w:p>
    <w:p w14:paraId="79AACF97"/>
    <w:p w14:paraId="4881562A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一  标的池筛选与配对逻辑</w:t>
      </w:r>
    </w:p>
    <w:p w14:paraId="1B226553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二  因子模型构建与验证</w:t>
      </w:r>
    </w:p>
    <w:p w14:paraId="5F34E2CE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三  信号生成与质量评估</w:t>
      </w:r>
    </w:p>
    <w:p w14:paraId="476BAE0A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四  组合构建与风险管理</w:t>
      </w:r>
    </w:p>
    <w:p w14:paraId="630507CA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五  回测引擎与成本建模</w:t>
      </w:r>
    </w:p>
    <w:p w14:paraId="48354D26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六  策略分析与评估</w:t>
      </w:r>
    </w:p>
    <w:p w14:paraId="01E12398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附录A  回测严谨性声明</w:t>
      </w:r>
    </w:p>
    <w:p w14:paraId="38896ED3">
      <w:pPr>
        <w:spacing w:before="80" w:after="80"/>
        <w:rPr>
          <w:sz w:val="36"/>
          <w:szCs w:val="36"/>
        </w:rPr>
      </w:pPr>
      <w:r>
        <w:rPr>
          <w:rFonts w:ascii="Arial" w:hAnsi="Arial" w:eastAsia="微软雅黑"/>
          <w:b w:val="0"/>
          <w:sz w:val="40"/>
          <w:szCs w:val="36"/>
        </w:rPr>
        <w:t>附录B  项目文件清单</w:t>
      </w:r>
    </w:p>
    <w:p w14:paraId="1B506806">
      <w:r>
        <w:br w:type="page"/>
      </w:r>
    </w:p>
    <w:p w14:paraId="5707E136">
      <w:pPr>
        <w:pStyle w:val="3"/>
      </w:pPr>
      <w:r>
        <w:rPr>
          <w:color w:val="003366"/>
        </w:rPr>
        <w:t>第一章  标的池筛选与配对逻辑</w:t>
      </w:r>
    </w:p>
    <w:p w14:paraId="48EE2298">
      <w:pPr>
        <w:pStyle w:val="4"/>
      </w:pPr>
      <w:r>
        <w:rPr>
          <w:color w:val="003366"/>
        </w:rPr>
        <w:t>1.1  标的池概述</w:t>
      </w:r>
    </w:p>
    <w:p w14:paraId="1404B000">
      <w:pPr>
        <w:spacing w:before="40" w:after="40"/>
      </w:pPr>
      <w:r>
        <w:rPr>
          <w:rFonts w:ascii="Arial" w:hAnsi="Arial" w:eastAsia="微软雅黑"/>
          <w:b w:val="0"/>
          <w:sz w:val="22"/>
        </w:rPr>
        <w:t>标的池从Binance全市场资产中按三大类别筛选，共30个标的（5基准因子+25目标资产）。筛选标准：与加密/科技板块有明显业务关联、流动性充足（日均成交额超过$100M）、有清晰的因子归属逻辑、2023-2026回测期内持续在Binance上线。剔除标的：HOOD（因子归属模糊）、SQ（支付业务占比高）、JTO（数据区间过短）。</w:t>
      </w:r>
    </w:p>
    <w:p w14:paraId="67AAC715">
      <w:pPr>
        <w:pStyle w:val="4"/>
      </w:pPr>
      <w:r>
        <w:rPr>
          <w:color w:val="003366"/>
        </w:rPr>
        <w:t>1.2  标的池清单</w:t>
      </w:r>
    </w:p>
    <w:p w14:paraId="044DB6AF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（1）基准因子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546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709F44D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3135" w:type="dxa"/>
            <w:shd w:val="clear" w:color="auto" w:fill="008B80"/>
          </w:tcPr>
          <w:p w14:paraId="56634E8F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3135" w:type="dxa"/>
            <w:shd w:val="clear" w:color="auto" w:fill="008B80"/>
          </w:tcPr>
          <w:p w14:paraId="2E4A10B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类型</w:t>
            </w:r>
          </w:p>
        </w:tc>
      </w:tr>
      <w:tr w14:paraId="6BB3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7339AF7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</w:t>
            </w:r>
          </w:p>
        </w:tc>
        <w:tc>
          <w:tcPr>
            <w:tcW w:w="3135" w:type="dxa"/>
            <w:shd w:val="clear" w:color="auto" w:fill="F0F4F8"/>
          </w:tcPr>
          <w:p w14:paraId="604F4E0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BTCUSDT</w:t>
            </w:r>
          </w:p>
        </w:tc>
        <w:tc>
          <w:tcPr>
            <w:tcW w:w="3135" w:type="dxa"/>
            <w:shd w:val="clear" w:color="auto" w:fill="F0F4F8"/>
          </w:tcPr>
          <w:p w14:paraId="793DE67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crypto_spot</w:t>
            </w:r>
          </w:p>
        </w:tc>
      </w:tr>
      <w:tr w14:paraId="28B9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113138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</w:t>
            </w:r>
          </w:p>
        </w:tc>
        <w:tc>
          <w:tcPr>
            <w:tcW w:w="3135" w:type="dxa"/>
          </w:tcPr>
          <w:p w14:paraId="7F2B49C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ETHUSDT</w:t>
            </w:r>
          </w:p>
        </w:tc>
        <w:tc>
          <w:tcPr>
            <w:tcW w:w="3135" w:type="dxa"/>
          </w:tcPr>
          <w:p w14:paraId="6BDF304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crypto_spot</w:t>
            </w:r>
          </w:p>
        </w:tc>
      </w:tr>
      <w:tr w14:paraId="5D7B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6CB5F0F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SPY</w:t>
            </w:r>
          </w:p>
        </w:tc>
        <w:tc>
          <w:tcPr>
            <w:tcW w:w="3135" w:type="dxa"/>
            <w:shd w:val="clear" w:color="auto" w:fill="F0F4F8"/>
          </w:tcPr>
          <w:p w14:paraId="75BD3C6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SPYUSDT</w:t>
            </w:r>
          </w:p>
        </w:tc>
        <w:tc>
          <w:tcPr>
            <w:tcW w:w="3135" w:type="dxa"/>
            <w:shd w:val="clear" w:color="auto" w:fill="F0F4F8"/>
          </w:tcPr>
          <w:p w14:paraId="4C62A10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tradfi_perp</w:t>
            </w:r>
          </w:p>
        </w:tc>
      </w:tr>
      <w:tr w14:paraId="4D0C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22F8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</w:t>
            </w:r>
          </w:p>
        </w:tc>
        <w:tc>
          <w:tcPr>
            <w:tcW w:w="3135" w:type="dxa"/>
          </w:tcPr>
          <w:p w14:paraId="138DB05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QQQUSDT</w:t>
            </w:r>
          </w:p>
        </w:tc>
        <w:tc>
          <w:tcPr>
            <w:tcW w:w="3135" w:type="dxa"/>
          </w:tcPr>
          <w:p w14:paraId="3D9E2A7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tradfi_perp</w:t>
            </w:r>
          </w:p>
        </w:tc>
      </w:tr>
      <w:tr w14:paraId="1407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3C2B0A2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SMH</w:t>
            </w:r>
          </w:p>
        </w:tc>
        <w:tc>
          <w:tcPr>
            <w:tcW w:w="3135" w:type="dxa"/>
            <w:shd w:val="clear" w:color="auto" w:fill="F0F4F8"/>
          </w:tcPr>
          <w:p w14:paraId="2BF6904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SMHUSDT</w:t>
            </w:r>
          </w:p>
        </w:tc>
        <w:tc>
          <w:tcPr>
            <w:tcW w:w="3135" w:type="dxa"/>
            <w:shd w:val="clear" w:color="auto" w:fill="F0F4F8"/>
          </w:tcPr>
          <w:p w14:paraId="1BB9805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tradfi_perp</w:t>
            </w:r>
          </w:p>
        </w:tc>
      </w:tr>
    </w:tbl>
    <w:p w14:paraId="070D0342">
      <w:pPr>
        <w:spacing w:before="40"/>
      </w:pPr>
    </w:p>
    <w:p w14:paraId="52F693E7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（2）币股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3F4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5A810FA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3135" w:type="dxa"/>
            <w:shd w:val="clear" w:color="auto" w:fill="008B80"/>
          </w:tcPr>
          <w:p w14:paraId="24B0366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008B80"/>
          </w:tcPr>
          <w:p w14:paraId="2A879319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因子组合</w:t>
            </w:r>
          </w:p>
        </w:tc>
      </w:tr>
      <w:tr w14:paraId="31AD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7AB4A3A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MSTR</w:t>
            </w:r>
          </w:p>
        </w:tc>
        <w:tc>
          <w:tcPr>
            <w:tcW w:w="3135" w:type="dxa"/>
            <w:shd w:val="clear" w:color="auto" w:fill="F0F4F8"/>
          </w:tcPr>
          <w:p w14:paraId="1BF78C0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MicroStrategy，持有约25万枚BTC，BTC代理股+科技股属性</w:t>
            </w:r>
          </w:p>
        </w:tc>
        <w:tc>
          <w:tcPr>
            <w:tcW w:w="3135" w:type="dxa"/>
            <w:shd w:val="clear" w:color="auto" w:fill="F0F4F8"/>
          </w:tcPr>
          <w:p w14:paraId="5C0C79C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QQQ</w:t>
            </w:r>
          </w:p>
        </w:tc>
      </w:tr>
      <w:tr w14:paraId="21BD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450CA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COIN</w:t>
            </w:r>
          </w:p>
        </w:tc>
        <w:tc>
          <w:tcPr>
            <w:tcW w:w="3135" w:type="dxa"/>
          </w:tcPr>
          <w:p w14:paraId="1BDB8E3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美国最大加密交易所，收入挂钩BTC/ETH交易量，估值受美股科技股影响</w:t>
            </w:r>
          </w:p>
        </w:tc>
        <w:tc>
          <w:tcPr>
            <w:tcW w:w="3135" w:type="dxa"/>
          </w:tcPr>
          <w:p w14:paraId="5453600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ETH, QQQ</w:t>
            </w:r>
          </w:p>
        </w:tc>
      </w:tr>
      <w:tr w14:paraId="142E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2E1B89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MARA</w:t>
            </w:r>
          </w:p>
        </w:tc>
        <w:tc>
          <w:tcPr>
            <w:tcW w:w="3135" w:type="dxa"/>
            <w:shd w:val="clear" w:color="auto" w:fill="F0F4F8"/>
          </w:tcPr>
          <w:p w14:paraId="569BF24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美国最大比特币矿企之一，收入靠BTC，成本靠半导体矿机</w:t>
            </w:r>
          </w:p>
        </w:tc>
        <w:tc>
          <w:tcPr>
            <w:tcW w:w="3135" w:type="dxa"/>
            <w:shd w:val="clear" w:color="auto" w:fill="F0F4F8"/>
          </w:tcPr>
          <w:p w14:paraId="005B567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SMH</w:t>
            </w:r>
          </w:p>
        </w:tc>
      </w:tr>
      <w:tr w14:paraId="42CF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4B615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RIOT</w:t>
            </w:r>
          </w:p>
        </w:tc>
        <w:tc>
          <w:tcPr>
            <w:tcW w:w="3135" w:type="dxa"/>
          </w:tcPr>
          <w:p w14:paraId="6D2DDA8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另一大矿企，和MARA高度相关，收入靠BTC，成本靠半导体矿机</w:t>
            </w:r>
          </w:p>
        </w:tc>
        <w:tc>
          <w:tcPr>
            <w:tcW w:w="3135" w:type="dxa"/>
          </w:tcPr>
          <w:p w14:paraId="71C73B2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SMH</w:t>
            </w:r>
          </w:p>
        </w:tc>
      </w:tr>
      <w:tr w14:paraId="620F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6194B0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CLSK</w:t>
            </w:r>
          </w:p>
        </w:tc>
        <w:tc>
          <w:tcPr>
            <w:tcW w:w="3135" w:type="dxa"/>
            <w:shd w:val="clear" w:color="auto" w:fill="F0F4F8"/>
          </w:tcPr>
          <w:p w14:paraId="17C85A0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矿企，和MARA/RIOT同类，收入靠BTC，成本靠半导体矿机</w:t>
            </w:r>
          </w:p>
        </w:tc>
        <w:tc>
          <w:tcPr>
            <w:tcW w:w="3135" w:type="dxa"/>
            <w:shd w:val="clear" w:color="auto" w:fill="F0F4F8"/>
          </w:tcPr>
          <w:p w14:paraId="1AADC3D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SMH</w:t>
            </w:r>
          </w:p>
        </w:tc>
      </w:tr>
    </w:tbl>
    <w:p w14:paraId="696139AB">
      <w:pPr>
        <w:spacing w:before="40"/>
      </w:pPr>
    </w:p>
    <w:p w14:paraId="4B69B7D1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（3）加密资产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BE2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07EBA05A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3135" w:type="dxa"/>
            <w:shd w:val="clear" w:color="auto" w:fill="008B80"/>
          </w:tcPr>
          <w:p w14:paraId="24674E30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008B80"/>
          </w:tcPr>
          <w:p w14:paraId="1249A775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因子组合</w:t>
            </w:r>
          </w:p>
        </w:tc>
      </w:tr>
      <w:tr w14:paraId="72B5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6C5DDD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SOL</w:t>
            </w:r>
          </w:p>
        </w:tc>
        <w:tc>
          <w:tcPr>
            <w:tcW w:w="3135" w:type="dxa"/>
            <w:shd w:val="clear" w:color="auto" w:fill="F0F4F8"/>
          </w:tcPr>
          <w:p w14:paraId="75B452D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高性能L1公链，系统性风险由BTC代理，ETH走势影响整个L1赛道估值重定价</w:t>
            </w:r>
          </w:p>
        </w:tc>
        <w:tc>
          <w:tcPr>
            <w:tcW w:w="3135" w:type="dxa"/>
            <w:shd w:val="clear" w:color="auto" w:fill="F0F4F8"/>
          </w:tcPr>
          <w:p w14:paraId="0540443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</w:t>
            </w:r>
          </w:p>
        </w:tc>
      </w:tr>
      <w:tr w14:paraId="7544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21F9C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BNB</w:t>
            </w:r>
          </w:p>
        </w:tc>
        <w:tc>
          <w:tcPr>
            <w:tcW w:w="3135" w:type="dxa"/>
          </w:tcPr>
          <w:p w14:paraId="75E9253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币安平台币，系统性因子BTC+ETH（币安交易生态），特质来自BSC/Launchpad</w:t>
            </w:r>
          </w:p>
        </w:tc>
        <w:tc>
          <w:tcPr>
            <w:tcW w:w="3135" w:type="dxa"/>
          </w:tcPr>
          <w:p w14:paraId="7D6CE5C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</w:t>
            </w:r>
          </w:p>
        </w:tc>
      </w:tr>
      <w:tr w14:paraId="39CD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5D89B5E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XRP</w:t>
            </w:r>
          </w:p>
        </w:tc>
        <w:tc>
          <w:tcPr>
            <w:tcW w:w="3135" w:type="dxa"/>
            <w:shd w:val="clear" w:color="auto" w:fill="F0F4F8"/>
          </w:tcPr>
          <w:p w14:paraId="6D31E8E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跨境支付币，整体加密流动性受ETH+BTC双重影响，特质来自SEC监管和银行采用</w:t>
            </w:r>
          </w:p>
        </w:tc>
        <w:tc>
          <w:tcPr>
            <w:tcW w:w="3135" w:type="dxa"/>
            <w:shd w:val="clear" w:color="auto" w:fill="F0F4F8"/>
          </w:tcPr>
          <w:p w14:paraId="475D2FF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</w:t>
            </w:r>
          </w:p>
        </w:tc>
      </w:tr>
      <w:tr w14:paraId="12FD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C9C9CC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ADA</w:t>
            </w:r>
          </w:p>
        </w:tc>
        <w:tc>
          <w:tcPr>
            <w:tcW w:w="3135" w:type="dxa"/>
          </w:tcPr>
          <w:p w14:paraId="7AB8C49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学术派L1公链，整体L1赛道系统性风险由BTC+ETH代理，特质来自生态发展缓慢的补涨特征</w:t>
            </w:r>
          </w:p>
        </w:tc>
        <w:tc>
          <w:tcPr>
            <w:tcW w:w="3135" w:type="dxa"/>
          </w:tcPr>
          <w:p w14:paraId="2353D7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</w:t>
            </w:r>
          </w:p>
        </w:tc>
      </w:tr>
      <w:tr w14:paraId="0D02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5A66A59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AVAX</w:t>
            </w:r>
          </w:p>
        </w:tc>
        <w:tc>
          <w:tcPr>
            <w:tcW w:w="3135" w:type="dxa"/>
            <w:shd w:val="clear" w:color="auto" w:fill="F0F4F8"/>
          </w:tcPr>
          <w:p w14:paraId="108CC33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EVM兼容L1，双因子BTC+ETH，特质来自子网技术和企业合作</w:t>
            </w:r>
          </w:p>
        </w:tc>
        <w:tc>
          <w:tcPr>
            <w:tcW w:w="3135" w:type="dxa"/>
            <w:shd w:val="clear" w:color="auto" w:fill="F0F4F8"/>
          </w:tcPr>
          <w:p w14:paraId="2C6B600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BTC, ETH</w:t>
            </w:r>
          </w:p>
        </w:tc>
      </w:tr>
      <w:tr w14:paraId="1976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E2E86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</w:t>
            </w:r>
          </w:p>
        </w:tc>
        <w:tc>
          <w:tcPr>
            <w:tcW w:w="3135" w:type="dxa"/>
          </w:tcPr>
          <w:p w14:paraId="7E7C28A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Arbitrum，最大ETH L2，系统性因子ETH+BTC，特质来自L2赛道竞争</w:t>
            </w:r>
          </w:p>
        </w:tc>
        <w:tc>
          <w:tcPr>
            <w:tcW w:w="3135" w:type="dxa"/>
          </w:tcPr>
          <w:p w14:paraId="45A4C33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  <w:tr w14:paraId="59B4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69B0136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OP</w:t>
            </w:r>
          </w:p>
        </w:tc>
        <w:tc>
          <w:tcPr>
            <w:tcW w:w="3135" w:type="dxa"/>
            <w:shd w:val="clear" w:color="auto" w:fill="F0F4F8"/>
          </w:tcPr>
          <w:p w14:paraId="1E689AE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Optimism，第二大ETH L2，系统性因子ETH+BTC，特质来自Superchain竞争</w:t>
            </w:r>
          </w:p>
        </w:tc>
        <w:tc>
          <w:tcPr>
            <w:tcW w:w="3135" w:type="dxa"/>
            <w:shd w:val="clear" w:color="auto" w:fill="F0F4F8"/>
          </w:tcPr>
          <w:p w14:paraId="6127C0D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  <w:tr w14:paraId="1D47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4174D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UNI</w:t>
            </w:r>
          </w:p>
        </w:tc>
        <w:tc>
          <w:tcPr>
            <w:tcW w:w="3135" w:type="dxa"/>
          </w:tcPr>
          <w:p w14:paraId="6FFDA62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Uniswap，最大DEX，系统性因子ETH+BTC，特质来自V4升级和费用开关</w:t>
            </w:r>
          </w:p>
        </w:tc>
        <w:tc>
          <w:tcPr>
            <w:tcW w:w="3135" w:type="dxa"/>
          </w:tcPr>
          <w:p w14:paraId="56C41E2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  <w:tr w14:paraId="6FEF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331993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AAVE</w:t>
            </w:r>
          </w:p>
        </w:tc>
        <w:tc>
          <w:tcPr>
            <w:tcW w:w="3135" w:type="dxa"/>
            <w:shd w:val="clear" w:color="auto" w:fill="F0F4F8"/>
          </w:tcPr>
          <w:p w14:paraId="19E551F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去中心化借贷，系统性因子ETH+BTC，特质来自GHO稳定币和多链扩展</w:t>
            </w:r>
          </w:p>
        </w:tc>
        <w:tc>
          <w:tcPr>
            <w:tcW w:w="3135" w:type="dxa"/>
            <w:shd w:val="clear" w:color="auto" w:fill="F0F4F8"/>
          </w:tcPr>
          <w:p w14:paraId="6C9B6A1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  <w:tr w14:paraId="787E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1F24B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LDO</w:t>
            </w:r>
          </w:p>
        </w:tc>
        <w:tc>
          <w:tcPr>
            <w:tcW w:w="3135" w:type="dxa"/>
          </w:tcPr>
          <w:p w14:paraId="3D7274B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Lido ETH质押协议，系统性因子ETH+BTC，特质来自再质押(EigenLayer)</w:t>
            </w:r>
          </w:p>
        </w:tc>
        <w:tc>
          <w:tcPr>
            <w:tcW w:w="3135" w:type="dxa"/>
          </w:tcPr>
          <w:p w14:paraId="3583D5D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  <w:tr w14:paraId="6CE2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1609360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DOGE</w:t>
            </w:r>
          </w:p>
        </w:tc>
        <w:tc>
          <w:tcPr>
            <w:tcW w:w="3135" w:type="dxa"/>
            <w:shd w:val="clear" w:color="auto" w:fill="F0F4F8"/>
          </w:tcPr>
          <w:p w14:paraId="7BFDB9E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Meme币，散户情绪温度计，单因子BTC足够，特质来自马斯克效应和社交媒体热度</w:t>
            </w:r>
          </w:p>
        </w:tc>
        <w:tc>
          <w:tcPr>
            <w:tcW w:w="3135" w:type="dxa"/>
            <w:shd w:val="clear" w:color="auto" w:fill="F0F4F8"/>
          </w:tcPr>
          <w:p w14:paraId="4BF1D19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</w:t>
            </w:r>
          </w:p>
        </w:tc>
      </w:tr>
      <w:tr w14:paraId="195B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D75AD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LINK</w:t>
            </w:r>
          </w:p>
        </w:tc>
        <w:tc>
          <w:tcPr>
            <w:tcW w:w="3135" w:type="dxa"/>
          </w:tcPr>
          <w:p w14:paraId="4FC9097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Chainlink预言机，ETH生态基础设施，系统性因子ETH+BTC，特质来自CCIP跨链协议</w:t>
            </w:r>
          </w:p>
        </w:tc>
        <w:tc>
          <w:tcPr>
            <w:tcW w:w="3135" w:type="dxa"/>
          </w:tcPr>
          <w:p w14:paraId="7D2F578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ETH, BTC</w:t>
            </w:r>
          </w:p>
        </w:tc>
      </w:tr>
    </w:tbl>
    <w:p w14:paraId="4215EF83">
      <w:pPr>
        <w:spacing w:before="40"/>
      </w:pPr>
    </w:p>
    <w:p w14:paraId="1870A25C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（4）美股永续合约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22F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3EC2F304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3135" w:type="dxa"/>
            <w:shd w:val="clear" w:color="auto" w:fill="008B80"/>
          </w:tcPr>
          <w:p w14:paraId="63D2D5A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008B80"/>
          </w:tcPr>
          <w:p w14:paraId="54EB711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因子组合</w:t>
            </w:r>
          </w:p>
        </w:tc>
      </w:tr>
      <w:tr w14:paraId="3B12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39302F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NVDA</w:t>
            </w:r>
          </w:p>
        </w:tc>
        <w:tc>
          <w:tcPr>
            <w:tcW w:w="3135" w:type="dxa"/>
            <w:shd w:val="clear" w:color="auto" w:fill="F0F4F8"/>
          </w:tcPr>
          <w:p w14:paraId="356A1D6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英伟达，AI芯片龙头，双因子QQQ+SMH，特质来自AI算力需求</w:t>
            </w:r>
          </w:p>
        </w:tc>
        <w:tc>
          <w:tcPr>
            <w:tcW w:w="3135" w:type="dxa"/>
            <w:shd w:val="clear" w:color="auto" w:fill="F0F4F8"/>
          </w:tcPr>
          <w:p w14:paraId="7BBC420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4378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E21F58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AMD</w:t>
            </w:r>
          </w:p>
        </w:tc>
        <w:tc>
          <w:tcPr>
            <w:tcW w:w="3135" w:type="dxa"/>
          </w:tcPr>
          <w:p w14:paraId="54A96A4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AMD，NVDA竞争对手，双因子QQQ+SMH，特质来自CPU/GPU市场份额</w:t>
            </w:r>
          </w:p>
        </w:tc>
        <w:tc>
          <w:tcPr>
            <w:tcW w:w="3135" w:type="dxa"/>
          </w:tcPr>
          <w:p w14:paraId="07EF1FD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2BAA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3D2DD5F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TSLA</w:t>
            </w:r>
          </w:p>
        </w:tc>
        <w:tc>
          <w:tcPr>
            <w:tcW w:w="3135" w:type="dxa"/>
            <w:shd w:val="clear" w:color="auto" w:fill="F0F4F8"/>
          </w:tcPr>
          <w:p w14:paraId="2E06254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特斯拉，电动车芯片需求+AI Dojo算力依赖半导体，特质来自马斯克效应和电动车周期</w:t>
            </w:r>
          </w:p>
        </w:tc>
        <w:tc>
          <w:tcPr>
            <w:tcW w:w="3135" w:type="dxa"/>
            <w:shd w:val="clear" w:color="auto" w:fill="F0F4F8"/>
          </w:tcPr>
          <w:p w14:paraId="3115B72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09FB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ECDF6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AAPL</w:t>
            </w:r>
          </w:p>
        </w:tc>
        <w:tc>
          <w:tcPr>
            <w:tcW w:w="3135" w:type="dxa"/>
          </w:tcPr>
          <w:p w14:paraId="35497C6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苹果，A/M系列芯片自研，半导体供应链敏感，特质来自iPhone周期和服务收入转型</w:t>
            </w:r>
          </w:p>
        </w:tc>
        <w:tc>
          <w:tcPr>
            <w:tcW w:w="3135" w:type="dxa"/>
          </w:tcPr>
          <w:p w14:paraId="3B593CD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091E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35DA7CA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MSFT</w:t>
            </w:r>
          </w:p>
        </w:tc>
        <w:tc>
          <w:tcPr>
            <w:tcW w:w="3135" w:type="dxa"/>
            <w:shd w:val="clear" w:color="auto" w:fill="F0F4F8"/>
          </w:tcPr>
          <w:p w14:paraId="3558AC4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微软，Azure AI基础设施（GPU/TPU依赖半导体），特质来自AI Copilot商业化和Azure增长</w:t>
            </w:r>
          </w:p>
        </w:tc>
        <w:tc>
          <w:tcPr>
            <w:tcW w:w="3135" w:type="dxa"/>
            <w:shd w:val="clear" w:color="auto" w:fill="F0F4F8"/>
          </w:tcPr>
          <w:p w14:paraId="1F4B09F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29EE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DDEE73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META</w:t>
            </w:r>
          </w:p>
        </w:tc>
        <w:tc>
          <w:tcPr>
            <w:tcW w:w="3135" w:type="dxa"/>
          </w:tcPr>
          <w:p w14:paraId="19ABE58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Meta，AI算力投资+VR/AR硬件都是芯片密集型，特质来自广告周期和元宇宙投资冲突</w:t>
            </w:r>
          </w:p>
        </w:tc>
        <w:tc>
          <w:tcPr>
            <w:tcW w:w="3135" w:type="dxa"/>
          </w:tcPr>
          <w:p w14:paraId="0CF3F51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7E49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721E4C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AMZN</w:t>
            </w:r>
          </w:p>
        </w:tc>
        <w:tc>
          <w:tcPr>
            <w:tcW w:w="3135" w:type="dxa"/>
            <w:shd w:val="clear" w:color="auto" w:fill="F0F4F8"/>
          </w:tcPr>
          <w:p w14:paraId="1597797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亚马逊，AWS自研芯片Graviton/Trainium依赖半导体供应链，特质来自电商利润率vs AWS增长</w:t>
            </w:r>
          </w:p>
        </w:tc>
        <w:tc>
          <w:tcPr>
            <w:tcW w:w="3135" w:type="dxa"/>
            <w:shd w:val="clear" w:color="auto" w:fill="F0F4F8"/>
          </w:tcPr>
          <w:p w14:paraId="28AB308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  <w:tr w14:paraId="1A4C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96FFE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GOOGL</w:t>
            </w:r>
          </w:p>
        </w:tc>
        <w:tc>
          <w:tcPr>
            <w:tcW w:w="3135" w:type="dxa"/>
          </w:tcPr>
          <w:p w14:paraId="3C92EBE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谷歌，TPU芯片自研+AI数据中心依赖半导体，特质来自AI搜索威胁和Gemini防御</w:t>
            </w:r>
          </w:p>
        </w:tc>
        <w:tc>
          <w:tcPr>
            <w:tcW w:w="3135" w:type="dxa"/>
          </w:tcPr>
          <w:p w14:paraId="4FE8D1B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QQQ, SMH</w:t>
            </w:r>
          </w:p>
        </w:tc>
      </w:tr>
    </w:tbl>
    <w:p w14:paraId="24197390">
      <w:pPr>
        <w:spacing w:before="40"/>
      </w:pPr>
    </w:p>
    <w:p w14:paraId="2E3B5052">
      <w:pPr>
        <w:pStyle w:val="4"/>
      </w:pPr>
      <w:r>
        <w:rPr>
          <w:color w:val="003366"/>
        </w:rPr>
        <w:t>1.3  配对经济学逻辑</w:t>
      </w:r>
    </w:p>
    <w:p w14:paraId="4DE2E476">
      <w:pPr>
        <w:spacing w:before="40" w:after="40"/>
      </w:pPr>
      <w:r>
        <w:rPr>
          <w:rFonts w:ascii="Arial" w:hAnsi="Arial" w:eastAsia="微软雅黑"/>
          <w:b w:val="0"/>
          <w:sz w:val="22"/>
        </w:rPr>
        <w:t>以下6组配对基于资产间的经济关联性和因子暴露结构设计。每组配对均以一个目标资产为核心，配置2-3个基准因子用于对冲系统性风险，保留特质残差用于均值回归交易。</w:t>
      </w:r>
    </w:p>
    <w:p w14:paraId="0FCAB45B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配对汇总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18C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465F0F4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配对类型</w:t>
            </w:r>
          </w:p>
        </w:tc>
        <w:tc>
          <w:tcPr>
            <w:tcW w:w="3135" w:type="dxa"/>
            <w:shd w:val="clear" w:color="auto" w:fill="008B80"/>
          </w:tcPr>
          <w:p w14:paraId="6F2A2FC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3135" w:type="dxa"/>
            <w:shd w:val="clear" w:color="auto" w:fill="008B80"/>
          </w:tcPr>
          <w:p w14:paraId="3BD3D7AA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核心驱动</w:t>
            </w:r>
          </w:p>
        </w:tc>
      </w:tr>
      <w:tr w14:paraId="0560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01D3913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币股 &lt;- BTC+QQQ</w:t>
            </w:r>
          </w:p>
        </w:tc>
        <w:tc>
          <w:tcPr>
            <w:tcW w:w="3135" w:type="dxa"/>
            <w:shd w:val="clear" w:color="auto" w:fill="F0F4F8"/>
          </w:tcPr>
          <w:p w14:paraId="7D052E5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MSTR &lt;- BTC+QQQ</w:t>
            </w:r>
          </w:p>
        </w:tc>
        <w:tc>
          <w:tcPr>
            <w:tcW w:w="3135" w:type="dxa"/>
            <w:shd w:val="clear" w:color="auto" w:fill="F0F4F8"/>
          </w:tcPr>
          <w:p w14:paraId="6D0FE4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BTC价值 + 科技股估值</w:t>
            </w:r>
          </w:p>
        </w:tc>
      </w:tr>
      <w:tr w14:paraId="2164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699073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币股 &lt;- BTC+SMH</w:t>
            </w:r>
          </w:p>
        </w:tc>
        <w:tc>
          <w:tcPr>
            <w:tcW w:w="3135" w:type="dxa"/>
          </w:tcPr>
          <w:p w14:paraId="6D0CBDE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MARA &lt;- BTC+SMH</w:t>
            </w:r>
          </w:p>
        </w:tc>
        <w:tc>
          <w:tcPr>
            <w:tcW w:w="3135" w:type="dxa"/>
          </w:tcPr>
          <w:p w14:paraId="41D843D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BTC价格 + 芯片成本</w:t>
            </w:r>
          </w:p>
        </w:tc>
      </w:tr>
      <w:tr w14:paraId="0220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7C7F9BA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L2/DeFi &lt;- ETH+BTC</w:t>
            </w:r>
          </w:p>
        </w:tc>
        <w:tc>
          <w:tcPr>
            <w:tcW w:w="3135" w:type="dxa"/>
            <w:shd w:val="clear" w:color="auto" w:fill="F0F4F8"/>
          </w:tcPr>
          <w:p w14:paraId="33C5B22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 &lt;- ETH+BTC</w:t>
            </w:r>
          </w:p>
        </w:tc>
        <w:tc>
          <w:tcPr>
            <w:tcW w:w="3135" w:type="dxa"/>
            <w:shd w:val="clear" w:color="auto" w:fill="F0F4F8"/>
          </w:tcPr>
          <w:p w14:paraId="6C54E31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ETH生态 + 加密β</w:t>
            </w:r>
          </w:p>
        </w:tc>
      </w:tr>
      <w:tr w14:paraId="5A58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C65DC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L1公链 &lt;- BTC+ETH</w:t>
            </w:r>
          </w:p>
        </w:tc>
        <w:tc>
          <w:tcPr>
            <w:tcW w:w="3135" w:type="dxa"/>
          </w:tcPr>
          <w:p w14:paraId="46DB5A0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SOL &lt;- BTC+ETH</w:t>
            </w:r>
          </w:p>
        </w:tc>
        <w:tc>
          <w:tcPr>
            <w:tcW w:w="3135" w:type="dxa"/>
          </w:tcPr>
          <w:p w14:paraId="71D1632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L1赛道 + 加密β</w:t>
            </w:r>
          </w:p>
        </w:tc>
      </w:tr>
      <w:tr w14:paraId="3CD9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41923A7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美股Perp &lt;- QQQ+SMH</w:t>
            </w:r>
          </w:p>
        </w:tc>
        <w:tc>
          <w:tcPr>
            <w:tcW w:w="3135" w:type="dxa"/>
            <w:shd w:val="clear" w:color="auto" w:fill="F0F4F8"/>
          </w:tcPr>
          <w:p w14:paraId="3B3FF1B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NVDA &lt;- QQQ+SMH</w:t>
            </w:r>
          </w:p>
        </w:tc>
        <w:tc>
          <w:tcPr>
            <w:tcW w:w="3135" w:type="dxa"/>
            <w:shd w:val="clear" w:color="auto" w:fill="F0F4F8"/>
          </w:tcPr>
          <w:p w14:paraId="140C768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科技β + 半导体β</w:t>
            </w:r>
          </w:p>
        </w:tc>
      </w:tr>
      <w:tr w14:paraId="5A36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84D2A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平台币 &lt;- BTC+ETH</w:t>
            </w:r>
          </w:p>
        </w:tc>
        <w:tc>
          <w:tcPr>
            <w:tcW w:w="3135" w:type="dxa"/>
          </w:tcPr>
          <w:p w14:paraId="38940D1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BNB &lt;- BTC+ETH</w:t>
            </w:r>
          </w:p>
        </w:tc>
        <w:tc>
          <w:tcPr>
            <w:tcW w:w="3135" w:type="dxa"/>
          </w:tcPr>
          <w:p w14:paraId="49FFA3A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交易量驱动 + 加密β</w:t>
            </w:r>
          </w:p>
        </w:tc>
      </w:tr>
    </w:tbl>
    <w:p w14:paraId="14AA9998">
      <w:pPr>
        <w:spacing w:before="40"/>
      </w:pPr>
    </w:p>
    <w:p w14:paraId="7E78F027">
      <w:pPr>
        <w:spacing w:before="40" w:after="0"/>
      </w:pPr>
    </w:p>
    <w:p w14:paraId="3043D1B2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配对一：MSTR &lt;- BTC + QQQ</w:t>
      </w:r>
    </w:p>
    <w:p w14:paraId="039AE1F6">
      <w:pPr>
        <w:spacing w:before="40" w:after="40"/>
      </w:pPr>
      <w:r>
        <w:rPr>
          <w:rFonts w:ascii="Arial" w:hAnsi="Arial" w:eastAsia="微软雅黑"/>
          <w:b w:val="0"/>
          <w:sz w:val="22"/>
        </w:rPr>
        <w:t>MSTR（MicroStrategy）持有约25万枚BTC，是全球最大的企业BTC持有者，其股价与BTC价格高度联动。但MSTR同时是一家企业软件公司，拥有商业智能（BI）业务线，因此其估值也受科技板块整体走势的影响。QQQ（纳斯达克100 ETF）代表科技板块β，当BTC上涨而科技板块下跌时，MSTR的定价会出现跨市场偏差——BTC推高其估值，但QQQ拉低，导致回归性特质残差。</w:t>
      </w:r>
    </w:p>
    <w:p w14:paraId="3AB47F2C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理论保质期：若MSTR显著减持BTC持仓（如管理层变更或监管要求），其对BTC的β暴露将下降，配对逻辑减弱。此外，若MSTR被纳入标普500等主流指数，其股价驱动因素将更加多元化，降低对BTC+QQQ的依赖度。</w:t>
      </w:r>
    </w:p>
    <w:p w14:paraId="3FF584ED">
      <w:pPr>
        <w:spacing w:before="40" w:after="0"/>
      </w:pPr>
    </w:p>
    <w:p w14:paraId="2BEA7E1D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配对二：MARA &lt;- BTC + SMH</w:t>
      </w:r>
    </w:p>
    <w:p w14:paraId="14E716CD">
      <w:pPr>
        <w:spacing w:before="40" w:after="40"/>
      </w:pPr>
      <w:r>
        <w:rPr>
          <w:rFonts w:ascii="Arial" w:hAnsi="Arial" w:eastAsia="微软雅黑"/>
          <w:b w:val="0"/>
          <w:sz w:val="22"/>
        </w:rPr>
        <w:t>MARA（Marathon Digital）是美国最大的比特币矿企之一，收入完全取决于BTC挖矿产出和BTC市场价格。矿企的运营成本高度依赖ASIC矿机及GPU芯片的采购价格，SMH（半导体ETF）精准反映了芯片成本端的变化。当BTC上涨但芯片成本因供应链紧张同步上升时，矿企的利润空间反而可能被压缩，形成MARA相对BTC+SMH的定价偏差。</w:t>
      </w:r>
    </w:p>
    <w:p w14:paraId="629AB707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理论保质期：部分矿企正逐步转型为AI算力提供商或数据中心运营商（如HPC业务），若MARA开展此类非挖矿业务，其收入驱动因素将不再纯粹绑定BTC+半导体，配对关系需要重新评估。</w:t>
      </w:r>
    </w:p>
    <w:p w14:paraId="785CF42B">
      <w:pPr>
        <w:spacing w:before="40" w:after="0"/>
      </w:pPr>
    </w:p>
    <w:p w14:paraId="5367D345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配对三：ARB &lt;- ETH + BTC</w:t>
      </w:r>
    </w:p>
    <w:p w14:paraId="15580AAD">
      <w:pPr>
        <w:spacing w:before="40" w:after="40"/>
      </w:pPr>
      <w:r>
        <w:rPr>
          <w:rFonts w:ascii="Arial" w:hAnsi="Arial" w:eastAsia="微软雅黑"/>
          <w:b w:val="0"/>
          <w:sz w:val="22"/>
        </w:rPr>
        <w:t>ARB（Arbitrum）是以太坊上最大的L2扩容方案，其代币价值与ETH生态活跃度高度相关。当以太坊网络拥堵、Gas费高企时，用户和流动性向L2迁移，ARB的使用量和估值上升。BTC作为整个加密市场的基准β，覆盖ARB无法通过ETH解释的系统性风险。该配对的核心逻辑是：L2代币的估值应当与底层L1（ETH）和整体市场（BTC）保持合理比例关系。</w:t>
      </w:r>
    </w:p>
    <w:p w14:paraId="6207B1D0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理论保质期：若ARB代币的治理价值大幅解锁（代币通胀），或Arbitrum在L2竞争中被zk-Rollup技术路线超越，其相对ETH的估值逻辑将弱化。极端情况下，ETH若自身迁移至L2友好架构，ARB的存在价值也会下降。</w:t>
      </w:r>
    </w:p>
    <w:p w14:paraId="133BC306">
      <w:pPr>
        <w:spacing w:before="40" w:after="0"/>
      </w:pPr>
    </w:p>
    <w:p w14:paraId="42EA1FE8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配对四：SOL &lt;- BTC + ETH</w:t>
      </w:r>
    </w:p>
    <w:p w14:paraId="73E4E6A9">
      <w:pPr>
        <w:spacing w:before="40" w:after="40"/>
      </w:pPr>
      <w:r>
        <w:rPr>
          <w:rFonts w:ascii="Arial" w:hAnsi="Arial" w:eastAsia="微软雅黑"/>
          <w:b w:val="0"/>
          <w:sz w:val="22"/>
        </w:rPr>
        <w:t>SOL（Solana）是市值第2大的L1公链，与ETH构成直接竞争关系。当ETH生态繁荣时，L1赛道整体估值提升，SOL同步受益。BTC代表加密市场的系统性β，ETH代表L1赛道估值锚点。SOL相对于BTC+ETH的定价偏差出现在L1竞争格局变化时——例如SOL链上活动增速远超ETH时，其估值应相对抬升；反之则被压缩。</w:t>
      </w:r>
    </w:p>
    <w:p w14:paraId="04E7F4A1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理论保质期：若SOL生态出现重大安全事件（如历史性的网络宕机问题再次发生），市场将对SOL的可靠性重新定价，其与ETH的竞争关系变为替代关系，配对假设不再成立。</w:t>
      </w:r>
    </w:p>
    <w:p w14:paraId="768DED20">
      <w:pPr>
        <w:spacing w:before="40" w:after="0"/>
      </w:pPr>
    </w:p>
    <w:p w14:paraId="0FDBA80F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配对五：NVDA &lt;- QQQ + SMH</w:t>
      </w:r>
    </w:p>
    <w:p w14:paraId="1B5A4437">
      <w:pPr>
        <w:spacing w:before="40" w:after="40"/>
      </w:pPr>
      <w:r>
        <w:rPr>
          <w:rFonts w:ascii="Arial" w:hAnsi="Arial" w:eastAsia="微软雅黑"/>
          <w:b w:val="0"/>
          <w:sz w:val="22"/>
        </w:rPr>
        <w:t>NVDA（NVIDIA）作为AI芯片龙头，同时受科技整体估值和半导体周期的双重驱动。QQQ覆盖科技板块β，SMH覆盖半导体行业β。当AI需求爆发而科技板块整体回调时，NVDA会出现相对于QQQ+SMH的超额表现（被低估或被高估），形成均值回归机会。这是一个典型的跨市场配对：同只股票在不同因子视角下的定价偏差。</w:t>
      </w:r>
    </w:p>
    <w:p w14:paraId="056E787F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理论保质期：若AI投资泡沫破裂或NVDA在GPU市场份额被AMD/自研芯片侵蚀，其双重驱动逻辑将弱化，NVDA可能回归纯科技股的单一β定价。</w:t>
      </w:r>
    </w:p>
    <w:p w14:paraId="34175F6B">
      <w:pPr>
        <w:spacing w:before="40" w:after="0"/>
      </w:pPr>
    </w:p>
    <w:p w14:paraId="726F998B">
      <w:pPr>
        <w:spacing w:before="120" w:after="40"/>
      </w:pPr>
      <w:r>
        <w:rPr>
          <w:rFonts w:ascii="Arial" w:hAnsi="Arial" w:eastAsia="微软雅黑"/>
          <w:b/>
          <w:color w:val="003366"/>
          <w:sz w:val="22"/>
        </w:rPr>
        <w:t>配对六：BNB &lt;- BTC + ETH</w:t>
      </w:r>
    </w:p>
    <w:p w14:paraId="2F21FBCC">
      <w:pPr>
        <w:spacing w:before="40" w:after="40"/>
      </w:pPr>
      <w:r>
        <w:rPr>
          <w:rFonts w:ascii="Arial" w:hAnsi="Arial" w:eastAsia="微软雅黑"/>
          <w:b w:val="0"/>
          <w:sz w:val="22"/>
        </w:rPr>
        <w:t>BNB是币安平台币，币安的核心收入来自现货及合约交易手续费，与BTC/ETH的交易量高度相关。当BTC/ETH价格上涨时，市场交易情绪上升，交易量放大，BNB受益于平台收入增长。另外，BNB还承担币安智能链（BSC）的Gas费功能，BSC生态活跃度也影响其估值。该配对的核心逻辑是：平台币的估值应当与主要交易品种（BTC+ETH）的活跃度保持合理比例。</w:t>
      </w:r>
    </w:p>
    <w:p w14:paraId="0EFF0412">
      <w:pPr>
        <w:spacing w:before="20" w:after="40"/>
      </w:pPr>
      <w:r>
        <w:rPr>
          <w:rFonts w:ascii="Arial" w:hAnsi="Arial" w:eastAsia="微软雅黑"/>
          <w:b w:val="0"/>
          <w:color w:val="667788"/>
          <w:sz w:val="20"/>
        </w:rPr>
        <w:t>理论保质期：全球监管趋严可能导致币安市场份额下降，或BNB被认定为证券的司法裁决会改变其估值框架。另外，若币安市场份额被OKX/DYdX等竞对大幅侵蚀，BNB的估值锚点将从BTC/ETH转向平台自身基本面。</w:t>
      </w:r>
    </w:p>
    <w:p w14:paraId="02A24444">
      <w:r>
        <w:br w:type="page"/>
      </w:r>
    </w:p>
    <w:p w14:paraId="24898257">
      <w:pPr>
        <w:pStyle w:val="3"/>
      </w:pPr>
      <w:r>
        <w:rPr>
          <w:color w:val="003366"/>
        </w:rPr>
        <w:t>第二章  因子模型构建与验证</w:t>
      </w:r>
    </w:p>
    <w:p w14:paraId="2F6092E1">
      <w:pPr>
        <w:spacing w:before="40" w:after="40"/>
      </w:pPr>
      <w:r>
        <w:rPr>
          <w:rFonts w:ascii="Arial" w:hAnsi="Arial" w:eastAsia="微软雅黑"/>
          <w:b w:val="0"/>
          <w:sz w:val="22"/>
        </w:rPr>
        <w:t>采用Ridge回归（α=0.01）滚动估计，窗口90个交易日/步长22天。Ridge回归通过L2正则化有效处理因子共线性——当BTC与ETH高度相关时，OLS的β估计会剧烈波动，而Ridge通过惩罚大系数使估计更稳定。这一设计是本回测框架的核心技术优势。</w:t>
      </w:r>
    </w:p>
    <w:p w14:paraId="483DD239">
      <w:pPr>
        <w:pStyle w:val="4"/>
      </w:pPr>
      <w:r>
        <w:rPr>
          <w:color w:val="003366"/>
        </w:rPr>
        <w:t>2.1  模型质量表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1A6C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008B80"/>
          </w:tcPr>
          <w:p w14:paraId="5DD1564D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1881" w:type="dxa"/>
            <w:shd w:val="clear" w:color="auto" w:fill="008B80"/>
          </w:tcPr>
          <w:p w14:paraId="06AD3C49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因子组合</w:t>
            </w:r>
          </w:p>
        </w:tc>
        <w:tc>
          <w:tcPr>
            <w:tcW w:w="1881" w:type="dxa"/>
            <w:shd w:val="clear" w:color="auto" w:fill="008B80"/>
          </w:tcPr>
          <w:p w14:paraId="15A58073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R²均值</w:t>
            </w:r>
          </w:p>
        </w:tc>
        <w:tc>
          <w:tcPr>
            <w:tcW w:w="1881" w:type="dxa"/>
            <w:shd w:val="clear" w:color="auto" w:fill="008B80"/>
          </w:tcPr>
          <w:p w14:paraId="3FF4EFA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ADF p</w:t>
            </w:r>
          </w:p>
        </w:tc>
        <w:tc>
          <w:tcPr>
            <w:tcW w:w="1881" w:type="dxa"/>
            <w:shd w:val="clear" w:color="auto" w:fill="008B80"/>
          </w:tcPr>
          <w:p w14:paraId="7C5479B7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通过</w:t>
            </w:r>
          </w:p>
        </w:tc>
      </w:tr>
      <w:tr w14:paraId="0ED2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24E9B3B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NVDA</w:t>
            </w:r>
          </w:p>
        </w:tc>
        <w:tc>
          <w:tcPr>
            <w:tcW w:w="1881" w:type="dxa"/>
            <w:shd w:val="clear" w:color="auto" w:fill="F0F4F8"/>
          </w:tcPr>
          <w:p w14:paraId="47E276D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  <w:shd w:val="clear" w:color="auto" w:fill="F0F4F8"/>
          </w:tcPr>
          <w:p w14:paraId="4A11ABE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0.676</w:t>
            </w:r>
          </w:p>
        </w:tc>
        <w:tc>
          <w:tcPr>
            <w:tcW w:w="1881" w:type="dxa"/>
            <w:shd w:val="clear" w:color="auto" w:fill="F0F4F8"/>
          </w:tcPr>
          <w:p w14:paraId="171E143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13FBE34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2D51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D522D1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</w:t>
            </w:r>
          </w:p>
        </w:tc>
        <w:tc>
          <w:tcPr>
            <w:tcW w:w="1881" w:type="dxa"/>
          </w:tcPr>
          <w:p w14:paraId="3438D62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</w:tcPr>
          <w:p w14:paraId="054CAC2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0.638</w:t>
            </w:r>
          </w:p>
        </w:tc>
        <w:tc>
          <w:tcPr>
            <w:tcW w:w="1881" w:type="dxa"/>
          </w:tcPr>
          <w:p w14:paraId="35B4CA3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696B124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5104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128C00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SOL</w:t>
            </w:r>
          </w:p>
        </w:tc>
        <w:tc>
          <w:tcPr>
            <w:tcW w:w="1881" w:type="dxa"/>
            <w:shd w:val="clear" w:color="auto" w:fill="F0F4F8"/>
          </w:tcPr>
          <w:p w14:paraId="2C8C43E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</w:t>
            </w:r>
          </w:p>
        </w:tc>
        <w:tc>
          <w:tcPr>
            <w:tcW w:w="1881" w:type="dxa"/>
            <w:shd w:val="clear" w:color="auto" w:fill="F0F4F8"/>
          </w:tcPr>
          <w:p w14:paraId="0510FD9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0.625</w:t>
            </w:r>
          </w:p>
        </w:tc>
        <w:tc>
          <w:tcPr>
            <w:tcW w:w="1881" w:type="dxa"/>
            <w:shd w:val="clear" w:color="auto" w:fill="F0F4F8"/>
          </w:tcPr>
          <w:p w14:paraId="01BE72D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1AE9BE9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0642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E13679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LINK</w:t>
            </w:r>
          </w:p>
        </w:tc>
        <w:tc>
          <w:tcPr>
            <w:tcW w:w="1881" w:type="dxa"/>
          </w:tcPr>
          <w:p w14:paraId="4E6FB2E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</w:tcPr>
          <w:p w14:paraId="00E3B1B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0.613</w:t>
            </w:r>
          </w:p>
        </w:tc>
        <w:tc>
          <w:tcPr>
            <w:tcW w:w="1881" w:type="dxa"/>
          </w:tcPr>
          <w:p w14:paraId="67905BF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075BC9E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4454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CDBF36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ADA</w:t>
            </w:r>
          </w:p>
        </w:tc>
        <w:tc>
          <w:tcPr>
            <w:tcW w:w="1881" w:type="dxa"/>
            <w:shd w:val="clear" w:color="auto" w:fill="F0F4F8"/>
          </w:tcPr>
          <w:p w14:paraId="394B756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</w:t>
            </w:r>
          </w:p>
        </w:tc>
        <w:tc>
          <w:tcPr>
            <w:tcW w:w="1881" w:type="dxa"/>
            <w:shd w:val="clear" w:color="auto" w:fill="F0F4F8"/>
          </w:tcPr>
          <w:p w14:paraId="5B5DA83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0.613</w:t>
            </w:r>
          </w:p>
        </w:tc>
        <w:tc>
          <w:tcPr>
            <w:tcW w:w="1881" w:type="dxa"/>
            <w:shd w:val="clear" w:color="auto" w:fill="F0F4F8"/>
          </w:tcPr>
          <w:p w14:paraId="4E5B2E0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64F45CB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6813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AD4AA6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AVAX</w:t>
            </w:r>
          </w:p>
        </w:tc>
        <w:tc>
          <w:tcPr>
            <w:tcW w:w="1881" w:type="dxa"/>
          </w:tcPr>
          <w:p w14:paraId="3170E69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</w:t>
            </w:r>
          </w:p>
        </w:tc>
        <w:tc>
          <w:tcPr>
            <w:tcW w:w="1881" w:type="dxa"/>
          </w:tcPr>
          <w:p w14:paraId="1CFE7C4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0.599</w:t>
            </w:r>
          </w:p>
        </w:tc>
        <w:tc>
          <w:tcPr>
            <w:tcW w:w="1881" w:type="dxa"/>
          </w:tcPr>
          <w:p w14:paraId="747162E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1B38F7A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167A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28CEDEC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LDO</w:t>
            </w:r>
          </w:p>
        </w:tc>
        <w:tc>
          <w:tcPr>
            <w:tcW w:w="1881" w:type="dxa"/>
            <w:shd w:val="clear" w:color="auto" w:fill="F0F4F8"/>
          </w:tcPr>
          <w:p w14:paraId="54D9AD2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  <w:shd w:val="clear" w:color="auto" w:fill="F0F4F8"/>
          </w:tcPr>
          <w:p w14:paraId="6AA5CD5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0.595</w:t>
            </w:r>
          </w:p>
        </w:tc>
        <w:tc>
          <w:tcPr>
            <w:tcW w:w="1881" w:type="dxa"/>
            <w:shd w:val="clear" w:color="auto" w:fill="F0F4F8"/>
          </w:tcPr>
          <w:p w14:paraId="2EDA654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3E36D24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1BDF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CA512A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AAVE</w:t>
            </w:r>
          </w:p>
        </w:tc>
        <w:tc>
          <w:tcPr>
            <w:tcW w:w="1881" w:type="dxa"/>
          </w:tcPr>
          <w:p w14:paraId="6CA8F37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</w:tcPr>
          <w:p w14:paraId="7EE0BB0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0.569</w:t>
            </w:r>
          </w:p>
        </w:tc>
        <w:tc>
          <w:tcPr>
            <w:tcW w:w="1881" w:type="dxa"/>
          </w:tcPr>
          <w:p w14:paraId="06E9B4B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6D7A809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2F2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4F665AD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AMD</w:t>
            </w:r>
          </w:p>
        </w:tc>
        <w:tc>
          <w:tcPr>
            <w:tcW w:w="1881" w:type="dxa"/>
            <w:shd w:val="clear" w:color="auto" w:fill="F0F4F8"/>
          </w:tcPr>
          <w:p w14:paraId="3CE4CE4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  <w:shd w:val="clear" w:color="auto" w:fill="F0F4F8"/>
          </w:tcPr>
          <w:p w14:paraId="42F1CE5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0.559</w:t>
            </w:r>
          </w:p>
        </w:tc>
        <w:tc>
          <w:tcPr>
            <w:tcW w:w="1881" w:type="dxa"/>
            <w:shd w:val="clear" w:color="auto" w:fill="F0F4F8"/>
          </w:tcPr>
          <w:p w14:paraId="1CBD9C0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519EBC3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4734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B07D62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DOGE</w:t>
            </w:r>
          </w:p>
        </w:tc>
        <w:tc>
          <w:tcPr>
            <w:tcW w:w="1881" w:type="dxa"/>
          </w:tcPr>
          <w:p w14:paraId="2FC6C10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</w:t>
            </w:r>
          </w:p>
        </w:tc>
        <w:tc>
          <w:tcPr>
            <w:tcW w:w="1881" w:type="dxa"/>
          </w:tcPr>
          <w:p w14:paraId="7B9C539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0.557</w:t>
            </w:r>
          </w:p>
        </w:tc>
        <w:tc>
          <w:tcPr>
            <w:tcW w:w="1881" w:type="dxa"/>
          </w:tcPr>
          <w:p w14:paraId="6839604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6562D7C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3F1D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97615C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BNB</w:t>
            </w:r>
          </w:p>
        </w:tc>
        <w:tc>
          <w:tcPr>
            <w:tcW w:w="1881" w:type="dxa"/>
            <w:shd w:val="clear" w:color="auto" w:fill="F0F4F8"/>
          </w:tcPr>
          <w:p w14:paraId="704194D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</w:t>
            </w:r>
          </w:p>
        </w:tc>
        <w:tc>
          <w:tcPr>
            <w:tcW w:w="1881" w:type="dxa"/>
            <w:shd w:val="clear" w:color="auto" w:fill="F0F4F8"/>
          </w:tcPr>
          <w:p w14:paraId="603398C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0.542</w:t>
            </w:r>
          </w:p>
        </w:tc>
        <w:tc>
          <w:tcPr>
            <w:tcW w:w="1881" w:type="dxa"/>
            <w:shd w:val="clear" w:color="auto" w:fill="F0F4F8"/>
          </w:tcPr>
          <w:p w14:paraId="6E4E6E9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1500A8D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1161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8BABDB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UNI</w:t>
            </w:r>
          </w:p>
        </w:tc>
        <w:tc>
          <w:tcPr>
            <w:tcW w:w="1881" w:type="dxa"/>
          </w:tcPr>
          <w:p w14:paraId="71FB0AE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</w:tcPr>
          <w:p w14:paraId="37CEFA2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0.540</w:t>
            </w:r>
          </w:p>
        </w:tc>
        <w:tc>
          <w:tcPr>
            <w:tcW w:w="1881" w:type="dxa"/>
          </w:tcPr>
          <w:p w14:paraId="75A0EE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33ABD5C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7357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4C74979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OP</w:t>
            </w:r>
          </w:p>
        </w:tc>
        <w:tc>
          <w:tcPr>
            <w:tcW w:w="1881" w:type="dxa"/>
            <w:shd w:val="clear" w:color="auto" w:fill="F0F4F8"/>
          </w:tcPr>
          <w:p w14:paraId="184D2DA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ETH+BTC</w:t>
            </w:r>
          </w:p>
        </w:tc>
        <w:tc>
          <w:tcPr>
            <w:tcW w:w="1881" w:type="dxa"/>
            <w:shd w:val="clear" w:color="auto" w:fill="F0F4F8"/>
          </w:tcPr>
          <w:p w14:paraId="3F62793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0.537</w:t>
            </w:r>
          </w:p>
        </w:tc>
        <w:tc>
          <w:tcPr>
            <w:tcW w:w="1881" w:type="dxa"/>
            <w:shd w:val="clear" w:color="auto" w:fill="F0F4F8"/>
          </w:tcPr>
          <w:p w14:paraId="35FCFBE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71807E9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7531B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5A0C23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AMZN</w:t>
            </w:r>
          </w:p>
        </w:tc>
        <w:tc>
          <w:tcPr>
            <w:tcW w:w="1881" w:type="dxa"/>
          </w:tcPr>
          <w:p w14:paraId="7D3DA2F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</w:tcPr>
          <w:p w14:paraId="25A658A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0.536</w:t>
            </w:r>
          </w:p>
        </w:tc>
        <w:tc>
          <w:tcPr>
            <w:tcW w:w="1881" w:type="dxa"/>
          </w:tcPr>
          <w:p w14:paraId="715365A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309AFE2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1251E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22F1EDC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MSTR</w:t>
            </w:r>
          </w:p>
        </w:tc>
        <w:tc>
          <w:tcPr>
            <w:tcW w:w="1881" w:type="dxa"/>
            <w:shd w:val="clear" w:color="auto" w:fill="F0F4F8"/>
          </w:tcPr>
          <w:p w14:paraId="7F27449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BTC+QQQ</w:t>
            </w:r>
          </w:p>
        </w:tc>
        <w:tc>
          <w:tcPr>
            <w:tcW w:w="1881" w:type="dxa"/>
            <w:shd w:val="clear" w:color="auto" w:fill="F0F4F8"/>
          </w:tcPr>
          <w:p w14:paraId="5E26EDC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0.535</w:t>
            </w:r>
          </w:p>
        </w:tc>
        <w:tc>
          <w:tcPr>
            <w:tcW w:w="1881" w:type="dxa"/>
            <w:shd w:val="clear" w:color="auto" w:fill="F0F4F8"/>
          </w:tcPr>
          <w:p w14:paraId="76B758E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5B6292A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32B4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36D36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MSFT</w:t>
            </w:r>
          </w:p>
        </w:tc>
        <w:tc>
          <w:tcPr>
            <w:tcW w:w="1881" w:type="dxa"/>
          </w:tcPr>
          <w:p w14:paraId="05AF0AA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</w:tcPr>
          <w:p w14:paraId="0D8A485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0.529</w:t>
            </w:r>
          </w:p>
        </w:tc>
        <w:tc>
          <w:tcPr>
            <w:tcW w:w="1881" w:type="dxa"/>
          </w:tcPr>
          <w:p w14:paraId="2F9681A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0E3EC6E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通过</w:t>
            </w:r>
          </w:p>
        </w:tc>
      </w:tr>
      <w:tr w14:paraId="3543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426B4AD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XRP</w:t>
            </w:r>
          </w:p>
        </w:tc>
        <w:tc>
          <w:tcPr>
            <w:tcW w:w="1881" w:type="dxa"/>
            <w:shd w:val="clear" w:color="auto" w:fill="F0F4F8"/>
          </w:tcPr>
          <w:p w14:paraId="75425B0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</w:t>
            </w:r>
          </w:p>
        </w:tc>
        <w:tc>
          <w:tcPr>
            <w:tcW w:w="1881" w:type="dxa"/>
            <w:shd w:val="clear" w:color="auto" w:fill="F0F4F8"/>
          </w:tcPr>
          <w:p w14:paraId="01FC0E4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0.471</w:t>
            </w:r>
          </w:p>
        </w:tc>
        <w:tc>
          <w:tcPr>
            <w:tcW w:w="1881" w:type="dxa"/>
            <w:shd w:val="clear" w:color="auto" w:fill="F0F4F8"/>
          </w:tcPr>
          <w:p w14:paraId="1708E42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0490E96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1D20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55732F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COIN</w:t>
            </w:r>
          </w:p>
        </w:tc>
        <w:tc>
          <w:tcPr>
            <w:tcW w:w="1881" w:type="dxa"/>
          </w:tcPr>
          <w:p w14:paraId="1FA092F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BTC+ETH+QQQ</w:t>
            </w:r>
          </w:p>
        </w:tc>
        <w:tc>
          <w:tcPr>
            <w:tcW w:w="1881" w:type="dxa"/>
          </w:tcPr>
          <w:p w14:paraId="533B23F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0.454</w:t>
            </w:r>
          </w:p>
        </w:tc>
        <w:tc>
          <w:tcPr>
            <w:tcW w:w="1881" w:type="dxa"/>
          </w:tcPr>
          <w:p w14:paraId="5203C3D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4E72AAF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0FE7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5E1D72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META</w:t>
            </w:r>
          </w:p>
        </w:tc>
        <w:tc>
          <w:tcPr>
            <w:tcW w:w="1881" w:type="dxa"/>
            <w:shd w:val="clear" w:color="auto" w:fill="F0F4F8"/>
          </w:tcPr>
          <w:p w14:paraId="0C5474D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  <w:shd w:val="clear" w:color="auto" w:fill="F0F4F8"/>
          </w:tcPr>
          <w:p w14:paraId="2E956E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0.440</w:t>
            </w:r>
          </w:p>
        </w:tc>
        <w:tc>
          <w:tcPr>
            <w:tcW w:w="1881" w:type="dxa"/>
            <w:shd w:val="clear" w:color="auto" w:fill="F0F4F8"/>
          </w:tcPr>
          <w:p w14:paraId="0DBD217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13A8BC2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5A69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89861E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AAPL</w:t>
            </w:r>
          </w:p>
        </w:tc>
        <w:tc>
          <w:tcPr>
            <w:tcW w:w="1881" w:type="dxa"/>
          </w:tcPr>
          <w:p w14:paraId="6F9A927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</w:tcPr>
          <w:p w14:paraId="2A4C254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0.434</w:t>
            </w:r>
          </w:p>
        </w:tc>
        <w:tc>
          <w:tcPr>
            <w:tcW w:w="1881" w:type="dxa"/>
          </w:tcPr>
          <w:p w14:paraId="439141A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5242709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2C91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6C0A40C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GOOGL</w:t>
            </w:r>
          </w:p>
        </w:tc>
        <w:tc>
          <w:tcPr>
            <w:tcW w:w="1881" w:type="dxa"/>
            <w:shd w:val="clear" w:color="auto" w:fill="F0F4F8"/>
          </w:tcPr>
          <w:p w14:paraId="35E30CB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  <w:shd w:val="clear" w:color="auto" w:fill="F0F4F8"/>
          </w:tcPr>
          <w:p w14:paraId="130AF9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0.424</w:t>
            </w:r>
          </w:p>
        </w:tc>
        <w:tc>
          <w:tcPr>
            <w:tcW w:w="1881" w:type="dxa"/>
            <w:shd w:val="clear" w:color="auto" w:fill="F0F4F8"/>
          </w:tcPr>
          <w:p w14:paraId="1D21E01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18F6CBD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3266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B220D3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MARA</w:t>
            </w:r>
          </w:p>
        </w:tc>
        <w:tc>
          <w:tcPr>
            <w:tcW w:w="1881" w:type="dxa"/>
          </w:tcPr>
          <w:p w14:paraId="27448E9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BTC+SMH</w:t>
            </w:r>
          </w:p>
        </w:tc>
        <w:tc>
          <w:tcPr>
            <w:tcW w:w="1881" w:type="dxa"/>
          </w:tcPr>
          <w:p w14:paraId="29F0E1E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0.421</w:t>
            </w:r>
          </w:p>
        </w:tc>
        <w:tc>
          <w:tcPr>
            <w:tcW w:w="1881" w:type="dxa"/>
          </w:tcPr>
          <w:p w14:paraId="2793588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04ACF4E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43DF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279D758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RIOT</w:t>
            </w:r>
          </w:p>
        </w:tc>
        <w:tc>
          <w:tcPr>
            <w:tcW w:w="1881" w:type="dxa"/>
            <w:shd w:val="clear" w:color="auto" w:fill="F0F4F8"/>
          </w:tcPr>
          <w:p w14:paraId="69C1958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BTC+SMH</w:t>
            </w:r>
          </w:p>
        </w:tc>
        <w:tc>
          <w:tcPr>
            <w:tcW w:w="1881" w:type="dxa"/>
            <w:shd w:val="clear" w:color="auto" w:fill="F0F4F8"/>
          </w:tcPr>
          <w:p w14:paraId="672B55C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0.414</w:t>
            </w:r>
          </w:p>
        </w:tc>
        <w:tc>
          <w:tcPr>
            <w:tcW w:w="1881" w:type="dxa"/>
            <w:shd w:val="clear" w:color="auto" w:fill="F0F4F8"/>
          </w:tcPr>
          <w:p w14:paraId="053F29E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3069ADC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560B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61040E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CLSK</w:t>
            </w:r>
          </w:p>
        </w:tc>
        <w:tc>
          <w:tcPr>
            <w:tcW w:w="1881" w:type="dxa"/>
          </w:tcPr>
          <w:p w14:paraId="6A5D9AB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BTC+SMH</w:t>
            </w:r>
          </w:p>
        </w:tc>
        <w:tc>
          <w:tcPr>
            <w:tcW w:w="1881" w:type="dxa"/>
          </w:tcPr>
          <w:p w14:paraId="6451292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0.385</w:t>
            </w:r>
          </w:p>
        </w:tc>
        <w:tc>
          <w:tcPr>
            <w:tcW w:w="1881" w:type="dxa"/>
          </w:tcPr>
          <w:p w14:paraId="202D74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</w:tcPr>
          <w:p w14:paraId="0541A96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  <w:tr w14:paraId="2DD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570FA46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TSLA</w:t>
            </w:r>
          </w:p>
        </w:tc>
        <w:tc>
          <w:tcPr>
            <w:tcW w:w="1881" w:type="dxa"/>
            <w:shd w:val="clear" w:color="auto" w:fill="F0F4F8"/>
          </w:tcPr>
          <w:p w14:paraId="6436876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QQQ+SMH</w:t>
            </w:r>
          </w:p>
        </w:tc>
        <w:tc>
          <w:tcPr>
            <w:tcW w:w="1881" w:type="dxa"/>
            <w:shd w:val="clear" w:color="auto" w:fill="F0F4F8"/>
          </w:tcPr>
          <w:p w14:paraId="0DA97ED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0.369</w:t>
            </w:r>
          </w:p>
        </w:tc>
        <w:tc>
          <w:tcPr>
            <w:tcW w:w="1881" w:type="dxa"/>
            <w:shd w:val="clear" w:color="auto" w:fill="F0F4F8"/>
          </w:tcPr>
          <w:p w14:paraId="3A74A3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0.0000</w:t>
            </w:r>
          </w:p>
        </w:tc>
        <w:tc>
          <w:tcPr>
            <w:tcW w:w="1881" w:type="dxa"/>
            <w:shd w:val="clear" w:color="auto" w:fill="F0F4F8"/>
          </w:tcPr>
          <w:p w14:paraId="7C7F685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否</w:t>
            </w:r>
          </w:p>
        </w:tc>
      </w:tr>
    </w:tbl>
    <w:p w14:paraId="637E9E3E">
      <w:pPr>
        <w:spacing w:before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DC4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6C7AD810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2351" w:type="dxa"/>
            <w:shd w:val="clear" w:color="auto" w:fill="008B80"/>
          </w:tcPr>
          <w:p w14:paraId="668F91F5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β_BTC</w:t>
            </w:r>
          </w:p>
        </w:tc>
        <w:tc>
          <w:tcPr>
            <w:tcW w:w="2351" w:type="dxa"/>
            <w:shd w:val="clear" w:color="auto" w:fill="008B80"/>
          </w:tcPr>
          <w:p w14:paraId="3A73527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β_ETH</w:t>
            </w:r>
          </w:p>
        </w:tc>
        <w:tc>
          <w:tcPr>
            <w:tcW w:w="2351" w:type="dxa"/>
            <w:shd w:val="clear" w:color="auto" w:fill="008B80"/>
          </w:tcPr>
          <w:p w14:paraId="2AFDA8D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β_QQQ</w:t>
            </w:r>
          </w:p>
        </w:tc>
      </w:tr>
      <w:tr w14:paraId="49CB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0AAD084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NVDA</w:t>
            </w:r>
          </w:p>
        </w:tc>
        <w:tc>
          <w:tcPr>
            <w:tcW w:w="2351" w:type="dxa"/>
            <w:shd w:val="clear" w:color="auto" w:fill="F0F4F8"/>
          </w:tcPr>
          <w:p w14:paraId="1C47840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5B2FC4F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5DFEE51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0.28</w:t>
            </w:r>
          </w:p>
        </w:tc>
      </w:tr>
      <w:tr w14:paraId="3B0E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61D2D2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</w:t>
            </w:r>
          </w:p>
        </w:tc>
        <w:tc>
          <w:tcPr>
            <w:tcW w:w="2351" w:type="dxa"/>
          </w:tcPr>
          <w:p w14:paraId="2C034F3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0.22</w:t>
            </w:r>
          </w:p>
        </w:tc>
        <w:tc>
          <w:tcPr>
            <w:tcW w:w="2351" w:type="dxa"/>
          </w:tcPr>
          <w:p w14:paraId="1A180FC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0.98</w:t>
            </w:r>
          </w:p>
        </w:tc>
        <w:tc>
          <w:tcPr>
            <w:tcW w:w="2351" w:type="dxa"/>
          </w:tcPr>
          <w:p w14:paraId="22CC871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2479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7BE0242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SOL</w:t>
            </w:r>
          </w:p>
        </w:tc>
        <w:tc>
          <w:tcPr>
            <w:tcW w:w="2351" w:type="dxa"/>
            <w:shd w:val="clear" w:color="auto" w:fill="F0F4F8"/>
          </w:tcPr>
          <w:p w14:paraId="08A6025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0.65</w:t>
            </w:r>
          </w:p>
        </w:tc>
        <w:tc>
          <w:tcPr>
            <w:tcW w:w="2351" w:type="dxa"/>
            <w:shd w:val="clear" w:color="auto" w:fill="F0F4F8"/>
          </w:tcPr>
          <w:p w14:paraId="0AEC341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0.55</w:t>
            </w:r>
          </w:p>
        </w:tc>
        <w:tc>
          <w:tcPr>
            <w:tcW w:w="2351" w:type="dxa"/>
            <w:shd w:val="clear" w:color="auto" w:fill="F0F4F8"/>
          </w:tcPr>
          <w:p w14:paraId="14B2630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18B6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334CD8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LINK</w:t>
            </w:r>
          </w:p>
        </w:tc>
        <w:tc>
          <w:tcPr>
            <w:tcW w:w="2351" w:type="dxa"/>
          </w:tcPr>
          <w:p w14:paraId="23E898A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0.39</w:t>
            </w:r>
          </w:p>
        </w:tc>
        <w:tc>
          <w:tcPr>
            <w:tcW w:w="2351" w:type="dxa"/>
          </w:tcPr>
          <w:p w14:paraId="06977C5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0.72</w:t>
            </w:r>
          </w:p>
        </w:tc>
        <w:tc>
          <w:tcPr>
            <w:tcW w:w="2351" w:type="dxa"/>
          </w:tcPr>
          <w:p w14:paraId="0C2CEF1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3C7D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38B3A62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ADA</w:t>
            </w:r>
          </w:p>
        </w:tc>
        <w:tc>
          <w:tcPr>
            <w:tcW w:w="2351" w:type="dxa"/>
            <w:shd w:val="clear" w:color="auto" w:fill="F0F4F8"/>
          </w:tcPr>
          <w:p w14:paraId="225BDEA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0.49</w:t>
            </w:r>
          </w:p>
        </w:tc>
        <w:tc>
          <w:tcPr>
            <w:tcW w:w="2351" w:type="dxa"/>
            <w:shd w:val="clear" w:color="auto" w:fill="F0F4F8"/>
          </w:tcPr>
          <w:p w14:paraId="29D10DA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0.58</w:t>
            </w:r>
          </w:p>
        </w:tc>
        <w:tc>
          <w:tcPr>
            <w:tcW w:w="2351" w:type="dxa"/>
            <w:shd w:val="clear" w:color="auto" w:fill="F0F4F8"/>
          </w:tcPr>
          <w:p w14:paraId="26E5855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4EBE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696DC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AVAX</w:t>
            </w:r>
          </w:p>
        </w:tc>
        <w:tc>
          <w:tcPr>
            <w:tcW w:w="2351" w:type="dxa"/>
          </w:tcPr>
          <w:p w14:paraId="4CEF2CD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0.55</w:t>
            </w:r>
          </w:p>
        </w:tc>
        <w:tc>
          <w:tcPr>
            <w:tcW w:w="2351" w:type="dxa"/>
          </w:tcPr>
          <w:p w14:paraId="33C3418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0.62</w:t>
            </w:r>
          </w:p>
        </w:tc>
        <w:tc>
          <w:tcPr>
            <w:tcW w:w="2351" w:type="dxa"/>
          </w:tcPr>
          <w:p w14:paraId="64804B3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78DA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55E50E1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LDO</w:t>
            </w:r>
          </w:p>
        </w:tc>
        <w:tc>
          <w:tcPr>
            <w:tcW w:w="2351" w:type="dxa"/>
            <w:shd w:val="clear" w:color="auto" w:fill="F0F4F8"/>
          </w:tcPr>
          <w:p w14:paraId="2EA4E15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0.13</w:t>
            </w:r>
          </w:p>
        </w:tc>
        <w:tc>
          <w:tcPr>
            <w:tcW w:w="2351" w:type="dxa"/>
            <w:shd w:val="clear" w:color="auto" w:fill="F0F4F8"/>
          </w:tcPr>
          <w:p w14:paraId="0EF6F84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1.19</w:t>
            </w:r>
          </w:p>
        </w:tc>
        <w:tc>
          <w:tcPr>
            <w:tcW w:w="2351" w:type="dxa"/>
            <w:shd w:val="clear" w:color="auto" w:fill="F0F4F8"/>
          </w:tcPr>
          <w:p w14:paraId="77D619C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55E0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815737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AAVE</w:t>
            </w:r>
          </w:p>
        </w:tc>
        <w:tc>
          <w:tcPr>
            <w:tcW w:w="2351" w:type="dxa"/>
          </w:tcPr>
          <w:p w14:paraId="5500C8E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0.27</w:t>
            </w:r>
          </w:p>
        </w:tc>
        <w:tc>
          <w:tcPr>
            <w:tcW w:w="2351" w:type="dxa"/>
          </w:tcPr>
          <w:p w14:paraId="0AF9867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0.81</w:t>
            </w:r>
          </w:p>
        </w:tc>
        <w:tc>
          <w:tcPr>
            <w:tcW w:w="2351" w:type="dxa"/>
          </w:tcPr>
          <w:p w14:paraId="727404E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1AD8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2C7FD30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AMD</w:t>
            </w:r>
          </w:p>
        </w:tc>
        <w:tc>
          <w:tcPr>
            <w:tcW w:w="2351" w:type="dxa"/>
            <w:shd w:val="clear" w:color="auto" w:fill="F0F4F8"/>
          </w:tcPr>
          <w:p w14:paraId="580BA03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434BC7D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5897F10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0.33</w:t>
            </w:r>
          </w:p>
        </w:tc>
      </w:tr>
      <w:tr w14:paraId="74C2F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89DB22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DOGE</w:t>
            </w:r>
          </w:p>
        </w:tc>
        <w:tc>
          <w:tcPr>
            <w:tcW w:w="2351" w:type="dxa"/>
          </w:tcPr>
          <w:p w14:paraId="55514F4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1.28</w:t>
            </w:r>
          </w:p>
        </w:tc>
        <w:tc>
          <w:tcPr>
            <w:tcW w:w="2351" w:type="dxa"/>
          </w:tcPr>
          <w:p w14:paraId="69AF098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28B8A0E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33E65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68D1608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BNB</w:t>
            </w:r>
          </w:p>
        </w:tc>
        <w:tc>
          <w:tcPr>
            <w:tcW w:w="2351" w:type="dxa"/>
            <w:shd w:val="clear" w:color="auto" w:fill="F0F4F8"/>
          </w:tcPr>
          <w:p w14:paraId="16F36D6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0.32</w:t>
            </w:r>
          </w:p>
        </w:tc>
        <w:tc>
          <w:tcPr>
            <w:tcW w:w="2351" w:type="dxa"/>
            <w:shd w:val="clear" w:color="auto" w:fill="F0F4F8"/>
          </w:tcPr>
          <w:p w14:paraId="5564E1E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0.32</w:t>
            </w:r>
          </w:p>
        </w:tc>
        <w:tc>
          <w:tcPr>
            <w:tcW w:w="2351" w:type="dxa"/>
            <w:shd w:val="clear" w:color="auto" w:fill="F0F4F8"/>
          </w:tcPr>
          <w:p w14:paraId="388CDD1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2A8A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F2D817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UNI</w:t>
            </w:r>
          </w:p>
        </w:tc>
        <w:tc>
          <w:tcPr>
            <w:tcW w:w="2351" w:type="dxa"/>
          </w:tcPr>
          <w:p w14:paraId="0E5F6E7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0.31</w:t>
            </w:r>
          </w:p>
        </w:tc>
        <w:tc>
          <w:tcPr>
            <w:tcW w:w="2351" w:type="dxa"/>
          </w:tcPr>
          <w:p w14:paraId="5D19FBA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0.80</w:t>
            </w:r>
          </w:p>
        </w:tc>
        <w:tc>
          <w:tcPr>
            <w:tcW w:w="2351" w:type="dxa"/>
          </w:tcPr>
          <w:p w14:paraId="5B50146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5088E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52154A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OP</w:t>
            </w:r>
          </w:p>
        </w:tc>
        <w:tc>
          <w:tcPr>
            <w:tcW w:w="2351" w:type="dxa"/>
            <w:shd w:val="clear" w:color="auto" w:fill="F0F4F8"/>
          </w:tcPr>
          <w:p w14:paraId="4BAC34A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0.23</w:t>
            </w:r>
          </w:p>
        </w:tc>
        <w:tc>
          <w:tcPr>
            <w:tcW w:w="2351" w:type="dxa"/>
            <w:shd w:val="clear" w:color="auto" w:fill="F0F4F8"/>
          </w:tcPr>
          <w:p w14:paraId="304CDE7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0.96</w:t>
            </w:r>
          </w:p>
        </w:tc>
        <w:tc>
          <w:tcPr>
            <w:tcW w:w="2351" w:type="dxa"/>
            <w:shd w:val="clear" w:color="auto" w:fill="F0F4F8"/>
          </w:tcPr>
          <w:p w14:paraId="1430190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45CE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CE6FC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AMZN</w:t>
            </w:r>
          </w:p>
        </w:tc>
        <w:tc>
          <w:tcPr>
            <w:tcW w:w="2351" w:type="dxa"/>
          </w:tcPr>
          <w:p w14:paraId="0D0ECDF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3C2AD70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50DA981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1.28</w:t>
            </w:r>
          </w:p>
        </w:tc>
      </w:tr>
      <w:tr w14:paraId="2BFF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1910311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MSTR</w:t>
            </w:r>
          </w:p>
        </w:tc>
        <w:tc>
          <w:tcPr>
            <w:tcW w:w="2351" w:type="dxa"/>
            <w:shd w:val="clear" w:color="auto" w:fill="F0F4F8"/>
          </w:tcPr>
          <w:p w14:paraId="37FA008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1.13</w:t>
            </w:r>
          </w:p>
        </w:tc>
        <w:tc>
          <w:tcPr>
            <w:tcW w:w="2351" w:type="dxa"/>
            <w:shd w:val="clear" w:color="auto" w:fill="F0F4F8"/>
          </w:tcPr>
          <w:p w14:paraId="720AF23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40F83D1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0.77</w:t>
            </w:r>
          </w:p>
        </w:tc>
      </w:tr>
      <w:tr w14:paraId="48ED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007E0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MSFT</w:t>
            </w:r>
          </w:p>
        </w:tc>
        <w:tc>
          <w:tcPr>
            <w:tcW w:w="2351" w:type="dxa"/>
          </w:tcPr>
          <w:p w14:paraId="1213967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062FCDC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45C1D68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1.01</w:t>
            </w:r>
          </w:p>
        </w:tc>
      </w:tr>
      <w:tr w14:paraId="592AC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5D606B1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XRP</w:t>
            </w:r>
          </w:p>
        </w:tc>
        <w:tc>
          <w:tcPr>
            <w:tcW w:w="2351" w:type="dxa"/>
            <w:shd w:val="clear" w:color="auto" w:fill="F0F4F8"/>
          </w:tcPr>
          <w:p w14:paraId="489F8E4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0.50</w:t>
            </w:r>
          </w:p>
        </w:tc>
        <w:tc>
          <w:tcPr>
            <w:tcW w:w="2351" w:type="dxa"/>
            <w:shd w:val="clear" w:color="auto" w:fill="F0F4F8"/>
          </w:tcPr>
          <w:p w14:paraId="4890D34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0.38</w:t>
            </w:r>
          </w:p>
        </w:tc>
        <w:tc>
          <w:tcPr>
            <w:tcW w:w="2351" w:type="dxa"/>
            <w:shd w:val="clear" w:color="auto" w:fill="F0F4F8"/>
          </w:tcPr>
          <w:p w14:paraId="0D1F51C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3F2C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077EEE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COIN</w:t>
            </w:r>
          </w:p>
        </w:tc>
        <w:tc>
          <w:tcPr>
            <w:tcW w:w="2351" w:type="dxa"/>
          </w:tcPr>
          <w:p w14:paraId="4A2A016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0.55</w:t>
            </w:r>
          </w:p>
        </w:tc>
        <w:tc>
          <w:tcPr>
            <w:tcW w:w="2351" w:type="dxa"/>
          </w:tcPr>
          <w:p w14:paraId="5B48D67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0.26</w:t>
            </w:r>
          </w:p>
        </w:tc>
        <w:tc>
          <w:tcPr>
            <w:tcW w:w="2351" w:type="dxa"/>
          </w:tcPr>
          <w:p w14:paraId="687D641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0.98</w:t>
            </w:r>
          </w:p>
        </w:tc>
      </w:tr>
      <w:tr w14:paraId="7EA8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4459FA2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META</w:t>
            </w:r>
          </w:p>
        </w:tc>
        <w:tc>
          <w:tcPr>
            <w:tcW w:w="2351" w:type="dxa"/>
            <w:shd w:val="clear" w:color="auto" w:fill="F0F4F8"/>
          </w:tcPr>
          <w:p w14:paraId="23E8AF6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37C99D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23CCD82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1.24</w:t>
            </w:r>
          </w:p>
        </w:tc>
      </w:tr>
      <w:tr w14:paraId="46E6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BD6F7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AAPL</w:t>
            </w:r>
          </w:p>
        </w:tc>
        <w:tc>
          <w:tcPr>
            <w:tcW w:w="2351" w:type="dxa"/>
          </w:tcPr>
          <w:p w14:paraId="1C1373F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41E0BCA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58F15BE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0.96</w:t>
            </w:r>
          </w:p>
        </w:tc>
      </w:tr>
      <w:tr w14:paraId="74F2A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27FCD74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GOOGL</w:t>
            </w:r>
          </w:p>
        </w:tc>
        <w:tc>
          <w:tcPr>
            <w:tcW w:w="2351" w:type="dxa"/>
            <w:shd w:val="clear" w:color="auto" w:fill="F0F4F8"/>
          </w:tcPr>
          <w:p w14:paraId="7119DD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26BA8F0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0D97880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1.10</w:t>
            </w:r>
          </w:p>
        </w:tc>
      </w:tr>
      <w:tr w14:paraId="7968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0AB64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MARA</w:t>
            </w:r>
          </w:p>
        </w:tc>
        <w:tc>
          <w:tcPr>
            <w:tcW w:w="2351" w:type="dxa"/>
          </w:tcPr>
          <w:p w14:paraId="286EAA7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1.13</w:t>
            </w:r>
          </w:p>
        </w:tc>
        <w:tc>
          <w:tcPr>
            <w:tcW w:w="2351" w:type="dxa"/>
          </w:tcPr>
          <w:p w14:paraId="729DEF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7058C6E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7C24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69D06AF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RIOT</w:t>
            </w:r>
          </w:p>
        </w:tc>
        <w:tc>
          <w:tcPr>
            <w:tcW w:w="2351" w:type="dxa"/>
            <w:shd w:val="clear" w:color="auto" w:fill="F0F4F8"/>
          </w:tcPr>
          <w:p w14:paraId="392B95D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0.93</w:t>
            </w:r>
          </w:p>
        </w:tc>
        <w:tc>
          <w:tcPr>
            <w:tcW w:w="2351" w:type="dxa"/>
            <w:shd w:val="clear" w:color="auto" w:fill="F0F4F8"/>
          </w:tcPr>
          <w:p w14:paraId="281DAE9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4DB2865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10D7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5668E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CLSK</w:t>
            </w:r>
          </w:p>
        </w:tc>
        <w:tc>
          <w:tcPr>
            <w:tcW w:w="2351" w:type="dxa"/>
          </w:tcPr>
          <w:p w14:paraId="3F8CCD4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1.05</w:t>
            </w:r>
          </w:p>
        </w:tc>
        <w:tc>
          <w:tcPr>
            <w:tcW w:w="2351" w:type="dxa"/>
          </w:tcPr>
          <w:p w14:paraId="40BDAB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 w14:paraId="49AEBBB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</w:tr>
      <w:tr w14:paraId="2811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3ADED14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TSLA</w:t>
            </w:r>
          </w:p>
        </w:tc>
        <w:tc>
          <w:tcPr>
            <w:tcW w:w="2351" w:type="dxa"/>
            <w:shd w:val="clear" w:color="auto" w:fill="F0F4F8"/>
          </w:tcPr>
          <w:p w14:paraId="4856F47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03B5389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F0F4F8"/>
          </w:tcPr>
          <w:p w14:paraId="144D638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1.81</w:t>
            </w:r>
          </w:p>
        </w:tc>
      </w:tr>
    </w:tbl>
    <w:p w14:paraId="1DDC1B6B">
      <w:pPr>
        <w:spacing w:before="40"/>
      </w:pPr>
    </w:p>
    <w:p w14:paraId="3016A090">
      <w:pPr>
        <w:spacing w:before="40" w:after="40"/>
      </w:pPr>
      <w:r>
        <w:rPr>
          <w:rFonts w:ascii="Arial" w:hAnsi="Arial" w:eastAsia="微软雅黑"/>
          <w:b w:val="0"/>
          <w:color w:val="667788"/>
          <w:sz w:val="18"/>
        </w:rPr>
        <w:t>注: '-'表示该因子未纳入该资产的因子组合, 因此未估计其Beta值。例如NVDA仅配对QQQ+SMH, 故beta_BTC和beta_ETH为'-'。</w:t>
      </w:r>
    </w:p>
    <w:p w14:paraId="5AEBF5C4">
      <w:pPr>
        <w:spacing w:before="40" w:after="40"/>
      </w:pPr>
      <w:r>
        <w:rPr>
          <w:rFonts w:ascii="Arial" w:hAnsi="Arial" w:eastAsia="微软雅黑"/>
          <w:b w:val="0"/>
          <w:color w:val="667788"/>
          <w:sz w:val="20"/>
        </w:rPr>
        <w:t>Beta估计的可靠性: 由于Ridge回归通过L2正则化处理共线性, 传统OLS的P值不适用于Ridge系数。本报告通过变异系数(CoV=std/mean)衡量Beta稳定性: CoV&lt;0.5视为稳定, CoV&gt;1.0表明Beta时变性较大。从滚动Beta时序图(见output/figures/beta_*.png)可见, 多数资产的Beta在回测期内相对稳定, 无明显结构性突变。</w:t>
      </w:r>
    </w:p>
    <w:p w14:paraId="6102B363">
      <w:pPr>
        <w:pStyle w:val="4"/>
      </w:pPr>
      <w:r>
        <w:rPr>
          <w:color w:val="003366"/>
        </w:rPr>
        <w:t>2.2  关键发现</w:t>
      </w:r>
    </w:p>
    <w:p w14:paraId="1281B037">
      <w:pPr>
        <w:spacing w:before="40" w:after="40"/>
      </w:pPr>
      <w:r>
        <w:rPr>
          <w:rFonts w:ascii="Arial" w:hAnsi="Arial" w:eastAsia="微软雅黑"/>
          <w:b w:val="0"/>
          <w:sz w:val="22"/>
        </w:rPr>
        <w:t>R²中位数0.535，15/25个资产R²≥0.5。ADF检验全部通过（p&lt;0.05），残差序列均为平稳。Ljung-Box检验60%资产存在自相关，其中负自相关资产（如ARB、MSTR）残差回归速度更快，更适合本策略。Ridge vs OLS对比验证：Ridge的β时序平滑度显著优于OLS，且R²无显著下降（&lt;0.01）。</w:t>
      </w:r>
    </w:p>
    <w:p w14:paraId="75544D82">
      <w:pPr>
        <w:pStyle w:val="4"/>
      </w:pPr>
      <w:r>
        <w:rPr>
          <w:color w:val="003366"/>
        </w:rPr>
        <w:t>2.3  残差半衰期分析</w:t>
      </w:r>
    </w:p>
    <w:p w14:paraId="43948D57">
      <w:pPr>
        <w:spacing w:before="40" w:after="40"/>
      </w:pPr>
      <w:r>
        <w:rPr>
          <w:rFonts w:ascii="Arial" w:hAnsi="Arial" w:eastAsia="微软雅黑"/>
          <w:b w:val="0"/>
          <w:sz w:val="22"/>
        </w:rPr>
        <w:t>所有25个目标资产的残差半衰期均低于0.5天（范围0.1-0.4天）。上述半衰期分析揭示了本策略日频回测负收益的根本原因：残差的均值回归在4-8小时内完成，远快于日频采样间隔。因此，在日频持有期内，做空头寸的残差几乎始终为正（ε &gt; 0），导致每日PnL = -N×ε持续为负。日频数据无法捕捉'穿越零轴'的完整回归过程，这是策略失效的本质，而非参数选取问题。</w:t>
      </w:r>
    </w:p>
    <w:p w14:paraId="7F65050F">
      <w:pPr>
        <w:pStyle w:val="4"/>
      </w:pPr>
      <w:r>
        <w:rPr>
          <w:color w:val="003366"/>
        </w:rPr>
        <w:t>2.4  OLS vs Ridge对比验证</w:t>
      </w:r>
    </w:p>
    <w:p w14:paraId="6ECF7AB0">
      <w:pPr>
        <w:spacing w:before="40" w:after="40"/>
      </w:pPr>
      <w:r>
        <w:rPr>
          <w:rFonts w:ascii="Arial" w:hAnsi="Arial" w:eastAsia="微软雅黑"/>
          <w:b w:val="0"/>
          <w:sz w:val="22"/>
        </w:rPr>
        <w:t>为验证Ridge回归相对于OLS的优势, 选取COIN、MSTR、NVDA三个代表性资产进行对比。对比维度包括:(1)Beta时序平滑度——Ridge的L2正则化显著降低了相邻估计窗口间的Beta跳跃幅度; (2)R²差异——Ridge的R²相比OLS下降不超过0.01, 说明正则化未牺牲模型解释力; (3)极端值控制——OLS在BTC与ETH高度相关的时期产生异常Beta值(绝对值&gt;5), 而Ridge将其约束在合理范围内。</w:t>
      </w:r>
    </w:p>
    <w:p w14:paraId="0CEC79D1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图2-1: COIN OLS vs Ridge Beta对比</w:t>
      </w:r>
    </w:p>
    <w:p w14:paraId="587203CA">
      <w:pPr>
        <w:jc w:val="center"/>
      </w:pPr>
      <w:r>
        <w:drawing>
          <wp:inline distT="0" distB="0" distL="114300" distR="114300">
            <wp:extent cx="5399405" cy="38366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2251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图2-2: MSTR OLS vs Ridge Beta对比</w:t>
      </w:r>
    </w:p>
    <w:p w14:paraId="46905DA5">
      <w:pPr>
        <w:jc w:val="center"/>
      </w:pPr>
      <w:r>
        <w:drawing>
          <wp:inline distT="0" distB="0" distL="114300" distR="114300">
            <wp:extent cx="5399405" cy="383667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219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图2-3: NVDA OLS vs Ridge Beta对比</w:t>
      </w:r>
    </w:p>
    <w:p w14:paraId="69446A85">
      <w:pPr>
        <w:jc w:val="center"/>
      </w:pPr>
      <w:r>
        <w:drawing>
          <wp:inline distT="0" distB="0" distL="114300" distR="114300">
            <wp:extent cx="5399405" cy="3814445"/>
            <wp:effectExtent l="0" t="0" r="1079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188">
      <w:r>
        <w:br w:type="page"/>
      </w:r>
    </w:p>
    <w:p w14:paraId="1D925908">
      <w:pPr>
        <w:pStyle w:val="3"/>
      </w:pPr>
      <w:r>
        <w:rPr>
          <w:color w:val="003366"/>
        </w:rPr>
        <w:t>第三章  信号生成与质量评估</w:t>
      </w:r>
    </w:p>
    <w:p w14:paraId="39E75A7B">
      <w:pPr>
        <w:pStyle w:val="4"/>
      </w:pPr>
      <w:r>
        <w:rPr>
          <w:color w:val="003366"/>
        </w:rPr>
        <w:t>3.1  信号规则</w:t>
      </w:r>
    </w:p>
    <w:p w14:paraId="5E26A614">
      <w:pPr>
        <w:spacing w:before="40" w:after="40"/>
      </w:pPr>
      <w:r>
        <w:rPr>
          <w:rFonts w:ascii="Arial" w:hAnsi="Arial" w:eastAsia="微软雅黑"/>
          <w:b w:val="0"/>
          <w:sz w:val="22"/>
        </w:rPr>
        <w:t>入场：|z|&gt;2.0（残差超过2σ，做多/做空）| 平仓：|z|&lt;0.5（回归正常范围）| 止损：|z|&gt;3.0（回归失败）。z-score使用30天滚动窗口估计均值和标准差，仅使用当日之前的数据。</w:t>
      </w:r>
    </w:p>
    <w:p w14:paraId="1C590834">
      <w:pPr>
        <w:pStyle w:val="4"/>
      </w:pPr>
      <w:r>
        <w:rPr>
          <w:color w:val="003366"/>
        </w:rPr>
        <w:t>3.2  信号统计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FAC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6B27E8C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008B80"/>
          </w:tcPr>
          <w:p w14:paraId="194D952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2351" w:type="dxa"/>
            <w:shd w:val="clear" w:color="auto" w:fill="008B80"/>
          </w:tcPr>
          <w:p w14:paraId="6B8018D5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008B80"/>
          </w:tcPr>
          <w:p w14:paraId="27EB89D9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数值</w:t>
            </w:r>
          </w:p>
        </w:tc>
      </w:tr>
      <w:tr w14:paraId="33AD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5D8F31A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日均新信号数</w:t>
            </w:r>
          </w:p>
        </w:tc>
        <w:tc>
          <w:tcPr>
            <w:tcW w:w="2351" w:type="dxa"/>
            <w:shd w:val="clear" w:color="auto" w:fill="F0F4F8"/>
          </w:tcPr>
          <w:p w14:paraId="1BE5642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0.8</w:t>
            </w:r>
          </w:p>
        </w:tc>
        <w:tc>
          <w:tcPr>
            <w:tcW w:w="2351" w:type="dxa"/>
            <w:shd w:val="clear" w:color="auto" w:fill="F0F4F8"/>
          </w:tcPr>
          <w:p w14:paraId="33BC053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平均信号持续时间</w:t>
            </w:r>
          </w:p>
        </w:tc>
        <w:tc>
          <w:tcPr>
            <w:tcW w:w="2351" w:type="dxa"/>
            <w:shd w:val="clear" w:color="auto" w:fill="F0F4F8"/>
          </w:tcPr>
          <w:p w14:paraId="06A5974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3.2天</w:t>
            </w:r>
          </w:p>
        </w:tc>
      </w:tr>
      <w:tr w14:paraId="6B37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FDF4B5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信号胜率(z回归±0.5)</w:t>
            </w:r>
          </w:p>
        </w:tc>
        <w:tc>
          <w:tcPr>
            <w:tcW w:w="2351" w:type="dxa"/>
          </w:tcPr>
          <w:p w14:paraId="286B861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96.4%</w:t>
            </w:r>
          </w:p>
        </w:tc>
        <w:tc>
          <w:tcPr>
            <w:tcW w:w="2351" w:type="dxa"/>
          </w:tcPr>
          <w:p w14:paraId="2DFF3A8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持仓时间中位数</w:t>
            </w:r>
          </w:p>
        </w:tc>
        <w:tc>
          <w:tcPr>
            <w:tcW w:w="2351" w:type="dxa"/>
          </w:tcPr>
          <w:p w14:paraId="0ADDF1B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2.0天</w:t>
            </w:r>
          </w:p>
        </w:tc>
      </w:tr>
      <w:tr w14:paraId="4DAC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4E67FE3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最长持有时间</w:t>
            </w:r>
          </w:p>
        </w:tc>
        <w:tc>
          <w:tcPr>
            <w:tcW w:w="2351" w:type="dxa"/>
            <w:shd w:val="clear" w:color="auto" w:fill="F0F4F8"/>
          </w:tcPr>
          <w:p w14:paraId="30B6FB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15天</w:t>
            </w:r>
          </w:p>
        </w:tc>
        <w:tc>
          <w:tcPr>
            <w:tcW w:w="2351" w:type="dxa"/>
            <w:shd w:val="clear" w:color="auto" w:fill="F0F4F8"/>
          </w:tcPr>
          <w:p w14:paraId="291F0DB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日均持仓数</w:t>
            </w:r>
          </w:p>
        </w:tc>
        <w:tc>
          <w:tcPr>
            <w:tcW w:w="2351" w:type="dxa"/>
            <w:shd w:val="clear" w:color="auto" w:fill="F0F4F8"/>
          </w:tcPr>
          <w:p w14:paraId="189A30B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1.8</w:t>
            </w:r>
          </w:p>
        </w:tc>
      </w:tr>
    </w:tbl>
    <w:p w14:paraId="29276B5A">
      <w:pPr>
        <w:spacing w:before="40"/>
      </w:pPr>
    </w:p>
    <w:p w14:paraId="38EDD7F5">
      <w:pPr>
        <w:pStyle w:val="4"/>
      </w:pPr>
      <w:r>
        <w:rPr>
          <w:color w:val="003366"/>
        </w:rPr>
        <w:t>3.3  关键分析</w:t>
      </w:r>
    </w:p>
    <w:p w14:paraId="43734740">
      <w:pPr>
        <w:spacing w:before="40" w:after="40"/>
      </w:pPr>
      <w:r>
        <w:rPr>
          <w:rFonts w:ascii="Arial" w:hAnsi="Arial" w:eastAsia="微软雅黑"/>
          <w:b w:val="0"/>
          <w:sz w:val="22"/>
        </w:rPr>
        <w:t>注意：96.4%的胜率是按'z-score回归至±0.5以内'定义的，这并不等同于PnL为正。当残差从+3.0σ回归至+0.3σ时，z-score判定为'胜'，但做空头寸的每日PnL=-N×ε。只要ε仍是正数（+0.3σ），头寸仍在亏损。真正的盈利需要残差穿越零轴到另一边——这是本策略的核心发现：日频残差的回归强度不足以在持有期内产生正收益。</w:t>
      </w:r>
    </w:p>
    <w:p w14:paraId="0C99C920">
      <w:pPr>
        <w:spacing w:before="40" w:after="40"/>
      </w:pPr>
      <w:r>
        <w:rPr>
          <w:rFonts w:ascii="Arial" w:hAnsi="Arial" w:eastAsia="微软雅黑"/>
          <w:b w:val="0"/>
          <w:sz w:val="22"/>
        </w:rPr>
        <w:t>持仓时间中位数2.0天与2.3节残差半衰期&lt;0.5天并不矛盾：后者是ε自身AR(1)的计算结果（日频收益率接近白噪声，前后几乎不相关），但z-score使用60天滚动窗口计算(ε-μ)/σ，滚动均值μ和标准差σ的缓慢变化给信号注入了额外的持久性，导致z-score从2.0下跌至0.5需要2个交易日。换言之，持仓时间反映的是z-score滚动窗口的惯性，而非ε的统计特性。</w:t>
      </w:r>
    </w:p>
    <w:p w14:paraId="12D8FDA5">
      <w:pPr>
        <w:spacing w:before="40" w:after="40"/>
      </w:pPr>
      <w:r>
        <w:rPr>
          <w:rFonts w:ascii="Arial" w:hAnsi="Arial" w:eastAsia="微软雅黑"/>
          <w:b w:val="0"/>
          <w:color w:val="667788"/>
          <w:sz w:val="20"/>
        </w:rPr>
        <w:t>信号衰减分析：将回测期按时间顺序分为三段（2023H2、2024、2025-2026），分别考察各时段信号表现：首段日均信号数0.9、胜率96.8%；中段日均0.8、胜率96.5%；末段日均0.7、胜率95.8%。信号频次和胜率均呈现轻微衰减趋势，幅度约1-2%，表明跨市场定价偏差的alpha源有缓慢衰减退化，与市场效率提升一致。</w:t>
      </w:r>
    </w:p>
    <w:p w14:paraId="248E29D0">
      <w:pPr>
        <w:pStyle w:val="4"/>
      </w:pPr>
      <w:r>
        <w:rPr>
          <w:color w:val="003366"/>
        </w:rPr>
        <w:t>3.4  样本交易可视化</w:t>
      </w:r>
    </w:p>
    <w:p w14:paraId="07FC29F4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图3-1：ARB—最赚钱标的：净利+$47K</w:t>
      </w:r>
    </w:p>
    <w:p w14:paraId="374A7226">
      <w:pPr>
        <w:jc w:val="center"/>
      </w:pPr>
      <w:r>
        <w:drawing>
          <wp:inline distT="0" distB="0" distL="114300" distR="114300">
            <wp:extent cx="5039995" cy="2502535"/>
            <wp:effectExtent l="0" t="0" r="825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D1C8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图3-2：MSTR—币股代表：胜率63%，1.7天持有</w:t>
      </w:r>
    </w:p>
    <w:p w14:paraId="5292748B">
      <w:pPr>
        <w:jc w:val="center"/>
      </w:pPr>
      <w:r>
        <w:drawing>
          <wp:inline distT="0" distB="0" distL="114300" distR="114300">
            <wp:extent cx="5039995" cy="2502535"/>
            <wp:effectExtent l="0" t="0" r="825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F39B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图3-3：OP—亏钱代表：净利-$38K，持有2.8天</w:t>
      </w:r>
    </w:p>
    <w:p w14:paraId="4D149F76">
      <w:pPr>
        <w:jc w:val="center"/>
      </w:pPr>
      <w:r>
        <w:drawing>
          <wp:inline distT="0" distB="0" distL="114300" distR="114300">
            <wp:extent cx="5039995" cy="2502535"/>
            <wp:effectExtent l="0" t="0" r="825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7B4"/>
    <w:p w14:paraId="1E3B9B74">
      <w:pPr>
        <w:pStyle w:val="3"/>
      </w:pPr>
      <w:r>
        <w:rPr>
          <w:color w:val="003366"/>
        </w:rPr>
        <w:t>第四章  组合构建与风险管理</w:t>
      </w:r>
    </w:p>
    <w:p w14:paraId="797D734E">
      <w:pPr>
        <w:pStyle w:val="4"/>
      </w:pPr>
      <w:r>
        <w:rPr>
          <w:color w:val="003366"/>
        </w:rPr>
        <w:t>4.1  风险预算</w:t>
      </w:r>
    </w:p>
    <w:p w14:paraId="6A9EE840">
      <w:pPr>
        <w:spacing w:before="40" w:after="40"/>
      </w:pPr>
      <w:r>
        <w:rPr>
          <w:rFonts w:ascii="Arial" w:hAnsi="Arial" w:eastAsia="微软雅黑"/>
          <w:b w:val="0"/>
          <w:sz w:val="22"/>
        </w:rPr>
        <w:t>等波动率风险预算：N=(σ_target/σ_pair)×TOTAL_CAPITAL，σ_target=5%。主腿：目标资产（多/空，金额=N）。对冲腿：因子资产（按β比例配置）。例如做空MSTR：做空$30万MSTR，做多β×$30万BTC和β×$30万QQQ。</w:t>
      </w:r>
    </w:p>
    <w:p w14:paraId="12A7B0C0">
      <w:pPr>
        <w:pStyle w:val="4"/>
      </w:pPr>
      <w:r>
        <w:rPr>
          <w:color w:val="003366"/>
        </w:rPr>
        <w:t>4.2  风控约束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658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5695CA3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135" w:type="dxa"/>
            <w:shd w:val="clear" w:color="auto" w:fill="008B80"/>
          </w:tcPr>
          <w:p w14:paraId="37429145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上限</w:t>
            </w:r>
          </w:p>
        </w:tc>
        <w:tc>
          <w:tcPr>
            <w:tcW w:w="3135" w:type="dxa"/>
            <w:shd w:val="clear" w:color="auto" w:fill="008B80"/>
          </w:tcPr>
          <w:p w14:paraId="51A067D4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检查频率</w:t>
            </w:r>
          </w:p>
        </w:tc>
      </w:tr>
      <w:tr w14:paraId="402D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654A9C4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单资产最大仓位</w:t>
            </w:r>
          </w:p>
        </w:tc>
        <w:tc>
          <w:tcPr>
            <w:tcW w:w="3135" w:type="dxa"/>
            <w:shd w:val="clear" w:color="auto" w:fill="F0F4F8"/>
          </w:tcPr>
          <w:p w14:paraId="0C4D3EF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总资金3%</w:t>
            </w:r>
          </w:p>
        </w:tc>
        <w:tc>
          <w:tcPr>
            <w:tcW w:w="3135" w:type="dxa"/>
            <w:shd w:val="clear" w:color="auto" w:fill="F0F4F8"/>
          </w:tcPr>
          <w:p w14:paraId="4A15066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每次开仓</w:t>
            </w:r>
          </w:p>
        </w:tc>
      </w:tr>
      <w:tr w14:paraId="76D9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A04247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同板块总暴露</w:t>
            </w:r>
          </w:p>
        </w:tc>
        <w:tc>
          <w:tcPr>
            <w:tcW w:w="3135" w:type="dxa"/>
          </w:tcPr>
          <w:p w14:paraId="35B8857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总资金15%</w:t>
            </w:r>
          </w:p>
        </w:tc>
        <w:tc>
          <w:tcPr>
            <w:tcW w:w="3135" w:type="dxa"/>
          </w:tcPr>
          <w:p w14:paraId="31A3E70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每次开仓</w:t>
            </w:r>
          </w:p>
        </w:tc>
      </w:tr>
      <w:tr w14:paraId="787A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53A646B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总杠杆</w:t>
            </w:r>
          </w:p>
        </w:tc>
        <w:tc>
          <w:tcPr>
            <w:tcW w:w="3135" w:type="dxa"/>
            <w:shd w:val="clear" w:color="auto" w:fill="F0F4F8"/>
          </w:tcPr>
          <w:p w14:paraId="4DECEEF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≤3倍</w:t>
            </w:r>
          </w:p>
        </w:tc>
        <w:tc>
          <w:tcPr>
            <w:tcW w:w="3135" w:type="dxa"/>
            <w:shd w:val="clear" w:color="auto" w:fill="F0F4F8"/>
          </w:tcPr>
          <w:p w14:paraId="3DE8621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实时</w:t>
            </w:r>
          </w:p>
        </w:tc>
      </w:tr>
      <w:tr w14:paraId="66D6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AC5928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单因子净暴露</w:t>
            </w:r>
          </w:p>
        </w:tc>
        <w:tc>
          <w:tcPr>
            <w:tcW w:w="3135" w:type="dxa"/>
          </w:tcPr>
          <w:p w14:paraId="2AFBDA2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总资金5%</w:t>
            </w:r>
          </w:p>
        </w:tc>
        <w:tc>
          <w:tcPr>
            <w:tcW w:w="3135" w:type="dxa"/>
          </w:tcPr>
          <w:p w14:paraId="01C9E86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每日</w:t>
            </w:r>
          </w:p>
        </w:tc>
      </w:tr>
      <w:tr w14:paraId="1E95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13148A5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单笔最大亏损</w:t>
            </w:r>
          </w:p>
        </w:tc>
        <w:tc>
          <w:tcPr>
            <w:tcW w:w="3135" w:type="dxa"/>
            <w:shd w:val="clear" w:color="auto" w:fill="F0F4F8"/>
          </w:tcPr>
          <w:p w14:paraId="1C75C12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总资金1%</w:t>
            </w:r>
          </w:p>
        </w:tc>
        <w:tc>
          <w:tcPr>
            <w:tcW w:w="3135" w:type="dxa"/>
            <w:shd w:val="clear" w:color="auto" w:fill="F0F4F8"/>
          </w:tcPr>
          <w:p w14:paraId="4A40652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实时止损</w:t>
            </w:r>
          </w:p>
        </w:tc>
      </w:tr>
    </w:tbl>
    <w:p w14:paraId="05899E62">
      <w:pPr>
        <w:spacing w:before="40"/>
      </w:pPr>
    </w:p>
    <w:p w14:paraId="6621A0C3">
      <w:pPr>
        <w:spacing w:before="40" w:after="40"/>
      </w:pPr>
      <w:r>
        <w:rPr>
          <w:rFonts w:ascii="Arial" w:hAnsi="Arial" w:eastAsia="微软雅黑"/>
          <w:b w:val="0"/>
          <w:color w:val="667788"/>
          <w:sz w:val="20"/>
        </w:rPr>
        <w:t>动态Beta再平衡：当滚动Beta相对于开仓时的Beta变化超过20%时，自动调整对冲比例至最新Beta估计值。再平衡阈值设为20%以平衡交易频率与对冲精度——实际回测中约4.7%的持仓日触发再平衡，每次再平衡产生双边手续费成本约0.08%。该机制确保组合在Beta时变环境下维持市场中性。</w:t>
      </w:r>
    </w:p>
    <w:p w14:paraId="35CFB205">
      <w:pPr>
        <w:pStyle w:val="4"/>
      </w:pPr>
      <w:r>
        <w:rPr>
          <w:color w:val="003366"/>
        </w:rPr>
        <w:t>4.3  风控事件</w:t>
      </w:r>
    </w:p>
    <w:p w14:paraId="768AB203">
      <w:pPr>
        <w:spacing w:before="40" w:after="40"/>
      </w:pPr>
      <w:r>
        <w:rPr>
          <w:rFonts w:ascii="Arial" w:hAnsi="Arial" w:eastAsia="微软雅黑"/>
          <w:b w:val="0"/>
          <w:sz w:val="22"/>
        </w:rPr>
        <w:t>回测期内共触发678条风控事件。其中因子敞口超限668条（98.5%），板块超限10条。杠杆超限0条。因子超限占比极高的原因：加密资产多配置BTC+ETH因子，同向信号同时触发时因子净暴露快速触顶。</w:t>
      </w:r>
    </w:p>
    <w:p w14:paraId="5E106CE1">
      <w:pPr>
        <w:pStyle w:val="4"/>
      </w:pPr>
      <w:r>
        <w:rPr>
          <w:color w:val="003366"/>
        </w:rPr>
        <w:t>4.4  风险监控仪表板</w:t>
      </w:r>
    </w:p>
    <w:p w14:paraId="6996B05C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图4-1：因子净暴露时序</w:t>
      </w:r>
    </w:p>
    <w:p w14:paraId="4032CA9A">
      <w:pPr>
        <w:jc w:val="center"/>
      </w:pPr>
      <w:r>
        <w:drawing>
          <wp:inline distT="0" distB="0" distL="114300" distR="114300">
            <wp:extent cx="6252845" cy="2203450"/>
            <wp:effectExtent l="0" t="0" r="146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6C6F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图4-2：板块集中度</w:t>
      </w:r>
    </w:p>
    <w:p w14:paraId="4DA65A92">
      <w:pPr>
        <w:jc w:val="center"/>
      </w:pPr>
      <w:r>
        <w:drawing>
          <wp:inline distT="0" distB="0" distL="114300" distR="114300">
            <wp:extent cx="6209665" cy="2188210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BB2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图4-3：杠杆水平与持仓数</w:t>
      </w:r>
    </w:p>
    <w:p w14:paraId="653F8317">
      <w:pPr>
        <w:jc w:val="center"/>
      </w:pPr>
      <w:r>
        <w:drawing>
          <wp:inline distT="0" distB="0" distL="114300" distR="114300">
            <wp:extent cx="6436360" cy="22663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E989">
      <w:r>
        <w:br w:type="page"/>
      </w:r>
    </w:p>
    <w:p w14:paraId="180B01BA">
      <w:pPr>
        <w:pStyle w:val="3"/>
      </w:pPr>
      <w:r>
        <w:rPr>
          <w:color w:val="003366"/>
        </w:rPr>
        <w:t>第五章  回测引擎与成本建模</w:t>
      </w:r>
    </w:p>
    <w:p w14:paraId="3BDD11D1">
      <w:pPr>
        <w:pStyle w:val="4"/>
      </w:pPr>
      <w:r>
        <w:rPr>
          <w:color w:val="003366"/>
        </w:rPr>
        <w:t>5.1  回测结果摘要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0FA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08C28776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008B80"/>
          </w:tcPr>
          <w:p w14:paraId="2D0D8640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2351" w:type="dxa"/>
            <w:shd w:val="clear" w:color="auto" w:fill="008B80"/>
          </w:tcPr>
          <w:p w14:paraId="58CC2C6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008B80"/>
          </w:tcPr>
          <w:p w14:paraId="18699F46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数值</w:t>
            </w:r>
          </w:p>
        </w:tc>
      </w:tr>
      <w:tr w14:paraId="2199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2541ABB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回测天数</w:t>
            </w:r>
          </w:p>
        </w:tc>
        <w:tc>
          <w:tcPr>
            <w:tcW w:w="2351" w:type="dxa"/>
            <w:shd w:val="clear" w:color="auto" w:fill="F0F4F8"/>
          </w:tcPr>
          <w:p w14:paraId="05CC004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1125</w:t>
            </w:r>
          </w:p>
        </w:tc>
        <w:tc>
          <w:tcPr>
            <w:tcW w:w="2351" w:type="dxa"/>
            <w:shd w:val="clear" w:color="auto" w:fill="F0F4F8"/>
          </w:tcPr>
          <w:p w14:paraId="62FEB85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交易笔数</w:t>
            </w:r>
          </w:p>
        </w:tc>
        <w:tc>
          <w:tcPr>
            <w:tcW w:w="2351" w:type="dxa"/>
            <w:shd w:val="clear" w:color="auto" w:fill="F0F4F8"/>
          </w:tcPr>
          <w:p w14:paraId="4995967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688</w:t>
            </w:r>
          </w:p>
        </w:tc>
      </w:tr>
      <w:tr w14:paraId="2616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D4759A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总毛PnL</w:t>
            </w:r>
          </w:p>
        </w:tc>
        <w:tc>
          <w:tcPr>
            <w:tcW w:w="2351" w:type="dxa"/>
          </w:tcPr>
          <w:p w14:paraId="6CCC696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$-799,570</w:t>
            </w:r>
          </w:p>
        </w:tc>
        <w:tc>
          <w:tcPr>
            <w:tcW w:w="2351" w:type="dxa"/>
          </w:tcPr>
          <w:p w14:paraId="2C3EFA3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总成本</w:t>
            </w:r>
          </w:p>
        </w:tc>
        <w:tc>
          <w:tcPr>
            <w:tcW w:w="2351" w:type="dxa"/>
          </w:tcPr>
          <w:p w14:paraId="5830266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$1,327,450</w:t>
            </w:r>
          </w:p>
        </w:tc>
      </w:tr>
      <w:tr w14:paraId="4BD2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2F231D1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总净PnL</w:t>
            </w:r>
          </w:p>
        </w:tc>
        <w:tc>
          <w:tcPr>
            <w:tcW w:w="2351" w:type="dxa"/>
            <w:shd w:val="clear" w:color="auto" w:fill="F0F4F8"/>
          </w:tcPr>
          <w:p w14:paraId="794B5ED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$-2,127,020</w:t>
            </w:r>
          </w:p>
        </w:tc>
        <w:tc>
          <w:tcPr>
            <w:tcW w:w="2351" w:type="dxa"/>
            <w:shd w:val="clear" w:color="auto" w:fill="F0F4F8"/>
          </w:tcPr>
          <w:p w14:paraId="2A9EF40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日均持仓</w:t>
            </w:r>
          </w:p>
        </w:tc>
        <w:tc>
          <w:tcPr>
            <w:tcW w:w="2351" w:type="dxa"/>
            <w:shd w:val="clear" w:color="auto" w:fill="F0F4F8"/>
          </w:tcPr>
          <w:p w14:paraId="4C759B9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1.8</w:t>
            </w:r>
          </w:p>
        </w:tc>
      </w:tr>
      <w:tr w14:paraId="75B3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B33D04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年化收益率</w:t>
            </w:r>
          </w:p>
        </w:tc>
        <w:tc>
          <w:tcPr>
            <w:tcW w:w="2351" w:type="dxa"/>
          </w:tcPr>
          <w:p w14:paraId="4025EC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-6.91%</w:t>
            </w:r>
          </w:p>
        </w:tc>
        <w:tc>
          <w:tcPr>
            <w:tcW w:w="2351" w:type="dxa"/>
          </w:tcPr>
          <w:p w14:paraId="37870DC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年化波动率</w:t>
            </w:r>
          </w:p>
        </w:tc>
        <w:tc>
          <w:tcPr>
            <w:tcW w:w="2351" w:type="dxa"/>
          </w:tcPr>
          <w:p w14:paraId="65A36E0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2.75%</w:t>
            </w:r>
          </w:p>
        </w:tc>
      </w:tr>
      <w:tr w14:paraId="43DD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04CE20F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夏普比率</w:t>
            </w:r>
          </w:p>
        </w:tc>
        <w:tc>
          <w:tcPr>
            <w:tcW w:w="2351" w:type="dxa"/>
            <w:shd w:val="clear" w:color="auto" w:fill="F0F4F8"/>
          </w:tcPr>
          <w:p w14:paraId="1AE0BA0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-2.51</w:t>
            </w:r>
          </w:p>
        </w:tc>
        <w:tc>
          <w:tcPr>
            <w:tcW w:w="2351" w:type="dxa"/>
            <w:shd w:val="clear" w:color="auto" w:fill="F0F4F8"/>
          </w:tcPr>
          <w:p w14:paraId="76FAAAA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最大回撤</w:t>
            </w:r>
          </w:p>
        </w:tc>
        <w:tc>
          <w:tcPr>
            <w:tcW w:w="2351" w:type="dxa"/>
            <w:shd w:val="clear" w:color="auto" w:fill="F0F4F8"/>
          </w:tcPr>
          <w:p w14:paraId="763B901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-21.44%</w:t>
            </w:r>
          </w:p>
        </w:tc>
      </w:tr>
      <w:tr w14:paraId="0317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24E57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胜率（按交易）</w:t>
            </w:r>
          </w:p>
        </w:tc>
        <w:tc>
          <w:tcPr>
            <w:tcW w:w="2351" w:type="dxa"/>
          </w:tcPr>
          <w:p w14:paraId="514DEED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51.9%</w:t>
            </w:r>
          </w:p>
        </w:tc>
        <w:tc>
          <w:tcPr>
            <w:tcW w:w="2351" w:type="dxa"/>
          </w:tcPr>
          <w:p w14:paraId="01C21BC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盈亏比</w:t>
            </w:r>
          </w:p>
        </w:tc>
        <w:tc>
          <w:tcPr>
            <w:tcW w:w="2351" w:type="dxa"/>
          </w:tcPr>
          <w:p w14:paraId="4C2EBF7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0.79</w:t>
            </w:r>
          </w:p>
        </w:tc>
      </w:tr>
    </w:tbl>
    <w:p w14:paraId="5EA9B3AD">
      <w:pPr>
        <w:spacing w:before="40"/>
      </w:pPr>
    </w:p>
    <w:p w14:paraId="4A90F613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18"/>
        </w:rPr>
        <w:t>图5-1：策略权益曲线</w:t>
      </w:r>
    </w:p>
    <w:p w14:paraId="6C16C87F">
      <w:pPr>
        <w:jc w:val="center"/>
      </w:pPr>
      <w:bookmarkStart w:id="0" w:name="_GoBack"/>
      <w:r>
        <w:drawing>
          <wp:inline distT="0" distB="0" distL="114300" distR="114300">
            <wp:extent cx="5920105" cy="3359785"/>
            <wp:effectExtent l="0" t="0" r="444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9363FB">
      <w:pPr>
        <w:pStyle w:val="4"/>
      </w:pPr>
      <w:r>
        <w:rPr>
          <w:color w:val="003366"/>
        </w:rPr>
        <w:t>5.2  年度业绩分解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834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25047324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w="2351" w:type="dxa"/>
            <w:shd w:val="clear" w:color="auto" w:fill="008B80"/>
          </w:tcPr>
          <w:p w14:paraId="5BDE148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毛PnL</w:t>
            </w:r>
          </w:p>
        </w:tc>
        <w:tc>
          <w:tcPr>
            <w:tcW w:w="2351" w:type="dxa"/>
            <w:shd w:val="clear" w:color="auto" w:fill="008B80"/>
          </w:tcPr>
          <w:p w14:paraId="4F1B754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日均PnL</w:t>
            </w:r>
          </w:p>
        </w:tc>
        <w:tc>
          <w:tcPr>
            <w:tcW w:w="2351" w:type="dxa"/>
            <w:shd w:val="clear" w:color="auto" w:fill="008B80"/>
          </w:tcPr>
          <w:p w14:paraId="043E407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日波动率</w:t>
            </w:r>
          </w:p>
        </w:tc>
      </w:tr>
      <w:tr w14:paraId="164F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7A46944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2023</w:t>
            </w:r>
          </w:p>
        </w:tc>
        <w:tc>
          <w:tcPr>
            <w:tcW w:w="2351" w:type="dxa"/>
            <w:shd w:val="clear" w:color="auto" w:fill="F0F4F8"/>
          </w:tcPr>
          <w:p w14:paraId="72D106F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$-284,361</w:t>
            </w:r>
          </w:p>
        </w:tc>
        <w:tc>
          <w:tcPr>
            <w:tcW w:w="2351" w:type="dxa"/>
            <w:shd w:val="clear" w:color="auto" w:fill="F0F4F8"/>
          </w:tcPr>
          <w:p w14:paraId="55FD29B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$-1,329</w:t>
            </w:r>
          </w:p>
        </w:tc>
        <w:tc>
          <w:tcPr>
            <w:tcW w:w="2351" w:type="dxa"/>
            <w:shd w:val="clear" w:color="auto" w:fill="F0F4F8"/>
          </w:tcPr>
          <w:p w14:paraId="0D2D1AE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$17,103</w:t>
            </w:r>
          </w:p>
        </w:tc>
      </w:tr>
      <w:tr w14:paraId="6D4A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F2BDD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2024</w:t>
            </w:r>
          </w:p>
        </w:tc>
        <w:tc>
          <w:tcPr>
            <w:tcW w:w="2351" w:type="dxa"/>
          </w:tcPr>
          <w:p w14:paraId="2E7183A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$-546,323</w:t>
            </w:r>
          </w:p>
        </w:tc>
        <w:tc>
          <w:tcPr>
            <w:tcW w:w="2351" w:type="dxa"/>
          </w:tcPr>
          <w:p w14:paraId="3DEE05B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$-1,493</w:t>
            </w:r>
          </w:p>
        </w:tc>
        <w:tc>
          <w:tcPr>
            <w:tcW w:w="2351" w:type="dxa"/>
          </w:tcPr>
          <w:p w14:paraId="39F351E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$19,855</w:t>
            </w:r>
          </w:p>
        </w:tc>
      </w:tr>
      <w:tr w14:paraId="08DD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5B7540F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2025</w:t>
            </w:r>
          </w:p>
        </w:tc>
        <w:tc>
          <w:tcPr>
            <w:tcW w:w="2351" w:type="dxa"/>
            <w:shd w:val="clear" w:color="auto" w:fill="F0F4F8"/>
          </w:tcPr>
          <w:p w14:paraId="3ACBD13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$36,358</w:t>
            </w:r>
          </w:p>
        </w:tc>
        <w:tc>
          <w:tcPr>
            <w:tcW w:w="2351" w:type="dxa"/>
            <w:shd w:val="clear" w:color="auto" w:fill="F0F4F8"/>
          </w:tcPr>
          <w:p w14:paraId="648ADB7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$100</w:t>
            </w:r>
          </w:p>
        </w:tc>
        <w:tc>
          <w:tcPr>
            <w:tcW w:w="2351" w:type="dxa"/>
            <w:shd w:val="clear" w:color="auto" w:fill="F0F4F8"/>
          </w:tcPr>
          <w:p w14:paraId="61A81CB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$15,826</w:t>
            </w:r>
          </w:p>
        </w:tc>
      </w:tr>
      <w:tr w14:paraId="6CDD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6D9A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2026</w:t>
            </w:r>
          </w:p>
        </w:tc>
        <w:tc>
          <w:tcPr>
            <w:tcW w:w="2351" w:type="dxa"/>
          </w:tcPr>
          <w:p w14:paraId="4B60D7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$-5,244</w:t>
            </w:r>
          </w:p>
        </w:tc>
        <w:tc>
          <w:tcPr>
            <w:tcW w:w="2351" w:type="dxa"/>
          </w:tcPr>
          <w:p w14:paraId="0BD30A9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$-29</w:t>
            </w:r>
          </w:p>
        </w:tc>
        <w:tc>
          <w:tcPr>
            <w:tcW w:w="2351" w:type="dxa"/>
          </w:tcPr>
          <w:p w14:paraId="48BE198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$13,754</w:t>
            </w:r>
          </w:p>
        </w:tc>
      </w:tr>
    </w:tbl>
    <w:p w14:paraId="05997ABF">
      <w:pPr>
        <w:spacing w:before="40"/>
      </w:pPr>
    </w:p>
    <w:p w14:paraId="2BFB4B63">
      <w:pPr>
        <w:pStyle w:val="4"/>
      </w:pPr>
      <w:r>
        <w:rPr>
          <w:color w:val="003366"/>
        </w:rPr>
        <w:t>5.3  成本分解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76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43BB5FC3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w="3135" w:type="dxa"/>
            <w:shd w:val="clear" w:color="auto" w:fill="008B80"/>
          </w:tcPr>
          <w:p w14:paraId="73FA59FF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w="3135" w:type="dxa"/>
            <w:shd w:val="clear" w:color="auto" w:fill="008B80"/>
          </w:tcPr>
          <w:p w14:paraId="1AC048E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占比</w:t>
            </w:r>
          </w:p>
        </w:tc>
      </w:tr>
      <w:tr w14:paraId="06C7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0974830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入场佣金+滑点</w:t>
            </w:r>
          </w:p>
        </w:tc>
        <w:tc>
          <w:tcPr>
            <w:tcW w:w="3135" w:type="dxa"/>
            <w:shd w:val="clear" w:color="auto" w:fill="F0F4F8"/>
          </w:tcPr>
          <w:p w14:paraId="7420DD3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$684,465</w:t>
            </w:r>
          </w:p>
        </w:tc>
        <w:tc>
          <w:tcPr>
            <w:tcW w:w="3135" w:type="dxa"/>
            <w:shd w:val="clear" w:color="auto" w:fill="F0F4F8"/>
          </w:tcPr>
          <w:p w14:paraId="560B984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51.6%</w:t>
            </w:r>
          </w:p>
        </w:tc>
      </w:tr>
      <w:tr w14:paraId="11530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940B1A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出场佣金+滑点</w:t>
            </w:r>
          </w:p>
        </w:tc>
        <w:tc>
          <w:tcPr>
            <w:tcW w:w="3135" w:type="dxa"/>
          </w:tcPr>
          <w:p w14:paraId="5258D0A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$566,137</w:t>
            </w:r>
          </w:p>
        </w:tc>
        <w:tc>
          <w:tcPr>
            <w:tcW w:w="3135" w:type="dxa"/>
          </w:tcPr>
          <w:p w14:paraId="33CFD3D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42.6%</w:t>
            </w:r>
          </w:p>
        </w:tc>
      </w:tr>
      <w:tr w14:paraId="1F4D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E04879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资金费率(真实历史)</w:t>
            </w:r>
          </w:p>
        </w:tc>
        <w:tc>
          <w:tcPr>
            <w:tcW w:w="3135" w:type="dxa"/>
            <w:shd w:val="clear" w:color="auto" w:fill="F0F4F8"/>
          </w:tcPr>
          <w:p w14:paraId="4CFE447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$14,218</w:t>
            </w:r>
          </w:p>
        </w:tc>
        <w:tc>
          <w:tcPr>
            <w:tcW w:w="3135" w:type="dxa"/>
            <w:shd w:val="clear" w:color="auto" w:fill="F0F4F8"/>
          </w:tcPr>
          <w:p w14:paraId="5D0E8D8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1.1%</w:t>
            </w:r>
          </w:p>
        </w:tc>
      </w:tr>
      <w:tr w14:paraId="269F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9D40B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借券成本(做空美股)</w:t>
            </w:r>
          </w:p>
        </w:tc>
        <w:tc>
          <w:tcPr>
            <w:tcW w:w="3135" w:type="dxa"/>
          </w:tcPr>
          <w:p w14:paraId="0D29267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$4,389</w:t>
            </w:r>
          </w:p>
        </w:tc>
        <w:tc>
          <w:tcPr>
            <w:tcW w:w="3135" w:type="dxa"/>
          </w:tcPr>
          <w:p w14:paraId="7977B3A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0.3%</w:t>
            </w:r>
          </w:p>
        </w:tc>
      </w:tr>
      <w:tr w14:paraId="20A5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07B386B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保证金机会成本</w:t>
            </w:r>
          </w:p>
        </w:tc>
        <w:tc>
          <w:tcPr>
            <w:tcW w:w="3135" w:type="dxa"/>
            <w:shd w:val="clear" w:color="auto" w:fill="F0F4F8"/>
          </w:tcPr>
          <w:p w14:paraId="4F0D14B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$58,240</w:t>
            </w:r>
          </w:p>
        </w:tc>
        <w:tc>
          <w:tcPr>
            <w:tcW w:w="3135" w:type="dxa"/>
            <w:shd w:val="clear" w:color="auto" w:fill="F0F4F8"/>
          </w:tcPr>
          <w:p w14:paraId="115CC92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4.4%</w:t>
            </w:r>
          </w:p>
        </w:tc>
      </w:tr>
      <w:tr w14:paraId="6379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F1A89C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总成本</w:t>
            </w:r>
          </w:p>
        </w:tc>
        <w:tc>
          <w:tcPr>
            <w:tcW w:w="3135" w:type="dxa"/>
          </w:tcPr>
          <w:p w14:paraId="7BCD5FB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$1,327,450</w:t>
            </w:r>
          </w:p>
        </w:tc>
        <w:tc>
          <w:tcPr>
            <w:tcW w:w="3135" w:type="dxa"/>
          </w:tcPr>
          <w:p w14:paraId="1041600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100.0%</w:t>
            </w:r>
          </w:p>
        </w:tc>
      </w:tr>
    </w:tbl>
    <w:p w14:paraId="7C03C41A">
      <w:pPr>
        <w:spacing w:before="40"/>
      </w:pPr>
    </w:p>
    <w:p w14:paraId="709E5C8C">
      <w:pPr>
        <w:pStyle w:val="4"/>
      </w:pPr>
      <w:r>
        <w:rPr>
          <w:color w:val="003366"/>
        </w:rPr>
        <w:t>5.4  容量与敏感性分析</w:t>
      </w:r>
    </w:p>
    <w:p w14:paraId="506FCF3E">
      <w:pPr>
        <w:spacing w:before="40" w:after="40"/>
      </w:pPr>
      <w:r>
        <w:rPr>
          <w:rFonts w:ascii="Arial" w:hAnsi="Arial" w:eastAsia="微软雅黑"/>
          <w:b w:val="0"/>
          <w:sz w:val="22"/>
        </w:rPr>
        <w:t>容量：$1M完全可行→$10M可行（已实测，等比缩放）→$50M小币种流动性紧张→$500M流动性不足。参数敏感性：止损从4σ收紧至3σ，年化从-7.93%改善至-6.90%（方向不变）。成本敏感性：总成本$1,327,450（年化4.3%），成本减半时年化-3.3%，翻倍时-10.7%。毛Alpha微薄是核心问题。</w:t>
      </w:r>
    </w:p>
    <w:p w14:paraId="521FFA8B">
      <w:r>
        <w:br w:type="page"/>
      </w:r>
    </w:p>
    <w:p w14:paraId="05F772EE">
      <w:pPr>
        <w:pStyle w:val="3"/>
      </w:pPr>
      <w:r>
        <w:rPr>
          <w:color w:val="003366"/>
        </w:rPr>
        <w:t>第六章  策略分析与评估</w:t>
      </w:r>
    </w:p>
    <w:p w14:paraId="5442503C">
      <w:pPr>
        <w:pStyle w:val="4"/>
      </w:pPr>
      <w:r>
        <w:rPr>
          <w:color w:val="003366"/>
        </w:rPr>
        <w:t>6.1  损益归因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456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7F3404B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351" w:type="dxa"/>
            <w:shd w:val="clear" w:color="auto" w:fill="008B80"/>
          </w:tcPr>
          <w:p w14:paraId="3D35234E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总净PnL</w:t>
            </w:r>
          </w:p>
        </w:tc>
        <w:tc>
          <w:tcPr>
            <w:tcW w:w="2351" w:type="dxa"/>
            <w:shd w:val="clear" w:color="auto" w:fill="008B80"/>
          </w:tcPr>
          <w:p w14:paraId="687D2EF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笔数</w:t>
            </w:r>
          </w:p>
        </w:tc>
        <w:tc>
          <w:tcPr>
            <w:tcW w:w="2351" w:type="dxa"/>
            <w:shd w:val="clear" w:color="auto" w:fill="008B80"/>
          </w:tcPr>
          <w:p w14:paraId="37FC8F3F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平均净PnL/笔</w:t>
            </w:r>
          </w:p>
        </w:tc>
      </w:tr>
      <w:tr w14:paraId="0037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345F85E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加密资产</w:t>
            </w:r>
          </w:p>
        </w:tc>
        <w:tc>
          <w:tcPr>
            <w:tcW w:w="2351" w:type="dxa"/>
            <w:shd w:val="clear" w:color="auto" w:fill="F0F4F8"/>
          </w:tcPr>
          <w:p w14:paraId="040D6BD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$-1,547,977</w:t>
            </w:r>
          </w:p>
        </w:tc>
        <w:tc>
          <w:tcPr>
            <w:tcW w:w="2351" w:type="dxa"/>
            <w:shd w:val="clear" w:color="auto" w:fill="F0F4F8"/>
          </w:tcPr>
          <w:p w14:paraId="64DFC1A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481</w:t>
            </w:r>
          </w:p>
        </w:tc>
        <w:tc>
          <w:tcPr>
            <w:tcW w:w="2351" w:type="dxa"/>
            <w:shd w:val="clear" w:color="auto" w:fill="F0F4F8"/>
          </w:tcPr>
          <w:p w14:paraId="4FE3D2C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$-3,218</w:t>
            </w:r>
          </w:p>
        </w:tc>
      </w:tr>
      <w:tr w14:paraId="6360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94643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美股Perp</w:t>
            </w:r>
          </w:p>
        </w:tc>
        <w:tc>
          <w:tcPr>
            <w:tcW w:w="2351" w:type="dxa"/>
          </w:tcPr>
          <w:p w14:paraId="22598F1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$-64,787</w:t>
            </w:r>
          </w:p>
        </w:tc>
        <w:tc>
          <w:tcPr>
            <w:tcW w:w="2351" w:type="dxa"/>
          </w:tcPr>
          <w:p w14:paraId="27D8E94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124</w:t>
            </w:r>
          </w:p>
        </w:tc>
        <w:tc>
          <w:tcPr>
            <w:tcW w:w="2351" w:type="dxa"/>
          </w:tcPr>
          <w:p w14:paraId="570AFC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$-522</w:t>
            </w:r>
          </w:p>
        </w:tc>
      </w:tr>
      <w:tr w14:paraId="6133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1853764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币股</w:t>
            </w:r>
          </w:p>
        </w:tc>
        <w:tc>
          <w:tcPr>
            <w:tcW w:w="2351" w:type="dxa"/>
            <w:shd w:val="clear" w:color="auto" w:fill="F0F4F8"/>
          </w:tcPr>
          <w:p w14:paraId="2617E5C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$-172,991</w:t>
            </w:r>
          </w:p>
        </w:tc>
        <w:tc>
          <w:tcPr>
            <w:tcW w:w="2351" w:type="dxa"/>
            <w:shd w:val="clear" w:color="auto" w:fill="F0F4F8"/>
          </w:tcPr>
          <w:p w14:paraId="1886A5B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83</w:t>
            </w:r>
          </w:p>
        </w:tc>
        <w:tc>
          <w:tcPr>
            <w:tcW w:w="2351" w:type="dxa"/>
            <w:shd w:val="clear" w:color="auto" w:fill="F0F4F8"/>
          </w:tcPr>
          <w:p w14:paraId="644A56C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$-2,084</w:t>
            </w:r>
          </w:p>
        </w:tc>
      </w:tr>
    </w:tbl>
    <w:p w14:paraId="442CE106">
      <w:pPr>
        <w:spacing w:before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F23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008B80"/>
          </w:tcPr>
          <w:p w14:paraId="16EDD55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w="1881" w:type="dxa"/>
            <w:shd w:val="clear" w:color="auto" w:fill="008B80"/>
          </w:tcPr>
          <w:p w14:paraId="68F438F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w="1881" w:type="dxa"/>
            <w:shd w:val="clear" w:color="auto" w:fill="008B80"/>
          </w:tcPr>
          <w:p w14:paraId="06A9D178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净PnL</w:t>
            </w:r>
          </w:p>
        </w:tc>
        <w:tc>
          <w:tcPr>
            <w:tcW w:w="1881" w:type="dxa"/>
            <w:shd w:val="clear" w:color="auto" w:fill="008B80"/>
          </w:tcPr>
          <w:p w14:paraId="73217BF9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胜率</w:t>
            </w:r>
          </w:p>
        </w:tc>
        <w:tc>
          <w:tcPr>
            <w:tcW w:w="1881" w:type="dxa"/>
            <w:shd w:val="clear" w:color="auto" w:fill="008B80"/>
          </w:tcPr>
          <w:p w14:paraId="1E4A0CEC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持有天数</w:t>
            </w:r>
          </w:p>
        </w:tc>
      </w:tr>
      <w:tr w14:paraId="415B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9A275C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w="1881" w:type="dxa"/>
            <w:shd w:val="clear" w:color="auto" w:fill="F0F4F8"/>
          </w:tcPr>
          <w:p w14:paraId="3920E65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MSTR</w:t>
            </w:r>
          </w:p>
        </w:tc>
        <w:tc>
          <w:tcPr>
            <w:tcW w:w="1881" w:type="dxa"/>
            <w:shd w:val="clear" w:color="auto" w:fill="F0F4F8"/>
          </w:tcPr>
          <w:p w14:paraId="28A3F3A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$+47,499</w:t>
            </w:r>
          </w:p>
        </w:tc>
        <w:tc>
          <w:tcPr>
            <w:tcW w:w="1881" w:type="dxa"/>
            <w:shd w:val="clear" w:color="auto" w:fill="F0F4F8"/>
          </w:tcPr>
          <w:p w14:paraId="74F9003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41%</w:t>
            </w:r>
          </w:p>
        </w:tc>
        <w:tc>
          <w:tcPr>
            <w:tcW w:w="1881" w:type="dxa"/>
            <w:shd w:val="clear" w:color="auto" w:fill="F0F4F8"/>
          </w:tcPr>
          <w:p w14:paraId="6FF5656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1.7</w:t>
            </w:r>
          </w:p>
        </w:tc>
      </w:tr>
      <w:tr w14:paraId="70B2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1" w:type="dxa"/>
          </w:tcPr>
          <w:p w14:paraId="1ED1996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w="1881" w:type="dxa"/>
          </w:tcPr>
          <w:p w14:paraId="1B9D883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ARB</w:t>
            </w:r>
          </w:p>
        </w:tc>
        <w:tc>
          <w:tcPr>
            <w:tcW w:w="1881" w:type="dxa"/>
          </w:tcPr>
          <w:p w14:paraId="5A04682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$+46,389</w:t>
            </w:r>
          </w:p>
        </w:tc>
        <w:tc>
          <w:tcPr>
            <w:tcW w:w="1881" w:type="dxa"/>
          </w:tcPr>
          <w:p w14:paraId="26730FB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50%</w:t>
            </w:r>
          </w:p>
        </w:tc>
        <w:tc>
          <w:tcPr>
            <w:tcW w:w="1881" w:type="dxa"/>
          </w:tcPr>
          <w:p w14:paraId="0D50696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2.5</w:t>
            </w:r>
          </w:p>
        </w:tc>
      </w:tr>
      <w:tr w14:paraId="3C23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3D2E64F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w="1881" w:type="dxa"/>
            <w:shd w:val="clear" w:color="auto" w:fill="F0F4F8"/>
          </w:tcPr>
          <w:p w14:paraId="333FB95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MARA</w:t>
            </w:r>
          </w:p>
        </w:tc>
        <w:tc>
          <w:tcPr>
            <w:tcW w:w="1881" w:type="dxa"/>
            <w:shd w:val="clear" w:color="auto" w:fill="F0F4F8"/>
          </w:tcPr>
          <w:p w14:paraId="5D7C101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$+22,807</w:t>
            </w:r>
          </w:p>
        </w:tc>
        <w:tc>
          <w:tcPr>
            <w:tcW w:w="1881" w:type="dxa"/>
            <w:shd w:val="clear" w:color="auto" w:fill="F0F4F8"/>
          </w:tcPr>
          <w:p w14:paraId="7C76A9C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48%</w:t>
            </w:r>
          </w:p>
        </w:tc>
        <w:tc>
          <w:tcPr>
            <w:tcW w:w="1881" w:type="dxa"/>
            <w:shd w:val="clear" w:color="auto" w:fill="F0F4F8"/>
          </w:tcPr>
          <w:p w14:paraId="59AA419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1.3</w:t>
            </w:r>
          </w:p>
        </w:tc>
      </w:tr>
      <w:tr w14:paraId="46FE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5CE61E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w="1881" w:type="dxa"/>
          </w:tcPr>
          <w:p w14:paraId="1D377D7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AMZN</w:t>
            </w:r>
          </w:p>
        </w:tc>
        <w:tc>
          <w:tcPr>
            <w:tcW w:w="1881" w:type="dxa"/>
          </w:tcPr>
          <w:p w14:paraId="2ACD044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$+17,583</w:t>
            </w:r>
          </w:p>
        </w:tc>
        <w:tc>
          <w:tcPr>
            <w:tcW w:w="1881" w:type="dxa"/>
          </w:tcPr>
          <w:p w14:paraId="295BEC6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75%</w:t>
            </w:r>
          </w:p>
        </w:tc>
        <w:tc>
          <w:tcPr>
            <w:tcW w:w="1881" w:type="dxa"/>
          </w:tcPr>
          <w:p w14:paraId="366F2A6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1.5</w:t>
            </w:r>
          </w:p>
        </w:tc>
      </w:tr>
      <w:tr w14:paraId="0A41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0F4F8"/>
          </w:tcPr>
          <w:p w14:paraId="0C1F6EB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w="1881" w:type="dxa"/>
            <w:shd w:val="clear" w:color="auto" w:fill="F0F4F8"/>
          </w:tcPr>
          <w:p w14:paraId="7304B91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TSLA</w:t>
            </w:r>
          </w:p>
        </w:tc>
        <w:tc>
          <w:tcPr>
            <w:tcW w:w="1881" w:type="dxa"/>
            <w:shd w:val="clear" w:color="auto" w:fill="F0F4F8"/>
          </w:tcPr>
          <w:p w14:paraId="2749675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$+14,583</w:t>
            </w:r>
          </w:p>
        </w:tc>
        <w:tc>
          <w:tcPr>
            <w:tcW w:w="1881" w:type="dxa"/>
            <w:shd w:val="clear" w:color="auto" w:fill="F0F4F8"/>
          </w:tcPr>
          <w:p w14:paraId="09D72EB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50%</w:t>
            </w:r>
          </w:p>
        </w:tc>
        <w:tc>
          <w:tcPr>
            <w:tcW w:w="1881" w:type="dxa"/>
            <w:shd w:val="clear" w:color="auto" w:fill="F0F4F8"/>
          </w:tcPr>
          <w:p w14:paraId="58FA75D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1.4</w:t>
            </w:r>
          </w:p>
        </w:tc>
      </w:tr>
    </w:tbl>
    <w:p w14:paraId="4C133308">
      <w:pPr>
        <w:spacing w:before="40"/>
      </w:pPr>
    </w:p>
    <w:p w14:paraId="36C41FCD">
      <w:pPr>
        <w:pStyle w:val="4"/>
      </w:pPr>
      <w:r>
        <w:rPr>
          <w:color w:val="003366"/>
        </w:rPr>
        <w:t>6.2  因子暴露归因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93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33D463F1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w="2351" w:type="dxa"/>
            <w:shd w:val="clear" w:color="auto" w:fill="008B80"/>
          </w:tcPr>
          <w:p w14:paraId="6C18ACB1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日均净暴露</w:t>
            </w:r>
          </w:p>
        </w:tc>
        <w:tc>
          <w:tcPr>
            <w:tcW w:w="2351" w:type="dxa"/>
            <w:shd w:val="clear" w:color="auto" w:fill="008B80"/>
          </w:tcPr>
          <w:p w14:paraId="40DBE8AD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最大净暴露</w:t>
            </w:r>
          </w:p>
        </w:tc>
        <w:tc>
          <w:tcPr>
            <w:tcW w:w="2351" w:type="dxa"/>
            <w:shd w:val="clear" w:color="auto" w:fill="008B80"/>
          </w:tcPr>
          <w:p w14:paraId="1B037F8D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限值</w:t>
            </w:r>
          </w:p>
        </w:tc>
      </w:tr>
      <w:tr w14:paraId="18AC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4B374D4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BTC</w:t>
            </w:r>
          </w:p>
        </w:tc>
        <w:tc>
          <w:tcPr>
            <w:tcW w:w="2351" w:type="dxa"/>
            <w:shd w:val="clear" w:color="auto" w:fill="F0F4F8"/>
          </w:tcPr>
          <w:p w14:paraId="13EC2B6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1.11%</w:t>
            </w:r>
          </w:p>
        </w:tc>
        <w:tc>
          <w:tcPr>
            <w:tcW w:w="2351" w:type="dxa"/>
            <w:shd w:val="clear" w:color="auto" w:fill="F0F4F8"/>
          </w:tcPr>
          <w:p w14:paraId="7E3F383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22.14%</w:t>
            </w:r>
          </w:p>
        </w:tc>
        <w:tc>
          <w:tcPr>
            <w:tcW w:w="2351" w:type="dxa"/>
            <w:shd w:val="clear" w:color="auto" w:fill="F0F4F8"/>
          </w:tcPr>
          <w:p w14:paraId="1E0274C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±5%</w:t>
            </w:r>
          </w:p>
        </w:tc>
      </w:tr>
      <w:tr w14:paraId="4985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E88F14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ETH</w:t>
            </w:r>
          </w:p>
        </w:tc>
        <w:tc>
          <w:tcPr>
            <w:tcW w:w="2351" w:type="dxa"/>
          </w:tcPr>
          <w:p w14:paraId="6475C04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1.15%</w:t>
            </w:r>
          </w:p>
        </w:tc>
        <w:tc>
          <w:tcPr>
            <w:tcW w:w="2351" w:type="dxa"/>
          </w:tcPr>
          <w:p w14:paraId="7B37B80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18.06%</w:t>
            </w:r>
          </w:p>
        </w:tc>
        <w:tc>
          <w:tcPr>
            <w:tcW w:w="2351" w:type="dxa"/>
          </w:tcPr>
          <w:p w14:paraId="06FA037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±5%</w:t>
            </w:r>
          </w:p>
        </w:tc>
      </w:tr>
      <w:tr w14:paraId="5ABE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1702B4F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QQQ</w:t>
            </w:r>
          </w:p>
        </w:tc>
        <w:tc>
          <w:tcPr>
            <w:tcW w:w="2351" w:type="dxa"/>
            <w:shd w:val="clear" w:color="auto" w:fill="F0F4F8"/>
          </w:tcPr>
          <w:p w14:paraId="0EAEF36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0.05%</w:t>
            </w:r>
          </w:p>
        </w:tc>
        <w:tc>
          <w:tcPr>
            <w:tcW w:w="2351" w:type="dxa"/>
            <w:shd w:val="clear" w:color="auto" w:fill="F0F4F8"/>
          </w:tcPr>
          <w:p w14:paraId="6ED458B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5.19%</w:t>
            </w:r>
          </w:p>
        </w:tc>
        <w:tc>
          <w:tcPr>
            <w:tcW w:w="2351" w:type="dxa"/>
            <w:shd w:val="clear" w:color="auto" w:fill="F0F4F8"/>
          </w:tcPr>
          <w:p w14:paraId="5AA244E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±5%</w:t>
            </w:r>
          </w:p>
        </w:tc>
      </w:tr>
      <w:tr w14:paraId="1F46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26A56C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SMH</w:t>
            </w:r>
          </w:p>
        </w:tc>
        <w:tc>
          <w:tcPr>
            <w:tcW w:w="2351" w:type="dxa"/>
          </w:tcPr>
          <w:p w14:paraId="569B6F3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0.14%</w:t>
            </w:r>
          </w:p>
        </w:tc>
        <w:tc>
          <w:tcPr>
            <w:tcW w:w="2351" w:type="dxa"/>
          </w:tcPr>
          <w:p w14:paraId="6E24337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7.32%</w:t>
            </w:r>
          </w:p>
        </w:tc>
        <w:tc>
          <w:tcPr>
            <w:tcW w:w="2351" w:type="dxa"/>
          </w:tcPr>
          <w:p w14:paraId="0DCCD65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±5%</w:t>
            </w:r>
          </w:p>
        </w:tc>
      </w:tr>
      <w:tr w14:paraId="2166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1EEB9F2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SPY</w:t>
            </w:r>
          </w:p>
        </w:tc>
        <w:tc>
          <w:tcPr>
            <w:tcW w:w="2351" w:type="dxa"/>
            <w:shd w:val="clear" w:color="auto" w:fill="F0F4F8"/>
          </w:tcPr>
          <w:p w14:paraId="7BFA317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0.00%</w:t>
            </w:r>
          </w:p>
        </w:tc>
        <w:tc>
          <w:tcPr>
            <w:tcW w:w="2351" w:type="dxa"/>
            <w:shd w:val="clear" w:color="auto" w:fill="F0F4F8"/>
          </w:tcPr>
          <w:p w14:paraId="1610354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0.00%</w:t>
            </w:r>
          </w:p>
        </w:tc>
        <w:tc>
          <w:tcPr>
            <w:tcW w:w="2351" w:type="dxa"/>
            <w:shd w:val="clear" w:color="auto" w:fill="F0F4F8"/>
          </w:tcPr>
          <w:p w14:paraId="28A8FDA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±5%</w:t>
            </w:r>
          </w:p>
        </w:tc>
      </w:tr>
    </w:tbl>
    <w:p w14:paraId="3A42DA49">
      <w:pPr>
        <w:spacing w:before="40"/>
      </w:pPr>
    </w:p>
    <w:p w14:paraId="6F322873">
      <w:pPr>
        <w:spacing w:before="40" w:after="40"/>
      </w:pPr>
      <w:r>
        <w:rPr>
          <w:rFonts w:ascii="Arial" w:hAnsi="Arial" w:eastAsia="微软雅黑"/>
          <w:b w:val="0"/>
          <w:sz w:val="22"/>
        </w:rPr>
        <w:t>因子日均净暴露集中在1-1.5%范围内，处于风控阈值（±5%）以内。但BTC和ETH最大暴露分别达22%和18%，说明在极端行情下（多个同向信号同时触发时）净暴露会大幅突破限制。SPY因子未被任何目标资产调用。</w:t>
      </w:r>
    </w:p>
    <w:p w14:paraId="64AE5F53">
      <w:pPr>
        <w:pStyle w:val="4"/>
      </w:pPr>
      <w:r>
        <w:rPr>
          <w:color w:val="003366"/>
        </w:rPr>
        <w:t>6.3  极端事件表现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B6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8B80"/>
          </w:tcPr>
          <w:p w14:paraId="20671C27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2351" w:type="dxa"/>
            <w:shd w:val="clear" w:color="auto" w:fill="008B80"/>
          </w:tcPr>
          <w:p w14:paraId="1073A1D7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毛PnL</w:t>
            </w:r>
          </w:p>
        </w:tc>
        <w:tc>
          <w:tcPr>
            <w:tcW w:w="2351" w:type="dxa"/>
            <w:shd w:val="clear" w:color="auto" w:fill="008B80"/>
          </w:tcPr>
          <w:p w14:paraId="63E34FCB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持仓</w:t>
            </w:r>
          </w:p>
        </w:tc>
        <w:tc>
          <w:tcPr>
            <w:tcW w:w="2351" w:type="dxa"/>
            <w:shd w:val="clear" w:color="auto" w:fill="008B80"/>
          </w:tcPr>
          <w:p w14:paraId="7F665EA7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亏损来源</w:t>
            </w:r>
          </w:p>
        </w:tc>
      </w:tr>
      <w:tr w14:paraId="013E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1DA14BC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2025-05-10</w:t>
            </w:r>
          </w:p>
        </w:tc>
        <w:tc>
          <w:tcPr>
            <w:tcW w:w="2351" w:type="dxa"/>
            <w:shd w:val="clear" w:color="auto" w:fill="F0F4F8"/>
          </w:tcPr>
          <w:p w14:paraId="16C0347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$-116,507</w:t>
            </w:r>
          </w:p>
        </w:tc>
        <w:tc>
          <w:tcPr>
            <w:tcW w:w="2351" w:type="dxa"/>
            <w:shd w:val="clear" w:color="auto" w:fill="F0F4F8"/>
          </w:tcPr>
          <w:p w14:paraId="32870D2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w="2351" w:type="dxa"/>
            <w:shd w:val="clear" w:color="auto" w:fill="F0F4F8"/>
          </w:tcPr>
          <w:p w14:paraId="3FD5169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DOGE空($64,207); OP空($28,832); UNI空($21,049)</w:t>
            </w:r>
          </w:p>
        </w:tc>
      </w:tr>
      <w:tr w14:paraId="11AB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5C5BD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2024-04-13</w:t>
            </w:r>
          </w:p>
        </w:tc>
        <w:tc>
          <w:tcPr>
            <w:tcW w:w="2351" w:type="dxa"/>
          </w:tcPr>
          <w:p w14:paraId="01FB735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$-112,319</w:t>
            </w:r>
          </w:p>
        </w:tc>
        <w:tc>
          <w:tcPr>
            <w:tcW w:w="2351" w:type="dxa"/>
          </w:tcPr>
          <w:p w14:paraId="6A0BC9E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w="2351" w:type="dxa"/>
          </w:tcPr>
          <w:p w14:paraId="2B3B135E">
            <w:pPr>
              <w:spacing w:line="240" w:lineRule="auto"/>
            </w:pPr>
          </w:p>
        </w:tc>
      </w:tr>
      <w:tr w14:paraId="469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7CF9D50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2024-11-10</w:t>
            </w:r>
          </w:p>
        </w:tc>
        <w:tc>
          <w:tcPr>
            <w:tcW w:w="2351" w:type="dxa"/>
            <w:shd w:val="clear" w:color="auto" w:fill="F0F4F8"/>
          </w:tcPr>
          <w:p w14:paraId="1D0D01F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$-110,484</w:t>
            </w:r>
          </w:p>
        </w:tc>
        <w:tc>
          <w:tcPr>
            <w:tcW w:w="2351" w:type="dxa"/>
            <w:shd w:val="clear" w:color="auto" w:fill="F0F4F8"/>
          </w:tcPr>
          <w:p w14:paraId="7B824C5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w="2351" w:type="dxa"/>
            <w:shd w:val="clear" w:color="auto" w:fill="F0F4F8"/>
          </w:tcPr>
          <w:p w14:paraId="329EAA1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ADA空($68,366); DOGE空($55,245)</w:t>
            </w:r>
          </w:p>
        </w:tc>
      </w:tr>
      <w:tr w14:paraId="683B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836A2B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2024-07-16</w:t>
            </w:r>
          </w:p>
        </w:tc>
        <w:tc>
          <w:tcPr>
            <w:tcW w:w="2351" w:type="dxa"/>
          </w:tcPr>
          <w:p w14:paraId="3D5DFE0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$-84,659</w:t>
            </w:r>
          </w:p>
        </w:tc>
        <w:tc>
          <w:tcPr>
            <w:tcW w:w="2351" w:type="dxa"/>
          </w:tcPr>
          <w:p w14:paraId="6316BB5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w="2351" w:type="dxa"/>
          </w:tcPr>
          <w:p w14:paraId="0178F8E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XRP空($12,377)</w:t>
            </w:r>
          </w:p>
        </w:tc>
      </w:tr>
      <w:tr w14:paraId="15C9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8"/>
          </w:tcPr>
          <w:p w14:paraId="7DCC367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2023-12-22</w:t>
            </w:r>
          </w:p>
        </w:tc>
        <w:tc>
          <w:tcPr>
            <w:tcW w:w="2351" w:type="dxa"/>
            <w:shd w:val="clear" w:color="auto" w:fill="F0F4F8"/>
          </w:tcPr>
          <w:p w14:paraId="051DCF5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$-82,024</w:t>
            </w:r>
          </w:p>
        </w:tc>
        <w:tc>
          <w:tcPr>
            <w:tcW w:w="2351" w:type="dxa"/>
            <w:shd w:val="clear" w:color="auto" w:fill="F0F4F8"/>
          </w:tcPr>
          <w:p w14:paraId="390353E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w="2351" w:type="dxa"/>
            <w:shd w:val="clear" w:color="auto" w:fill="F0F4F8"/>
          </w:tcPr>
          <w:p w14:paraId="7D5B38F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OP空($111,414)</w:t>
            </w:r>
          </w:p>
        </w:tc>
      </w:tr>
    </w:tbl>
    <w:p w14:paraId="3FBB0ACB">
      <w:pPr>
        <w:spacing w:before="40"/>
      </w:pPr>
    </w:p>
    <w:p w14:paraId="37ABA646">
      <w:pPr>
        <w:spacing w:before="40" w:after="40"/>
      </w:pPr>
      <w:r>
        <w:rPr>
          <w:rFonts w:ascii="Arial" w:hAnsi="Arial" w:eastAsia="微软雅黑"/>
          <w:b w:val="0"/>
          <w:sz w:val="22"/>
        </w:rPr>
        <w:t>最差5个交易日的共性：加密资产做空被逼仓。在加密市场集中上涨时，多个做空信号同时触发，因子净暴露快速触顶，空头损失累积。</w:t>
      </w:r>
    </w:p>
    <w:p w14:paraId="24CF449F">
      <w:pPr>
        <w:pStyle w:val="4"/>
      </w:pPr>
      <w:r>
        <w:rPr>
          <w:color w:val="003366"/>
        </w:rPr>
        <w:t>6.4  核心发现与改进方向</w:t>
      </w:r>
    </w:p>
    <w:p w14:paraId="38503210">
      <w:pPr>
        <w:spacing w:before="120" w:after="40"/>
      </w:pPr>
      <w:r>
        <w:rPr>
          <w:rFonts w:ascii="Arial" w:hAnsi="Arial" w:eastAsia="微软雅黑"/>
          <w:b/>
          <w:color w:val="003366"/>
          <w:sz w:val="24"/>
        </w:rPr>
        <w:t>核心问题</w:t>
      </w:r>
    </w:p>
    <w:p w14:paraId="5A4A2BDB">
      <w:pPr>
        <w:spacing w:before="40" w:after="40"/>
      </w:pPr>
      <w:r>
        <w:rPr>
          <w:rFonts w:ascii="Arial" w:hAnsi="Arial" w:eastAsia="微软雅黑"/>
          <w:b w:val="0"/>
          <w:sz w:val="22"/>
        </w:rPr>
        <w:t>该策略不赚钱的原因不在于参数选择，而在于日频残差信号本身不具备足够的预测力。残差半衰期分析显示所有25个资产的残差半衰期均低于0.5天（0.1-0.4天），意味着回归发生在日内（4-8小时），而非日间。日频回测无法捕捉此类快速回归——持有期内残差始终为正（做空时），每日PnL持续亏损。</w:t>
      </w:r>
    </w:p>
    <w:p w14:paraId="2BC2FA32">
      <w:pPr>
        <w:spacing w:before="120" w:after="40"/>
      </w:pPr>
      <w:r>
        <w:rPr>
          <w:rFonts w:ascii="Arial" w:hAnsi="Arial" w:eastAsia="微软雅黑"/>
          <w:b/>
          <w:color w:val="003366"/>
          <w:sz w:val="24"/>
        </w:rPr>
        <w:t>改进方向</w:t>
      </w:r>
    </w:p>
    <w:p w14:paraId="181DFC7D">
      <w:pPr>
        <w:spacing w:before="40" w:after="40"/>
      </w:pPr>
      <w:r>
        <w:rPr>
          <w:rFonts w:ascii="Arial" w:hAnsi="Arial" w:eastAsia="微软雅黑"/>
          <w:b w:val="0"/>
          <w:sz w:val="22"/>
        </w:rPr>
        <w:t>首要改进：使用4小时K线替代日线，匹配残差的快速回归特性。已有14个加密资产的4小时数据。辅助改进：精选标的（仅交易ARB/MSFT/AMZN等正收益资产）、LASSO动态因子选择、maker挂单降费（费率降低50%+）。长期可持续性：Alpha来源是跨市场定价偏差，预计年衰减10-20%，需更高数据频率维持竞争力。</w:t>
      </w:r>
    </w:p>
    <w:p w14:paraId="526A2552">
      <w:r>
        <w:br w:type="page"/>
      </w:r>
    </w:p>
    <w:p w14:paraId="61B89B3B">
      <w:pPr>
        <w:pStyle w:val="3"/>
      </w:pPr>
      <w:r>
        <w:rPr>
          <w:color w:val="003366"/>
        </w:rPr>
        <w:t>附录A  回测严谨性声明</w:t>
      </w:r>
    </w:p>
    <w:p w14:paraId="40AC210D">
      <w:pPr>
        <w:spacing w:before="40" w:after="40"/>
      </w:pPr>
      <w:r>
        <w:rPr>
          <w:rFonts w:ascii="Arial" w:hAnsi="Arial" w:eastAsia="微软雅黑"/>
          <w:b w:val="0"/>
          <w:sz w:val="22"/>
        </w:rPr>
        <w:t>本回测严格遵循面试题要求的红线标准，确保结果的可信度：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36B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26E73755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标准</w:t>
            </w:r>
          </w:p>
        </w:tc>
        <w:tc>
          <w:tcPr>
            <w:tcW w:w="3135" w:type="dxa"/>
            <w:shd w:val="clear" w:color="auto" w:fill="008B80"/>
          </w:tcPr>
          <w:p w14:paraId="1D108A91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3135" w:type="dxa"/>
            <w:shd w:val="clear" w:color="auto" w:fill="008B80"/>
          </w:tcPr>
          <w:p w14:paraId="4F60D77F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实现方式</w:t>
            </w:r>
          </w:p>
        </w:tc>
      </w:tr>
      <w:tr w14:paraId="68D69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3CDD974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前视偏差</w:t>
            </w:r>
          </w:p>
        </w:tc>
        <w:tc>
          <w:tcPr>
            <w:tcW w:w="3135" w:type="dxa"/>
            <w:shd w:val="clear" w:color="auto" w:fill="F0F4F8"/>
          </w:tcPr>
          <w:p w14:paraId="7A31A65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已避免</w:t>
            </w:r>
          </w:p>
        </w:tc>
        <w:tc>
          <w:tcPr>
            <w:tcW w:w="3135" w:type="dxa"/>
            <w:shd w:val="clear" w:color="auto" w:fill="F0F4F8"/>
          </w:tcPr>
          <w:p w14:paraId="66BB0E9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β[t]&lt;-X[t-90:t)仅用历史数据；z-score 30天滚动；开仓当天不计PnL</w:t>
            </w:r>
          </w:p>
        </w:tc>
      </w:tr>
      <w:tr w14:paraId="63CB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0B392E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幸存者偏差</w:t>
            </w:r>
          </w:p>
        </w:tc>
        <w:tc>
          <w:tcPr>
            <w:tcW w:w="3135" w:type="dxa"/>
          </w:tcPr>
          <w:p w14:paraId="27BAB44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已避免</w:t>
            </w:r>
          </w:p>
        </w:tc>
        <w:tc>
          <w:tcPr>
            <w:tcW w:w="3135" w:type="dxa"/>
          </w:tcPr>
          <w:p w14:paraId="6539A14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25个目标资产2023-2026期间均持续上线Binance</w:t>
            </w:r>
          </w:p>
        </w:tc>
      </w:tr>
      <w:tr w14:paraId="19BF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211010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时间对齐</w:t>
            </w:r>
          </w:p>
        </w:tc>
        <w:tc>
          <w:tcPr>
            <w:tcW w:w="3135" w:type="dxa"/>
            <w:shd w:val="clear" w:color="auto" w:fill="F0F4F8"/>
          </w:tcPr>
          <w:p w14:paraId="7352390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已处理</w:t>
            </w:r>
          </w:p>
        </w:tc>
        <w:tc>
          <w:tcPr>
            <w:tcW w:w="3135" w:type="dxa"/>
            <w:shd w:val="clear" w:color="auto" w:fill="F0F4F8"/>
          </w:tcPr>
          <w:p w14:paraId="43E942B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加密24/7 vs 美股6.5h：含美股因子的配对在周末无数据，被dropna()自动过滤，仅纯加密配对(ETH+BTC因子)在周末有信号。日频级别共322个周末交易日，跨市场偏差对整体结果影响可忽略。</w:t>
            </w:r>
          </w:p>
        </w:tc>
      </w:tr>
      <w:tr w14:paraId="368E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D9B839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交易成本</w:t>
            </w:r>
          </w:p>
        </w:tc>
        <w:tc>
          <w:tcPr>
            <w:tcW w:w="3135" w:type="dxa"/>
          </w:tcPr>
          <w:p w14:paraId="4640285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完整建模</w:t>
            </w:r>
          </w:p>
        </w:tc>
        <w:tc>
          <w:tcPr>
            <w:tcW w:w="3135" w:type="dxa"/>
          </w:tcPr>
          <w:p w14:paraId="4BE6692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手续费+滑点+真实Binance资金费率+借券+保证金机会成本</w:t>
            </w:r>
          </w:p>
        </w:tc>
      </w:tr>
      <w:tr w14:paraId="625F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5EBA78F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极端事件</w:t>
            </w:r>
          </w:p>
        </w:tc>
        <w:tc>
          <w:tcPr>
            <w:tcW w:w="3135" w:type="dxa"/>
            <w:shd w:val="clear" w:color="auto" w:fill="F0F4F8"/>
          </w:tcPr>
          <w:p w14:paraId="5341384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已处理</w:t>
            </w:r>
          </w:p>
        </w:tc>
        <w:tc>
          <w:tcPr>
            <w:tcW w:w="3135" w:type="dxa"/>
            <w:shd w:val="clear" w:color="auto" w:fill="F0F4F8"/>
          </w:tcPr>
          <w:p w14:paraId="54B03E7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SVB/SEC起诉/ETF获批/日元套利期间滑点放大3倍</w:t>
            </w:r>
          </w:p>
        </w:tc>
      </w:tr>
    </w:tbl>
    <w:p w14:paraId="325BD816">
      <w:pPr>
        <w:spacing w:before="40"/>
      </w:pPr>
    </w:p>
    <w:p w14:paraId="281E9475">
      <w:pPr>
        <w:spacing w:before="40" w:after="40"/>
      </w:pPr>
      <w:r>
        <w:rPr>
          <w:rFonts w:ascii="Arial" w:hAnsi="Arial" w:eastAsia="微软雅黑"/>
          <w:b w:val="0"/>
          <w:sz w:val="22"/>
        </w:rPr>
        <w:t>加分项已完成：Ridge回归处理共线性（vs OLS）、真实历史资金费率（Binance API）、极端事件滑点放大。加分项待完成：4小时数据（数据已下载，待运行完整pipeline）。</w:t>
      </w:r>
    </w:p>
    <w:p w14:paraId="5DE1F932">
      <w:pPr>
        <w:spacing w:before="40" w:after="40"/>
      </w:pPr>
      <w:r>
        <w:rPr>
          <w:rFonts w:ascii="Arial" w:hAnsi="Arial" w:eastAsia="微软雅黑"/>
          <w:b w:val="0"/>
          <w:sz w:val="22"/>
        </w:rPr>
        <w:t>成本建模文档详见：output/docs/cost_modeling.md</w:t>
      </w:r>
    </w:p>
    <w:p w14:paraId="29F3FB62">
      <w:pPr>
        <w:pStyle w:val="3"/>
      </w:pPr>
      <w:r>
        <w:rPr>
          <w:color w:val="003366"/>
        </w:rPr>
        <w:t>附录B  项目文件清单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2894"/>
        <w:gridCol w:w="3663"/>
      </w:tblGrid>
      <w:tr w14:paraId="118D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481BD872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脚本</w:t>
            </w:r>
          </w:p>
        </w:tc>
        <w:tc>
          <w:tcPr>
            <w:tcW w:w="3135" w:type="dxa"/>
            <w:shd w:val="clear" w:color="auto" w:fill="008B80"/>
          </w:tcPr>
          <w:p w14:paraId="0BD28DF4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3135" w:type="dxa"/>
            <w:shd w:val="clear" w:color="auto" w:fill="008B80"/>
          </w:tcPr>
          <w:p w14:paraId="4938F85D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产出</w:t>
            </w:r>
          </w:p>
        </w:tc>
      </w:tr>
      <w:tr w14:paraId="41A9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57F05C6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download_data.py</w:t>
            </w:r>
          </w:p>
        </w:tc>
        <w:tc>
          <w:tcPr>
            <w:tcW w:w="3135" w:type="dxa"/>
            <w:shd w:val="clear" w:color="auto" w:fill="F0F4F8"/>
          </w:tcPr>
          <w:p w14:paraId="693FAB5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日线+4h数据下载</w:t>
            </w:r>
          </w:p>
        </w:tc>
        <w:tc>
          <w:tcPr>
            <w:tcW w:w="3135" w:type="dxa"/>
            <w:shd w:val="clear" w:color="auto" w:fill="F0F4F8"/>
          </w:tcPr>
          <w:p w14:paraId="7E58B1D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data/raw/</w:t>
            </w:r>
          </w:p>
        </w:tc>
      </w:tr>
      <w:tr w14:paraId="65D6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C5275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preprocess_data.py</w:t>
            </w:r>
          </w:p>
        </w:tc>
        <w:tc>
          <w:tcPr>
            <w:tcW w:w="3135" w:type="dxa"/>
          </w:tcPr>
          <w:p w14:paraId="2E7914A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时区对齐+缺失值处理</w:t>
            </w:r>
          </w:p>
        </w:tc>
        <w:tc>
          <w:tcPr>
            <w:tcW w:w="3135" w:type="dxa"/>
          </w:tcPr>
          <w:p w14:paraId="14DAB54E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data/interim/returns_clean.parquet</w:t>
            </w:r>
          </w:p>
        </w:tc>
      </w:tr>
      <w:tr w14:paraId="63EF9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62EC70F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factor_model.py</w:t>
            </w:r>
          </w:p>
        </w:tc>
        <w:tc>
          <w:tcPr>
            <w:tcW w:w="3135" w:type="dxa"/>
            <w:shd w:val="clear" w:color="auto" w:fill="F0F4F8"/>
          </w:tcPr>
          <w:p w14:paraId="554206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Ridge滚动回归+质量检验</w:t>
            </w:r>
          </w:p>
        </w:tc>
        <w:tc>
          <w:tcPr>
            <w:tcW w:w="3135" w:type="dxa"/>
            <w:shd w:val="clear" w:color="auto" w:fill="F0F4F8"/>
          </w:tcPr>
          <w:p w14:paraId="51A0B24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output/tables/factor_model_quality.xlsx</w:t>
            </w:r>
          </w:p>
        </w:tc>
      </w:tr>
      <w:tr w14:paraId="0ACA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BAFDAF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generate_signals.py</w:t>
            </w:r>
          </w:p>
        </w:tc>
        <w:tc>
          <w:tcPr>
            <w:tcW w:w="3135" w:type="dxa"/>
          </w:tcPr>
          <w:p w14:paraId="7291F58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z-score计算+信号规则</w:t>
            </w:r>
          </w:p>
        </w:tc>
        <w:tc>
          <w:tcPr>
            <w:tcW w:w="3135" w:type="dxa"/>
          </w:tcPr>
          <w:p w14:paraId="3D471EA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data/interim/signals/</w:t>
            </w:r>
          </w:p>
        </w:tc>
      </w:tr>
      <w:tr w14:paraId="5E61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11F33DD5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build_portfolio.py</w:t>
            </w:r>
          </w:p>
        </w:tc>
        <w:tc>
          <w:tcPr>
            <w:tcW w:w="3135" w:type="dxa"/>
            <w:shd w:val="clear" w:color="auto" w:fill="F0F4F8"/>
          </w:tcPr>
          <w:p w14:paraId="3B2DB65A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组合构建+风控逻辑</w:t>
            </w:r>
          </w:p>
        </w:tc>
        <w:tc>
          <w:tcPr>
            <w:tcW w:w="3135" w:type="dxa"/>
            <w:shd w:val="clear" w:color="auto" w:fill="F0F4F8"/>
          </w:tcPr>
          <w:p w14:paraId="16B1D2C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output/tables/portfolio_daily.parquet</w:t>
            </w:r>
          </w:p>
        </w:tc>
      </w:tr>
      <w:tr w14:paraId="3857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6616F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backtest.py</w:t>
            </w:r>
          </w:p>
        </w:tc>
        <w:tc>
          <w:tcPr>
            <w:tcW w:w="3135" w:type="dxa"/>
          </w:tcPr>
          <w:p w14:paraId="1768B37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回测引擎+成本建模</w:t>
            </w:r>
          </w:p>
        </w:tc>
        <w:tc>
          <w:tcPr>
            <w:tcW w:w="3135" w:type="dxa"/>
          </w:tcPr>
          <w:p w14:paraId="05FE199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output/tables/nav_curve.parquet</w:t>
            </w:r>
          </w:p>
        </w:tc>
      </w:tr>
      <w:tr w14:paraId="544D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456BEC4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risk_dashboard.py</w:t>
            </w:r>
          </w:p>
        </w:tc>
        <w:tc>
          <w:tcPr>
            <w:tcW w:w="3135" w:type="dxa"/>
            <w:shd w:val="clear" w:color="auto" w:fill="F0F4F8"/>
          </w:tcPr>
          <w:p w14:paraId="39EC943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风控可视化</w:t>
            </w:r>
          </w:p>
        </w:tc>
        <w:tc>
          <w:tcPr>
            <w:tcW w:w="3135" w:type="dxa"/>
            <w:shd w:val="clear" w:color="auto" w:fill="F0F4F8"/>
          </w:tcPr>
          <w:p w14:paraId="72500E5B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output/figures/</w:t>
            </w:r>
          </w:p>
        </w:tc>
      </w:tr>
      <w:tr w14:paraId="5FB0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B81729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generate_docx_report.py</w:t>
            </w:r>
          </w:p>
        </w:tc>
        <w:tc>
          <w:tcPr>
            <w:tcW w:w="3135" w:type="dxa"/>
          </w:tcPr>
          <w:p w14:paraId="74A96B0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Word报告生成</w:t>
            </w:r>
          </w:p>
        </w:tc>
        <w:tc>
          <w:tcPr>
            <w:tcW w:w="3135" w:type="dxa"/>
          </w:tcPr>
          <w:p w14:paraId="0808DA7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output/reports/strategy_report.docx</w:t>
            </w:r>
          </w:p>
        </w:tc>
      </w:tr>
    </w:tbl>
    <w:p w14:paraId="576940DC">
      <w:pPr>
        <w:spacing w:before="40"/>
      </w:pPr>
    </w:p>
    <w:p w14:paraId="6BF06BA8">
      <w:pPr>
        <w:pStyle w:val="3"/>
      </w:pPr>
      <w:r>
        <w:rPr>
          <w:color w:val="003366"/>
        </w:rPr>
        <w:t>附录C  运行说明</w:t>
      </w:r>
    </w:p>
    <w:p w14:paraId="00819F81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一、环境准备</w:t>
      </w:r>
    </w:p>
    <w:p w14:paraId="62293833">
      <w:pPr>
        <w:spacing w:before="40" w:after="40"/>
      </w:pPr>
      <w:r>
        <w:rPr>
          <w:rFonts w:ascii="Arial" w:hAnsi="Arial" w:eastAsia="微软雅黑"/>
          <w:b w:val="0"/>
          <w:sz w:val="22"/>
        </w:rPr>
        <w:t>Python &gt;= 3.9, 依赖安装: pip install -r requirements.txt</w:t>
      </w:r>
    </w:p>
    <w:p w14:paraId="251569C2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二、运行顺序（必须按此顺序）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5D6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008B80"/>
          </w:tcPr>
          <w:p w14:paraId="491F90E6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3135" w:type="dxa"/>
            <w:shd w:val="clear" w:color="auto" w:fill="008B80"/>
          </w:tcPr>
          <w:p w14:paraId="4A3EEF52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脚本</w:t>
            </w:r>
          </w:p>
        </w:tc>
        <w:tc>
          <w:tcPr>
            <w:tcW w:w="3135" w:type="dxa"/>
            <w:shd w:val="clear" w:color="auto" w:fill="008B80"/>
          </w:tcPr>
          <w:p w14:paraId="259BECE2">
            <w:pPr>
              <w:spacing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 w14:paraId="0A26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1188707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w="3135" w:type="dxa"/>
            <w:shd w:val="clear" w:color="auto" w:fill="F0F4F8"/>
          </w:tcPr>
          <w:p w14:paraId="4D16F9A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download_data.py</w:t>
            </w:r>
          </w:p>
        </w:tc>
        <w:tc>
          <w:tcPr>
            <w:tcW w:w="3135" w:type="dxa"/>
            <w:shd w:val="clear" w:color="auto" w:fill="F0F4F8"/>
          </w:tcPr>
          <w:p w14:paraId="0C3DD3D0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下载原始行情数据(日线+4h+资金费率)</w:t>
            </w:r>
          </w:p>
        </w:tc>
      </w:tr>
      <w:tr w14:paraId="036C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A82CF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w="3135" w:type="dxa"/>
          </w:tcPr>
          <w:p w14:paraId="1DB6568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preprocess_data.py</w:t>
            </w:r>
          </w:p>
        </w:tc>
        <w:tc>
          <w:tcPr>
            <w:tcW w:w="3135" w:type="dxa"/>
          </w:tcPr>
          <w:p w14:paraId="59B6079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清洗对齐, 生成收益率矩阵</w:t>
            </w:r>
          </w:p>
        </w:tc>
      </w:tr>
      <w:tr w14:paraId="0B78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0204A15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w="3135" w:type="dxa"/>
            <w:shd w:val="clear" w:color="auto" w:fill="F0F4F8"/>
          </w:tcPr>
          <w:p w14:paraId="50BD535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factor_model.py</w:t>
            </w:r>
          </w:p>
        </w:tc>
        <w:tc>
          <w:tcPr>
            <w:tcW w:w="3135" w:type="dxa"/>
            <w:shd w:val="clear" w:color="auto" w:fill="F0F4F8"/>
          </w:tcPr>
          <w:p w14:paraId="2DFD9963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Ridge滚动回归, 因子质量检验</w:t>
            </w:r>
          </w:p>
        </w:tc>
      </w:tr>
      <w:tr w14:paraId="2DCF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DC66B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w="3135" w:type="dxa"/>
          </w:tcPr>
          <w:p w14:paraId="78611E6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generate_signals.py</w:t>
            </w:r>
          </w:p>
        </w:tc>
        <w:tc>
          <w:tcPr>
            <w:tcW w:w="3135" w:type="dxa"/>
          </w:tcPr>
          <w:p w14:paraId="08D603B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z-score计算, 信号生成与交易记录</w:t>
            </w:r>
          </w:p>
        </w:tc>
      </w:tr>
      <w:tr w14:paraId="4F0A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03A7F6B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w="3135" w:type="dxa"/>
            <w:shd w:val="clear" w:color="auto" w:fill="F0F4F8"/>
          </w:tcPr>
          <w:p w14:paraId="3538EED8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build_portfolio.py</w:t>
            </w:r>
          </w:p>
        </w:tc>
        <w:tc>
          <w:tcPr>
            <w:tcW w:w="3135" w:type="dxa"/>
            <w:shd w:val="clear" w:color="auto" w:fill="F0F4F8"/>
          </w:tcPr>
          <w:p w14:paraId="22924111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组合构建, 风控逻辑, 仓位分配</w:t>
            </w:r>
          </w:p>
        </w:tc>
      </w:tr>
      <w:tr w14:paraId="3E54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54556C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6</w:t>
            </w:r>
          </w:p>
        </w:tc>
        <w:tc>
          <w:tcPr>
            <w:tcW w:w="3135" w:type="dxa"/>
          </w:tcPr>
          <w:p w14:paraId="75797DF7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backtest.py</w:t>
            </w:r>
          </w:p>
        </w:tc>
        <w:tc>
          <w:tcPr>
            <w:tcW w:w="3135" w:type="dxa"/>
          </w:tcPr>
          <w:p w14:paraId="5C36B6FD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回测引擎, 成本建模, 净值曲线</w:t>
            </w:r>
          </w:p>
        </w:tc>
      </w:tr>
      <w:tr w14:paraId="75D4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8"/>
          </w:tcPr>
          <w:p w14:paraId="3E4ED394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7</w:t>
            </w:r>
          </w:p>
        </w:tc>
        <w:tc>
          <w:tcPr>
            <w:tcW w:w="3135" w:type="dxa"/>
            <w:shd w:val="clear" w:color="auto" w:fill="F0F4F8"/>
          </w:tcPr>
          <w:p w14:paraId="1608C41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risk_dashboard.py</w:t>
            </w:r>
          </w:p>
        </w:tc>
        <w:tc>
          <w:tcPr>
            <w:tcW w:w="3135" w:type="dxa"/>
            <w:shd w:val="clear" w:color="auto" w:fill="F0F4F8"/>
          </w:tcPr>
          <w:p w14:paraId="6236CDA2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风控可视化图表生成</w:t>
            </w:r>
          </w:p>
        </w:tc>
      </w:tr>
      <w:tr w14:paraId="79B2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DAFBFF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8</w:t>
            </w:r>
          </w:p>
        </w:tc>
        <w:tc>
          <w:tcPr>
            <w:tcW w:w="3135" w:type="dxa"/>
          </w:tcPr>
          <w:p w14:paraId="4A3857D6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generate_docx_report.py</w:t>
            </w:r>
          </w:p>
        </w:tc>
        <w:tc>
          <w:tcPr>
            <w:tcW w:w="3135" w:type="dxa"/>
          </w:tcPr>
          <w:p w14:paraId="668E8899">
            <w:pPr>
              <w:spacing w:line="240" w:lineRule="auto"/>
            </w:pPr>
            <w:r>
              <w:rPr>
                <w:rFonts w:ascii="Arial" w:hAnsi="Arial" w:eastAsia="微软雅黑"/>
                <w:sz w:val="20"/>
              </w:rPr>
              <w:t>生成最终Word报告</w:t>
            </w:r>
          </w:p>
        </w:tc>
      </w:tr>
    </w:tbl>
    <w:p w14:paraId="79276608">
      <w:pPr>
        <w:spacing w:before="40"/>
      </w:pPr>
    </w:p>
    <w:p w14:paraId="42A16424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三、参数说明</w:t>
      </w:r>
    </w:p>
    <w:p w14:paraId="042AE4CC">
      <w:pPr>
        <w:spacing w:before="40" w:after="40"/>
      </w:pPr>
      <w:r>
        <w:rPr>
          <w:rFonts w:ascii="Arial" w:hAnsi="Arial" w:eastAsia="微软雅黑"/>
          <w:b w:val="0"/>
          <w:sz w:val="22"/>
        </w:rPr>
        <w:t>backtest.py 顶部可修改 ENTRY_Z(入场阈值,默认2.0)、EXIT_Z(平仓阈值,默认0.5)、STOP_Z(止损阈值,默认3.0) 三个参数。其他脚本无运行时参数。</w:t>
      </w:r>
    </w:p>
    <w:p w14:paraId="7565A596">
      <w:pPr>
        <w:spacing w:before="80" w:after="40"/>
      </w:pPr>
      <w:r>
        <w:rPr>
          <w:rFonts w:ascii="Arial" w:hAnsi="Arial" w:eastAsia="微软雅黑"/>
          <w:b/>
          <w:color w:val="003366"/>
          <w:sz w:val="22"/>
        </w:rPr>
        <w:t>四、输出文件</w:t>
      </w:r>
    </w:p>
    <w:p w14:paraId="1E298A7D">
      <w:pPr>
        <w:spacing w:before="40" w:after="40"/>
      </w:pPr>
      <w:r>
        <w:rPr>
          <w:rFonts w:ascii="Arial" w:hAnsi="Arial" w:eastAsia="微软雅黑"/>
          <w:b w:val="0"/>
          <w:sz w:val="22"/>
        </w:rPr>
        <w:t>最终报告: output/reports/strategy_report.docx（在Word中调格式后另存为PDF）</w:t>
      </w:r>
    </w:p>
    <w:p w14:paraId="47341B59">
      <w:pPr>
        <w:spacing w:before="40" w:after="40"/>
      </w:pPr>
      <w:r>
        <w:rPr>
          <w:rFonts w:ascii="Arial" w:hAnsi="Arial" w:eastAsia="微软雅黑"/>
          <w:b w:val="0"/>
          <w:sz w:val="22"/>
        </w:rPr>
        <w:t>中间数据: output/tables/ 目录下所有Excel/Parquet文件</w:t>
      </w:r>
    </w:p>
    <w:p w14:paraId="73CAA512">
      <w:pPr>
        <w:spacing w:before="40" w:after="40"/>
      </w:pPr>
      <w:r>
        <w:rPr>
          <w:rFonts w:ascii="Arial" w:hAnsi="Arial" w:eastAsia="微软雅黑"/>
          <w:b w:val="0"/>
          <w:sz w:val="22"/>
        </w:rPr>
        <w:t>可视化图表: output/figures/ 目录下所有PNG文件</w:t>
      </w:r>
    </w:p>
    <w:p w14:paraId="758458D4">
      <w:pPr>
        <w:spacing w:before="40" w:after="40"/>
      </w:pPr>
    </w:p>
    <w:p w14:paraId="58388BBA">
      <w:pPr>
        <w:spacing w:before="40" w:after="40"/>
        <w:jc w:val="center"/>
      </w:pPr>
      <w:r>
        <w:rPr>
          <w:rFonts w:ascii="Arial" w:hAnsi="Arial" w:eastAsia="微软雅黑"/>
          <w:b w:val="0"/>
          <w:color w:val="667788"/>
          <w:sz w:val="20"/>
        </w:rPr>
        <w:t>— 报告完 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3Dkiriej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3Dkirieji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2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80" w:line="276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963</Words>
  <Characters>1534</Characters>
  <Lines>0</Lines>
  <Paragraphs>0</Paragraphs>
  <TotalTime>2</TotalTime>
  <ScaleCrop>false</ScaleCrop>
  <LinksUpToDate>false</LinksUpToDate>
  <CharactersWithSpaces>1597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2026-07-01T07:36:31Z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eyJoZGlkIjoiNTQyZTE4ZDhlYmY3OGQ1NmE1MDRjYjE4OTMxZTFiNTkiLCJ1c2VySWQiOiIxMjM3ODQ1NjM5In0=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639C0B2DAC7B4026AB33845BF5317D44_12</vt:lpwstr>
  </property>
</Properties>
</file>