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before="0" w:after="0"/>
        <w:jc w:val="center"/>
      </w:pPr>
      <w:r>
        <w:rPr>
          <w:rFonts w:ascii="Arial" w:hAnsi="Arial" w:eastAsia="微软雅黑"/>
          <w:b/>
          <w:color w:val="003366"/>
          <w:sz w:val="56"/>
        </w:rPr>
        <w:t>跨市场特质均值回归策略</w:t>
      </w:r>
    </w:p>
    <w:p>
      <w:pPr>
        <w:spacing w:before="0" w:after="80"/>
        <w:jc w:val="center"/>
      </w:pPr>
      <w:r>
        <w:rPr>
          <w:rFonts w:ascii="Arial" w:hAnsi="Arial" w:eastAsia="微软雅黑"/>
          <w:b/>
          <w:color w:val="003366"/>
          <w:sz w:val="56"/>
        </w:rPr>
        <w:t>分 析 报 告</w:t>
      </w:r>
    </w:p>
    <w:p>
      <w:pPr>
        <w:spacing w:before="40" w:after="120"/>
        <w:jc w:val="center"/>
      </w:pPr>
      <w:r>
        <w:rPr>
          <w:rFonts w:ascii="Arial" w:hAnsi="Arial" w:eastAsia="微软雅黑"/>
          <w:b w:val="0"/>
          <w:color w:val="667788"/>
          <w:sz w:val="24"/>
        </w:rPr>
        <w:t>Idiosyncratic Mean-Reversion Statistical Arbitrage Strategy</w:t>
      </w:r>
    </w:p>
    <w:p/>
    <w:p>
      <w:pPr>
        <w:spacing w:before="40" w:after="40"/>
        <w:jc w:val="center"/>
      </w:pPr>
      <w:r>
        <w:rPr>
          <w:rFonts w:ascii="Arial" w:hAnsi="Arial" w:eastAsia="微软雅黑"/>
          <w:b w:val="0"/>
          <w:sz w:val="24"/>
        </w:rPr>
        <w:t>回测期间：2023-06-01 ~ 2026-06-29（3年，1125个交易日）</w:t>
      </w:r>
    </w:p>
    <w:p>
      <w:pPr>
        <w:spacing w:before="40" w:after="40"/>
        <w:jc w:val="center"/>
      </w:pPr>
      <w:r>
        <w:rPr>
          <w:rFonts w:ascii="Arial" w:hAnsi="Arial" w:eastAsia="微软雅黑"/>
          <w:b w:val="0"/>
          <w:sz w:val="24"/>
        </w:rPr>
        <w:t>初始资金：$10,000,000 | 标的池：5基准因子 + 25目标资产</w:t>
      </w:r>
    </w:p>
    <w:p>
      <w:pPr>
        <w:spacing w:before="40" w:after="40"/>
        <w:jc w:val="center"/>
      </w:pPr>
      <w:r>
        <w:rPr>
          <w:rFonts w:ascii="Arial" w:hAnsi="Arial" w:eastAsia="微软雅黑"/>
          <w:b w:val="0"/>
          <w:sz w:val="24"/>
        </w:rPr>
        <w:t>数据频率：日频 | 因子模型：Ridge回归(α=0.01) | 阈值：±2σ入场 / ±3σ止损</w:t>
      </w:r>
    </w:p>
    <w:p/>
    <w:p/>
    <w:p/>
    <w:p/>
    <w:p>
      <w:pPr>
        <w:spacing w:before="40" w:after="40"/>
        <w:jc w:val="center"/>
      </w:pPr>
      <w:r>
        <w:rPr>
          <w:rFonts w:ascii="Arial" w:hAnsi="Arial" w:eastAsia="微软雅黑"/>
          <w:b w:val="0"/>
          <w:color w:val="667788"/>
          <w:sz w:val="22"/>
        </w:rPr>
        <w:t>报告生成：2026年6月30日</w:t>
      </w:r>
    </w:p>
    <w:p>
      <w:pPr>
        <w:spacing w:before="40" w:after="40"/>
        <w:jc w:val="center"/>
      </w:pPr>
      <w:r>
        <w:rPr>
          <w:rFonts w:ascii="Arial" w:hAnsi="Arial" w:eastAsia="微软雅黑"/>
          <w:b w:val="0"/>
          <w:color w:val="C81E1E"/>
          <w:sz w:val="20"/>
        </w:rPr>
        <w:t>本报告基于回测数据，过往表现不代表未来收益。</w:t>
      </w:r>
    </w:p>
    <w:p>
      <w:r>
        <w:br w:type="page"/>
      </w:r>
    </w:p>
    <w:p>
      <w:pPr>
        <w:pStyle w:val="Heading1"/>
      </w:pPr>
      <w:r>
        <w:rPr>
          <w:color w:val="003366"/>
        </w:rPr>
        <w:t>目 录</w:t>
      </w:r>
    </w:p>
    <w:p>
      <w:pPr>
        <w:spacing w:before="80" w:after="80"/>
      </w:pPr>
      <w:r>
        <w:rPr>
          <w:rFonts w:ascii="Arial" w:hAnsi="Arial" w:eastAsia="微软雅黑"/>
          <w:b w:val="0"/>
          <w:sz w:val="24"/>
        </w:rPr>
        <w:t>一  标的池筛选与配对逻辑</w:t>
      </w:r>
    </w:p>
    <w:p>
      <w:pPr>
        <w:spacing w:before="80" w:after="80"/>
      </w:pPr>
      <w:r>
        <w:rPr>
          <w:rFonts w:ascii="Arial" w:hAnsi="Arial" w:eastAsia="微软雅黑"/>
          <w:b w:val="0"/>
          <w:sz w:val="24"/>
        </w:rPr>
        <w:t>二  因子模型构建与验证</w:t>
      </w:r>
    </w:p>
    <w:p>
      <w:pPr>
        <w:spacing w:before="80" w:after="80"/>
      </w:pPr>
      <w:r>
        <w:rPr>
          <w:rFonts w:ascii="Arial" w:hAnsi="Arial" w:eastAsia="微软雅黑"/>
          <w:b w:val="0"/>
          <w:sz w:val="24"/>
        </w:rPr>
        <w:t>三  信号生成与质量评估</w:t>
      </w:r>
    </w:p>
    <w:p>
      <w:pPr>
        <w:spacing w:before="80" w:after="80"/>
      </w:pPr>
      <w:r>
        <w:rPr>
          <w:rFonts w:ascii="Arial" w:hAnsi="Arial" w:eastAsia="微软雅黑"/>
          <w:b w:val="0"/>
          <w:sz w:val="24"/>
        </w:rPr>
        <w:t>四  组合构建与风险管理</w:t>
      </w:r>
    </w:p>
    <w:p>
      <w:pPr>
        <w:spacing w:before="80" w:after="80"/>
      </w:pPr>
      <w:r>
        <w:rPr>
          <w:rFonts w:ascii="Arial" w:hAnsi="Arial" w:eastAsia="微软雅黑"/>
          <w:b w:val="0"/>
          <w:sz w:val="24"/>
        </w:rPr>
        <w:t>五  回测引擎与成本建模</w:t>
      </w:r>
    </w:p>
    <w:p>
      <w:pPr>
        <w:spacing w:before="80" w:after="80"/>
      </w:pPr>
      <w:r>
        <w:rPr>
          <w:rFonts w:ascii="Arial" w:hAnsi="Arial" w:eastAsia="微软雅黑"/>
          <w:b w:val="0"/>
          <w:sz w:val="24"/>
        </w:rPr>
        <w:t>六  策略分析与评估</w:t>
      </w:r>
    </w:p>
    <w:p>
      <w:pPr>
        <w:spacing w:before="80" w:after="80"/>
      </w:pPr>
      <w:r>
        <w:rPr>
          <w:rFonts w:ascii="Arial" w:hAnsi="Arial" w:eastAsia="微软雅黑"/>
          <w:b w:val="0"/>
          <w:sz w:val="24"/>
        </w:rPr>
        <w:t>附录A  回测严谨性声明</w:t>
      </w:r>
    </w:p>
    <w:p>
      <w:pPr>
        <w:spacing w:before="80" w:after="80"/>
      </w:pPr>
      <w:r>
        <w:rPr>
          <w:rFonts w:ascii="Arial" w:hAnsi="Arial" w:eastAsia="微软雅黑"/>
          <w:b w:val="0"/>
          <w:sz w:val="24"/>
        </w:rPr>
        <w:t>附录B  项目文件清单</w:t>
      </w:r>
    </w:p>
    <w:p>
      <w:r>
        <w:br w:type="page"/>
      </w:r>
    </w:p>
    <w:p>
      <w:pPr>
        <w:pStyle w:val="Heading1"/>
      </w:pPr>
      <w:r>
        <w:rPr>
          <w:color w:val="003366"/>
        </w:rPr>
        <w:t>第一章  标的池筛选与配对逻辑</w:t>
      </w:r>
    </w:p>
    <w:p>
      <w:pPr>
        <w:pStyle w:val="Heading2"/>
      </w:pPr>
      <w:r>
        <w:rPr>
          <w:color w:val="003366"/>
        </w:rPr>
        <w:t>1.1  标的池概述</w:t>
      </w:r>
    </w:p>
    <w:p>
      <w:pPr>
        <w:spacing w:before="40" w:after="40"/>
      </w:pPr>
      <w:r>
        <w:rPr>
          <w:rFonts w:ascii="Arial" w:hAnsi="Arial" w:eastAsia="微软雅黑"/>
          <w:b w:val="0"/>
          <w:sz w:val="22"/>
        </w:rPr>
        <w:t>标的池从Binance全市场资产中按三大类别筛选，共30个标的（5基准因子+25目标资产）。筛选标准：与加密/科技板块有明显业务关联、流动性充足（日均成交额超过$100M）、有清晰的因子归属逻辑、2023-2026回测期内持续在Binance上线。剔除标的：HOOD（因子归属模糊）、SQ（支付业务占比高）、JTO（数据区间过短）。</w:t>
      </w:r>
    </w:p>
    <w:p>
      <w:pPr>
        <w:pStyle w:val="Heading2"/>
      </w:pPr>
      <w:r>
        <w:rPr>
          <w:color w:val="003366"/>
        </w:rPr>
        <w:t>1.2  标的池清单</w:t>
      </w:r>
    </w:p>
    <w:p>
      <w:pPr>
        <w:spacing w:before="80" w:after="40"/>
      </w:pPr>
      <w:r>
        <w:rPr>
          <w:rFonts w:ascii="Arial" w:hAnsi="Arial" w:eastAsia="微软雅黑"/>
          <w:b/>
          <w:color w:val="003366"/>
          <w:sz w:val="22"/>
        </w:rPr>
        <w:t>（1）基准因子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代码</w:t>
            </w:r>
          </w:p>
        </w:tc>
        <w:tc>
          <w:tcPr>
            <w:tcW w:type="dxa" w:w="3135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3135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类型</w:t>
            </w:r>
          </w:p>
        </w:tc>
      </w:tr>
      <w:tr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BTC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BTCUSDT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crypto_spot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ETH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ETHUSDT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crypto_spot</w:t>
            </w:r>
          </w:p>
        </w:tc>
      </w:tr>
      <w:tr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SPY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SPYUSDT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tradfi_perp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QQQ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QQQUSDT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tradfi_perp</w:t>
            </w:r>
          </w:p>
        </w:tc>
      </w:tr>
      <w:tr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SMH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SMHUSDT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tradfi_perp</w:t>
            </w:r>
          </w:p>
        </w:tc>
      </w:tr>
    </w:tbl>
    <w:p>
      <w:pPr>
        <w:spacing w:before="40"/>
      </w:pPr>
    </w:p>
    <w:p>
      <w:pPr>
        <w:spacing w:before="80" w:after="40"/>
      </w:pPr>
      <w:r>
        <w:rPr>
          <w:rFonts w:ascii="Arial" w:hAnsi="Arial" w:eastAsia="微软雅黑"/>
          <w:b/>
          <w:color w:val="003366"/>
          <w:sz w:val="22"/>
        </w:rPr>
        <w:t>（2）币股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代码</w:t>
            </w:r>
          </w:p>
        </w:tc>
        <w:tc>
          <w:tcPr>
            <w:tcW w:type="dxa" w:w="3135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3135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因子组合</w:t>
            </w:r>
          </w:p>
        </w:tc>
      </w:tr>
      <w:tr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MSTR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MicroStrategy，持有约25万枚BTC，BTC代理股+科技股属性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BTC, QQQ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COIN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美国最大加密交易所，收入挂钩BTC/ETH交易量，估值受美股科技股影响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BTC, ETH, QQQ</w:t>
            </w:r>
          </w:p>
        </w:tc>
      </w:tr>
      <w:tr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MARA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美国最大比特币矿企之一，收入靠BTC，成本靠半导体矿机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BTC, SMH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RIOT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另一大矿企，和MARA高度相关，收入靠BTC，成本靠半导体矿机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BTC, SMH</w:t>
            </w:r>
          </w:p>
        </w:tc>
      </w:tr>
      <w:tr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CLSK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矿企，和MARA/RIOT同类，收入靠BTC，成本靠半导体矿机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BTC, SMH</w:t>
            </w:r>
          </w:p>
        </w:tc>
      </w:tr>
    </w:tbl>
    <w:p>
      <w:pPr>
        <w:spacing w:before="40"/>
      </w:pPr>
    </w:p>
    <w:p>
      <w:pPr>
        <w:spacing w:before="80" w:after="40"/>
      </w:pPr>
      <w:r>
        <w:rPr>
          <w:rFonts w:ascii="Arial" w:hAnsi="Arial" w:eastAsia="微软雅黑"/>
          <w:b/>
          <w:color w:val="003366"/>
          <w:sz w:val="22"/>
        </w:rPr>
        <w:t>（3）加密资产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代码</w:t>
            </w:r>
          </w:p>
        </w:tc>
        <w:tc>
          <w:tcPr>
            <w:tcW w:type="dxa" w:w="3135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3135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因子组合</w:t>
            </w:r>
          </w:p>
        </w:tc>
      </w:tr>
      <w:tr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SOL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高性能L1公链，系统性风险由BTC代理，ETH走势影响整个L1赛道估值重定价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BTC, ETH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BNB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币安平台币，系统性因子BTC+ETH（币安交易生态），特质来自BSC/Launchpad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BTC, ETH</w:t>
            </w:r>
          </w:p>
        </w:tc>
      </w:tr>
      <w:tr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XRP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跨境支付币，整体加密流动性受ETH+BTC双重影响，特质来自SEC监管和银行采用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BTC, ETH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ADA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学术派L1公链，整体L1赛道系统性风险由BTC+ETH代理，特质来自生态发展缓慢的补涨特征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BTC, ETH</w:t>
            </w:r>
          </w:p>
        </w:tc>
      </w:tr>
      <w:tr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AVAX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EVM兼容L1，双因子BTC+ETH，特质来自子网技术和企业合作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BTC, ETH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ARB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Arbitrum，最大ETH L2，系统性因子ETH+BTC，特质来自L2赛道竞争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ETH, BTC</w:t>
            </w:r>
          </w:p>
        </w:tc>
      </w:tr>
      <w:tr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OP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Optimism，第二大ETH L2，系统性因子ETH+BTC，特质来自Superchain竞争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ETH, BTC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UNI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Uniswap，最大DEX，系统性因子ETH+BTC，特质来自V4升级和费用开关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ETH, BTC</w:t>
            </w:r>
          </w:p>
        </w:tc>
      </w:tr>
      <w:tr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AAVE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去中心化借贷，系统性因子ETH+BTC，特质来自GHO稳定币和多链扩展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ETH, BTC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LDO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Lido ETH质押协议，系统性因子ETH+BTC，特质来自再质押(EigenLayer)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ETH, BTC</w:t>
            </w:r>
          </w:p>
        </w:tc>
      </w:tr>
      <w:tr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DOGE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Meme币，散户情绪温度计，单因子BTC足够，特质来自马斯克效应和社交媒体热度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BTC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LINK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Chainlink预言机，ETH生态基础设施，系统性因子ETH+BTC，特质来自CCIP跨链协议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ETH, BTC</w:t>
            </w:r>
          </w:p>
        </w:tc>
      </w:tr>
    </w:tbl>
    <w:p>
      <w:pPr>
        <w:spacing w:before="40"/>
      </w:pPr>
    </w:p>
    <w:p>
      <w:pPr>
        <w:spacing w:before="80" w:after="40"/>
      </w:pPr>
      <w:r>
        <w:rPr>
          <w:rFonts w:ascii="Arial" w:hAnsi="Arial" w:eastAsia="微软雅黑"/>
          <w:b/>
          <w:color w:val="003366"/>
          <w:sz w:val="22"/>
        </w:rPr>
        <w:t>（4）美股永续合约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代码</w:t>
            </w:r>
          </w:p>
        </w:tc>
        <w:tc>
          <w:tcPr>
            <w:tcW w:type="dxa" w:w="3135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3135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因子组合</w:t>
            </w:r>
          </w:p>
        </w:tc>
      </w:tr>
      <w:tr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NVDA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英伟达，AI芯片龙头，双因子QQQ+SMH，特质来自AI算力需求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QQQ, SMH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AMD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AMD，NVDA竞争对手，双因子QQQ+SMH，特质来自CPU/GPU市场份额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QQQ, SMH</w:t>
            </w:r>
          </w:p>
        </w:tc>
      </w:tr>
      <w:tr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TSLA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特斯拉，电动车芯片需求+AI Dojo算力依赖半导体，特质来自马斯克效应和电动车周期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QQQ, SMH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AAPL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苹果，A/M系列芯片自研，半导体供应链敏感，特质来自iPhone周期和服务收入转型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QQQ, SMH</w:t>
            </w:r>
          </w:p>
        </w:tc>
      </w:tr>
      <w:tr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MSFT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微软，Azure AI基础设施（GPU/TPU依赖半导体），特质来自AI Copilot商业化和Azure增长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QQQ, SMH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META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Meta，AI算力投资+VR/AR硬件都是芯片密集型，特质来自广告周期和元宇宙投资冲突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QQQ, SMH</w:t>
            </w:r>
          </w:p>
        </w:tc>
      </w:tr>
      <w:tr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AMZN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亚马逊，AWS自研芯片Graviton/Trainium依赖半导体供应链，特质来自电商利润率vs AWS增长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QQQ, SMH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GOOGL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谷歌，TPU芯片自研+AI数据中心依赖半导体，特质来自AI搜索威胁和Gemini防御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QQQ, SMH</w:t>
            </w:r>
          </w:p>
        </w:tc>
      </w:tr>
    </w:tbl>
    <w:p>
      <w:pPr>
        <w:spacing w:before="40"/>
      </w:pPr>
    </w:p>
    <w:p>
      <w:pPr>
        <w:pStyle w:val="Heading2"/>
      </w:pPr>
      <w:r>
        <w:rPr>
          <w:color w:val="003366"/>
        </w:rPr>
        <w:t>1.3  配对经济学逻辑</w:t>
      </w:r>
    </w:p>
    <w:p>
      <w:pPr>
        <w:spacing w:before="40" w:after="40"/>
      </w:pPr>
      <w:r>
        <w:rPr>
          <w:rFonts w:ascii="Arial" w:hAnsi="Arial" w:eastAsia="微软雅黑"/>
          <w:b w:val="0"/>
          <w:sz w:val="22"/>
        </w:rPr>
        <w:t>以下6组配对基于资产间的经济关联性和因子暴露结构设计。每组配对均以一个目标资产为核心，配置2-3个基准因子用于对冲系统性风险，保留特质残差用于均值回归交易。</w:t>
      </w:r>
    </w:p>
    <w:p>
      <w:pPr>
        <w:spacing w:before="80" w:after="40"/>
      </w:pPr>
      <w:r>
        <w:rPr>
          <w:rFonts w:ascii="Arial" w:hAnsi="Arial" w:eastAsia="微软雅黑"/>
          <w:b/>
          <w:color w:val="003366"/>
          <w:sz w:val="22"/>
        </w:rPr>
        <w:t>配对汇总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配对类型</w:t>
            </w:r>
          </w:p>
        </w:tc>
        <w:tc>
          <w:tcPr>
            <w:tcW w:type="dxa" w:w="3135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示例</w:t>
            </w:r>
          </w:p>
        </w:tc>
        <w:tc>
          <w:tcPr>
            <w:tcW w:type="dxa" w:w="3135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核心驱动</w:t>
            </w:r>
          </w:p>
        </w:tc>
      </w:tr>
      <w:tr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币股 &lt;- BTC+QQQ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MSTR &lt;- BTC+QQQ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BTC价值 + 科技股估值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币股 &lt;- BTC+SMH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MARA &lt;- BTC+SMH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BTC价格 + 芯片成本</w:t>
            </w:r>
          </w:p>
        </w:tc>
      </w:tr>
      <w:tr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L2/DeFi &lt;- ETH+BTC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ARB &lt;- ETH+BTC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ETH生态 + 加密β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L1公链 &lt;- BTC+ETH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SOL &lt;- BTC+ETH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L1赛道 + 加密β</w:t>
            </w:r>
          </w:p>
        </w:tc>
      </w:tr>
      <w:tr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美股Perp &lt;- QQQ+SMH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NVDA &lt;- QQQ+SMH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科技β + 半导体β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平台币 &lt;- BTC+ETH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BNB &lt;- BTC+ETH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交易量驱动 + 加密β</w:t>
            </w:r>
          </w:p>
        </w:tc>
      </w:tr>
    </w:tbl>
    <w:p>
      <w:pPr>
        <w:spacing w:before="40"/>
      </w:pPr>
    </w:p>
    <w:p>
      <w:pPr>
        <w:spacing w:before="40" w:after="0"/>
      </w:pPr>
      <w:r>
        <w:rPr>
          <w:rFonts w:ascii="Arial" w:hAnsi="Arial" w:eastAsia="微软雅黑"/>
          <w:b w:val="0"/>
          <w:sz w:val="22"/>
        </w:rPr>
      </w:r>
    </w:p>
    <w:p>
      <w:pPr>
        <w:spacing w:before="120" w:after="40"/>
      </w:pPr>
      <w:r>
        <w:rPr>
          <w:rFonts w:ascii="Arial" w:hAnsi="Arial" w:eastAsia="微软雅黑"/>
          <w:b/>
          <w:color w:val="003366"/>
          <w:sz w:val="22"/>
        </w:rPr>
        <w:t>配对一：MSTR &lt;- BTC + QQQ</w:t>
      </w:r>
    </w:p>
    <w:p>
      <w:pPr>
        <w:spacing w:before="40" w:after="40"/>
      </w:pPr>
      <w:r>
        <w:rPr>
          <w:rFonts w:ascii="Arial" w:hAnsi="Arial" w:eastAsia="微软雅黑"/>
          <w:b w:val="0"/>
          <w:sz w:val="22"/>
        </w:rPr>
        <w:t>MSTR（MicroStrategy）持有约25万枚BTC，是全球最大的企业BTC持有者，其股价与BTC价格高度联动。但MSTR同时是一家企业软件公司，拥有商业智能（BI）业务线，因此其估值也受科技板块整体走势的影响。QQQ（纳斯达克100 ETF）代表科技板块β，当BTC上涨而科技板块下跌时，MSTR的定价会出现跨市场偏差——BTC推高其估值，但QQQ拉低，导致回归性特质残差。</w:t>
      </w:r>
    </w:p>
    <w:p>
      <w:pPr>
        <w:spacing w:before="20" w:after="40"/>
      </w:pPr>
      <w:r>
        <w:rPr>
          <w:rFonts w:ascii="Arial" w:hAnsi="Arial" w:eastAsia="微软雅黑"/>
          <w:b w:val="0"/>
          <w:color w:val="667788"/>
          <w:sz w:val="20"/>
        </w:rPr>
        <w:t>理论保质期：若MSTR显著减持BTC持仓（如管理层变更或监管要求），其对BTC的β暴露将下降，配对逻辑减弱。此外，若MSTR被纳入标普500等主流指数，其股价驱动因素将更加多元化，降低对BTC+QQQ的依赖度。</w:t>
      </w:r>
    </w:p>
    <w:p>
      <w:pPr>
        <w:spacing w:before="40" w:after="0"/>
      </w:pPr>
      <w:r>
        <w:rPr>
          <w:rFonts w:ascii="Arial" w:hAnsi="Arial" w:eastAsia="微软雅黑"/>
          <w:b w:val="0"/>
          <w:sz w:val="22"/>
        </w:rPr>
      </w:r>
    </w:p>
    <w:p>
      <w:pPr>
        <w:spacing w:before="120" w:after="40"/>
      </w:pPr>
      <w:r>
        <w:rPr>
          <w:rFonts w:ascii="Arial" w:hAnsi="Arial" w:eastAsia="微软雅黑"/>
          <w:b/>
          <w:color w:val="003366"/>
          <w:sz w:val="22"/>
        </w:rPr>
        <w:t>配对二：MARA &lt;- BTC + SMH</w:t>
      </w:r>
    </w:p>
    <w:p>
      <w:pPr>
        <w:spacing w:before="40" w:after="40"/>
      </w:pPr>
      <w:r>
        <w:rPr>
          <w:rFonts w:ascii="Arial" w:hAnsi="Arial" w:eastAsia="微软雅黑"/>
          <w:b w:val="0"/>
          <w:sz w:val="22"/>
        </w:rPr>
        <w:t>MARA（Marathon Digital）是美国最大的比特币矿企之一，收入完全取决于BTC挖矿产出和BTC市场价格。矿企的运营成本高度依赖ASIC矿机及GPU芯片的采购价格，SMH（半导体ETF）精准反映了芯片成本端的变化。当BTC上涨但芯片成本因供应链紧张同步上升时，矿企的利润空间反而可能被压缩，形成MARA相对BTC+SMH的定价偏差。</w:t>
      </w:r>
    </w:p>
    <w:p>
      <w:pPr>
        <w:spacing w:before="20" w:after="40"/>
      </w:pPr>
      <w:r>
        <w:rPr>
          <w:rFonts w:ascii="Arial" w:hAnsi="Arial" w:eastAsia="微软雅黑"/>
          <w:b w:val="0"/>
          <w:color w:val="667788"/>
          <w:sz w:val="20"/>
        </w:rPr>
        <w:t>理论保质期：部分矿企正逐步转型为AI算力提供商或数据中心运营商（如HPC业务），若MARA开展此类非挖矿业务，其收入驱动因素将不再纯粹绑定BTC+半导体，配对关系需要重新评估。</w:t>
      </w:r>
    </w:p>
    <w:p>
      <w:pPr>
        <w:spacing w:before="40" w:after="0"/>
      </w:pPr>
      <w:r>
        <w:rPr>
          <w:rFonts w:ascii="Arial" w:hAnsi="Arial" w:eastAsia="微软雅黑"/>
          <w:b w:val="0"/>
          <w:sz w:val="22"/>
        </w:rPr>
      </w:r>
    </w:p>
    <w:p>
      <w:pPr>
        <w:spacing w:before="120" w:after="40"/>
      </w:pPr>
      <w:r>
        <w:rPr>
          <w:rFonts w:ascii="Arial" w:hAnsi="Arial" w:eastAsia="微软雅黑"/>
          <w:b/>
          <w:color w:val="003366"/>
          <w:sz w:val="22"/>
        </w:rPr>
        <w:t>配对三：ARB &lt;- ETH + BTC</w:t>
      </w:r>
    </w:p>
    <w:p>
      <w:pPr>
        <w:spacing w:before="40" w:after="40"/>
      </w:pPr>
      <w:r>
        <w:rPr>
          <w:rFonts w:ascii="Arial" w:hAnsi="Arial" w:eastAsia="微软雅黑"/>
          <w:b w:val="0"/>
          <w:sz w:val="22"/>
        </w:rPr>
        <w:t>ARB（Arbitrum）是以太坊上最大的L2扩容方案，其代币价值与ETH生态活跃度高度相关。当以太坊网络拥堵、Gas费高企时，用户和流动性向L2迁移，ARB的使用量和估值上升。BTC作为整个加密市场的基准β，覆盖ARB无法通过ETH解释的系统性风险。该配对的核心逻辑是：L2代币的估值应当与底层L1（ETH）和整体市场（BTC）保持合理比例关系。</w:t>
      </w:r>
    </w:p>
    <w:p>
      <w:pPr>
        <w:spacing w:before="20" w:after="40"/>
      </w:pPr>
      <w:r>
        <w:rPr>
          <w:rFonts w:ascii="Arial" w:hAnsi="Arial" w:eastAsia="微软雅黑"/>
          <w:b w:val="0"/>
          <w:color w:val="667788"/>
          <w:sz w:val="20"/>
        </w:rPr>
        <w:t>理论保质期：若ARB代币的治理价值大幅解锁（代币通胀），或Arbitrum在L2竞争中被zk-Rollup技术路线超越，其相对ETH的估值逻辑将弱化。极端情况下，ETH若自身迁移至L2友好架构，ARB的存在价值也会下降。</w:t>
      </w:r>
    </w:p>
    <w:p>
      <w:pPr>
        <w:spacing w:before="40" w:after="0"/>
      </w:pPr>
      <w:r>
        <w:rPr>
          <w:rFonts w:ascii="Arial" w:hAnsi="Arial" w:eastAsia="微软雅黑"/>
          <w:b w:val="0"/>
          <w:sz w:val="22"/>
        </w:rPr>
      </w:r>
    </w:p>
    <w:p>
      <w:pPr>
        <w:spacing w:before="120" w:after="40"/>
      </w:pPr>
      <w:r>
        <w:rPr>
          <w:rFonts w:ascii="Arial" w:hAnsi="Arial" w:eastAsia="微软雅黑"/>
          <w:b/>
          <w:color w:val="003366"/>
          <w:sz w:val="22"/>
        </w:rPr>
        <w:t>配对四：SOL &lt;- BTC + ETH</w:t>
      </w:r>
    </w:p>
    <w:p>
      <w:pPr>
        <w:spacing w:before="40" w:after="40"/>
      </w:pPr>
      <w:r>
        <w:rPr>
          <w:rFonts w:ascii="Arial" w:hAnsi="Arial" w:eastAsia="微软雅黑"/>
          <w:b w:val="0"/>
          <w:sz w:val="22"/>
        </w:rPr>
        <w:t>SOL（Solana）是市值第2大的L1公链，与ETH构成直接竞争关系。当ETH生态繁荣时，L1赛道整体估值提升，SOL同步受益。BTC代表加密市场的系统性β，ETH代表L1赛道估值锚点。SOL相对于BTC+ETH的定价偏差出现在L1竞争格局变化时——例如SOL链上活动增速远超ETH时，其估值应相对抬升；反之则被压缩。</w:t>
      </w:r>
    </w:p>
    <w:p>
      <w:pPr>
        <w:spacing w:before="20" w:after="40"/>
      </w:pPr>
      <w:r>
        <w:rPr>
          <w:rFonts w:ascii="Arial" w:hAnsi="Arial" w:eastAsia="微软雅黑"/>
          <w:b w:val="0"/>
          <w:color w:val="667788"/>
          <w:sz w:val="20"/>
        </w:rPr>
        <w:t>理论保质期：若SOL生态出现重大安全事件（如历史性的网络宕机问题再次发生），市场将对SOL的可靠性重新定价，其与ETH的竞争关系变为替代关系，配对假设不再成立。</w:t>
      </w:r>
    </w:p>
    <w:p>
      <w:pPr>
        <w:spacing w:before="40" w:after="0"/>
      </w:pPr>
      <w:r>
        <w:rPr>
          <w:rFonts w:ascii="Arial" w:hAnsi="Arial" w:eastAsia="微软雅黑"/>
          <w:b w:val="0"/>
          <w:sz w:val="22"/>
        </w:rPr>
      </w:r>
    </w:p>
    <w:p>
      <w:pPr>
        <w:spacing w:before="120" w:after="40"/>
      </w:pPr>
      <w:r>
        <w:rPr>
          <w:rFonts w:ascii="Arial" w:hAnsi="Arial" w:eastAsia="微软雅黑"/>
          <w:b/>
          <w:color w:val="003366"/>
          <w:sz w:val="22"/>
        </w:rPr>
        <w:t>配对五：NVDA &lt;- QQQ + SMH</w:t>
      </w:r>
    </w:p>
    <w:p>
      <w:pPr>
        <w:spacing w:before="40" w:after="40"/>
      </w:pPr>
      <w:r>
        <w:rPr>
          <w:rFonts w:ascii="Arial" w:hAnsi="Arial" w:eastAsia="微软雅黑"/>
          <w:b w:val="0"/>
          <w:sz w:val="22"/>
        </w:rPr>
        <w:t>NVDA（NVIDIA）作为AI芯片龙头，同时受科技整体估值和半导体周期的双重驱动。QQQ覆盖科技板块β，SMH覆盖半导体行业β。当AI需求爆发而科技板块整体回调时，NVDA会出现相对于QQQ+SMH的超额表现（被低估或被高估），形成均值回归机会。这是一个典型的跨市场配对：同只股票在不同因子视角下的定价偏差。</w:t>
      </w:r>
    </w:p>
    <w:p>
      <w:pPr>
        <w:spacing w:before="20" w:after="40"/>
      </w:pPr>
      <w:r>
        <w:rPr>
          <w:rFonts w:ascii="Arial" w:hAnsi="Arial" w:eastAsia="微软雅黑"/>
          <w:b w:val="0"/>
          <w:color w:val="667788"/>
          <w:sz w:val="20"/>
        </w:rPr>
        <w:t>理论保质期：若AI投资泡沫破裂或NVDA在GPU市场份额被AMD/自研芯片侵蚀，其双重驱动逻辑将弱化，NVDA可能回归纯科技股的单一β定价。</w:t>
      </w:r>
    </w:p>
    <w:p>
      <w:pPr>
        <w:spacing w:before="40" w:after="0"/>
      </w:pPr>
      <w:r>
        <w:rPr>
          <w:rFonts w:ascii="Arial" w:hAnsi="Arial" w:eastAsia="微软雅黑"/>
          <w:b w:val="0"/>
          <w:sz w:val="22"/>
        </w:rPr>
      </w:r>
    </w:p>
    <w:p>
      <w:pPr>
        <w:spacing w:before="120" w:after="40"/>
      </w:pPr>
      <w:r>
        <w:rPr>
          <w:rFonts w:ascii="Arial" w:hAnsi="Arial" w:eastAsia="微软雅黑"/>
          <w:b/>
          <w:color w:val="003366"/>
          <w:sz w:val="22"/>
        </w:rPr>
        <w:t>配对六：BNB &lt;- BTC + ETH</w:t>
      </w:r>
    </w:p>
    <w:p>
      <w:pPr>
        <w:spacing w:before="40" w:after="40"/>
      </w:pPr>
      <w:r>
        <w:rPr>
          <w:rFonts w:ascii="Arial" w:hAnsi="Arial" w:eastAsia="微软雅黑"/>
          <w:b w:val="0"/>
          <w:sz w:val="22"/>
        </w:rPr>
        <w:t>BNB是币安平台币，币安的核心收入来自现货及合约交易手续费，与BTC/ETH的交易量高度相关。当BTC/ETH价格上涨时，市场交易情绪上升，交易量放大，BNB受益于平台收入增长。另外，BNB还承担币安智能链（BSC）的Gas费功能，BSC生态活跃度也影响其估值。该配对的核心逻辑是：平台币的估值应当与主要交易品种（BTC+ETH）的活跃度保持合理比例。</w:t>
      </w:r>
    </w:p>
    <w:p>
      <w:pPr>
        <w:spacing w:before="20" w:after="40"/>
      </w:pPr>
      <w:r>
        <w:rPr>
          <w:rFonts w:ascii="Arial" w:hAnsi="Arial" w:eastAsia="微软雅黑"/>
          <w:b w:val="0"/>
          <w:color w:val="667788"/>
          <w:sz w:val="20"/>
        </w:rPr>
        <w:t>理论保质期：全球监管趋严可能导致币安市场份额下降，或BNB被认定为证券的司法裁决会改变其估值框架。另外，若币安市场份额被OKX/DYdX等竞对大幅侵蚀，BNB的估值锚点将从BTC/ETH转向平台自身基本面。</w:t>
      </w:r>
    </w:p>
    <w:p>
      <w:r>
        <w:br w:type="page"/>
      </w:r>
    </w:p>
    <w:p>
      <w:pPr>
        <w:pStyle w:val="Heading1"/>
      </w:pPr>
      <w:r>
        <w:rPr>
          <w:color w:val="003366"/>
        </w:rPr>
        <w:t>第二章  因子模型构建与验证</w:t>
      </w:r>
    </w:p>
    <w:p>
      <w:pPr>
        <w:spacing w:before="40" w:after="40"/>
      </w:pPr>
      <w:r>
        <w:rPr>
          <w:rFonts w:ascii="Arial" w:hAnsi="Arial" w:eastAsia="微软雅黑"/>
          <w:b w:val="0"/>
          <w:sz w:val="22"/>
        </w:rPr>
        <w:t>采用Ridge回归（α=0.01）滚动估计，窗口90个交易日/步长22天。Ridge回归通过L2正则化有效处理因子共线性——当BTC与ETH高度相关时，OLS的β估计会剧烈波动，而Ridge通过惩罚大系数使估计更稳定。这一设计是本回测框架的核心技术优势。</w:t>
      </w:r>
    </w:p>
    <w:p>
      <w:pPr>
        <w:pStyle w:val="Heading2"/>
      </w:pPr>
      <w:r>
        <w:rPr>
          <w:color w:val="003366"/>
        </w:rPr>
        <w:t>2.1  模型质量表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代码</w:t>
            </w:r>
          </w:p>
        </w:tc>
        <w:tc>
          <w:tcPr>
            <w:tcW w:type="dxa" w:w="1568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因子组合</w:t>
            </w:r>
          </w:p>
        </w:tc>
        <w:tc>
          <w:tcPr>
            <w:tcW w:type="dxa" w:w="1568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R²均值</w:t>
            </w:r>
          </w:p>
        </w:tc>
        <w:tc>
          <w:tcPr>
            <w:tcW w:type="dxa" w:w="1568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ADF p(日频残差)</w:t>
            </w:r>
          </w:p>
        </w:tc>
        <w:tc>
          <w:tcPr>
            <w:tcW w:type="dxa" w:w="1568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ADF p(累积残差)</w:t>
            </w:r>
          </w:p>
        </w:tc>
        <w:tc>
          <w:tcPr>
            <w:tcW w:type="dxa" w:w="1568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通过</w:t>
            </w:r>
          </w:p>
        </w:tc>
      </w:tr>
      <w:tr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NVDA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QQQ+SMH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0.676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0.6446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ARB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ETH+BTC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0.638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0.1791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SOL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BTC+ETH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0.625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0.6660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LINK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ETH+BTC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0.613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3.55e-30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0.2025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ADA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BTC+ETH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0.613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0.4410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AVAX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BTC+ETH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0.599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1.05e-29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0.1491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LDO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ETH+BTC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0.595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0.2436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AAVE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ETH+BTC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0.569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0.5021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AMD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QQQ+SMH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0.559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0.5900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DOGE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BTC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0.557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0.1548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BNB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BTC+ETH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0.542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0.4320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UNI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ETH+BTC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0.540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0.0167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通过</w:t>
            </w:r>
          </w:p>
        </w:tc>
      </w:tr>
      <w:tr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OP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ETH+BTC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0.537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0.5027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AMZN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QQQ+SMH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0.536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0.0226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通过</w:t>
            </w:r>
          </w:p>
        </w:tc>
      </w:tr>
      <w:tr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MSTR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BTC+QQQ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0.535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0.6320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MSFT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QQQ+SMH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0.529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6.92e-30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0.2060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XRP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BTC+ETH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0.471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0.6410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COIN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BTC+ETH+QQQ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0.454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0.0963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META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QQQ+SMH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0.440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0.5391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AAPL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QQQ+SMH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0.434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1.58e-25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0.3526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GOOGL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QQQ+SMH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0.424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0.4847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MARA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BTC+SMH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0.421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0.5396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RIOT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BTC+SMH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0.414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1.85e-28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0.7160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CLSK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BTC+SMH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0.385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8.37e-27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0.2335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TSLA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QQQ+SMH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0.369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0.2178</w:t>
            </w:r>
          </w:p>
        </w:tc>
        <w:tc>
          <w:tcPr>
            <w:tcW w:type="dxa" w:w="1568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代码</w:t>
            </w:r>
          </w:p>
        </w:tc>
        <w:tc>
          <w:tcPr>
            <w:tcW w:type="dxa" w:w="2351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β_BTC</w:t>
            </w:r>
          </w:p>
        </w:tc>
        <w:tc>
          <w:tcPr>
            <w:tcW w:type="dxa" w:w="2351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β_ETH</w:t>
            </w:r>
          </w:p>
        </w:tc>
        <w:tc>
          <w:tcPr>
            <w:tcW w:type="dxa" w:w="2351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β_QQQ</w:t>
            </w:r>
          </w:p>
        </w:tc>
      </w:tr>
      <w:tr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NVDA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0.28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ARB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0.22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0.98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-</w:t>
            </w:r>
          </w:p>
        </w:tc>
      </w:tr>
      <w:tr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SOL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0.65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0.55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-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LINK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0.39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0.72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-</w:t>
            </w:r>
          </w:p>
        </w:tc>
      </w:tr>
      <w:tr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ADA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0.49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0.58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-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AVAX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0.55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0.62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-</w:t>
            </w:r>
          </w:p>
        </w:tc>
      </w:tr>
      <w:tr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LDO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0.13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1.19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-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AAVE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0.27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0.81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-</w:t>
            </w:r>
          </w:p>
        </w:tc>
      </w:tr>
      <w:tr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AMD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0.33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DOGE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1.28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-</w:t>
            </w:r>
          </w:p>
        </w:tc>
      </w:tr>
      <w:tr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BNB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0.32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0.32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-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UNI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0.31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0.80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-</w:t>
            </w:r>
          </w:p>
        </w:tc>
      </w:tr>
      <w:tr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OP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0.23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0.96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-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AMZN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1.28</w:t>
            </w:r>
          </w:p>
        </w:tc>
      </w:tr>
      <w:tr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MSTR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1.13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0.77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MSFT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1.01</w:t>
            </w:r>
          </w:p>
        </w:tc>
      </w:tr>
      <w:tr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XRP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0.50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0.38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-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COIN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0.55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0.26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0.98</w:t>
            </w:r>
          </w:p>
        </w:tc>
      </w:tr>
      <w:tr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META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1.24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AAPL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0.96</w:t>
            </w:r>
          </w:p>
        </w:tc>
      </w:tr>
      <w:tr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GOOGL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1.10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MARA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1.13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-</w:t>
            </w:r>
          </w:p>
        </w:tc>
      </w:tr>
      <w:tr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RIOT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0.93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-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CLSK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1.05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-</w:t>
            </w:r>
          </w:p>
        </w:tc>
      </w:tr>
      <w:tr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TSLA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1.81</w:t>
            </w:r>
          </w:p>
        </w:tc>
      </w:tr>
    </w:tbl>
    <w:p>
      <w:pPr>
        <w:spacing w:before="40"/>
      </w:pPr>
    </w:p>
    <w:p>
      <w:pPr>
        <w:spacing w:before="40" w:after="40"/>
      </w:pPr>
      <w:r>
        <w:rPr>
          <w:rFonts w:ascii="Arial" w:hAnsi="Arial" w:eastAsia="微软雅黑"/>
          <w:b w:val="0"/>
          <w:color w:val="667788"/>
          <w:sz w:val="18"/>
        </w:rPr>
        <w:t>注: '-'表示该因子未纳入该资产的因子组合, 因此未估计其Beta值。例如NVDA仅配对QQQ+SMH, 故beta_BTC和beta_ETH为'-'。</w:t>
      </w:r>
    </w:p>
    <w:p>
      <w:pPr>
        <w:spacing w:before="40" w:after="40"/>
      </w:pPr>
      <w:r>
        <w:rPr>
          <w:rFonts w:ascii="Arial" w:hAnsi="Arial" w:eastAsia="微软雅黑"/>
          <w:b w:val="0"/>
          <w:color w:val="667788"/>
          <w:sz w:val="20"/>
        </w:rPr>
        <w:t>Beta估计的可靠性: 由于Ridge回归通过L2正则化处理共线性, 传统OLS的P值不适用于Ridge系数。本报告通过变异系数(CoV=std/mean)衡量Beta稳定性: CoV&lt;0.5视为稳定, CoV&gt;1.0表明Beta时变性较大。从滚动Beta时序图(见output/figures/beta_*.png)可见, 多数资产的Beta在回测期内相对稳定, 无明显结构性突变。</w:t>
      </w:r>
    </w:p>
    <w:p>
      <w:pPr>
        <w:pStyle w:val="Heading2"/>
      </w:pPr>
      <w:r>
        <w:rPr>
          <w:color w:val="003366"/>
        </w:rPr>
        <w:t>2.2  关键发现</w:t>
      </w:r>
    </w:p>
    <w:p>
      <w:pPr>
        <w:spacing w:before="40" w:after="40"/>
      </w:pPr>
      <w:r>
        <w:rPr>
          <w:rFonts w:ascii="Arial" w:hAnsi="Arial" w:eastAsia="微软雅黑"/>
          <w:b w:val="0"/>
          <w:sz w:val="22"/>
        </w:rPr>
        <w:t>R²中位数0.535，15/25个资产R²≥0.5。本报告对残差平稳性进行双重ADF检验：</w:t>
      </w:r>
    </w:p>
    <w:p>
      <w:pPr>
        <w:spacing w:before="40" w:after="40"/>
      </w:pPr>
      <w:r>
        <w:rPr>
          <w:rFonts w:ascii="Arial" w:hAnsi="Arial" w:eastAsia="微软雅黑"/>
          <w:b w:val="0"/>
          <w:color w:val="667788"/>
          <w:sz w:val="20"/>
        </w:rPr>
        <w:t>(1) 日频残差ADF：全部通过（p&lt;0.05），残差围绕零波动，无单位根。但这是必要非充分条件——日频收益率天然均值回归，ADF必然通过，无区分力。</w:t>
      </w:r>
    </w:p>
    <w:p>
      <w:pPr>
        <w:spacing w:before="40" w:after="40"/>
      </w:pPr>
      <w:r>
        <w:rPr>
          <w:rFonts w:ascii="Arial" w:hAnsi="Arial" w:eastAsia="微软雅黑"/>
          <w:b w:val="0"/>
          <w:color w:val="667788"/>
          <w:sz w:val="20"/>
        </w:rPr>
        <w:t>(2) 累积残差ADF：多数未通过（p&gt;0.05），表明资产与因子之间不存在严格协整关系，价差具有随机游走特征。累积残差检验的是价差是否均值回归，即配对之间是否存在长期均衡关系，这是统计套利中ADF检验的标准用法。</w:t>
      </w:r>
    </w:p>
    <w:p>
      <w:pPr>
        <w:spacing w:before="40" w:after="40"/>
      </w:pPr>
      <w:r>
        <w:rPr>
          <w:rFonts w:ascii="Arial" w:hAnsi="Arial" w:eastAsia="微软雅黑"/>
          <w:b w:val="0"/>
          <w:sz w:val="22"/>
        </w:rPr>
        <w:t>结论：日频残差平稳是必要条件但非充分条件，累积残差不平稳说明配对间缺乏协整基础，这是策略日频回测亏钱的深层结构性原因。</w:t>
      </w:r>
    </w:p>
    <w:p>
      <w:pPr>
        <w:spacing w:before="40" w:after="40"/>
      </w:pPr>
      <w:r>
        <w:rPr>
          <w:rFonts w:ascii="Arial" w:hAnsi="Arial" w:eastAsia="微软雅黑"/>
          <w:b w:val="0"/>
          <w:color w:val="667788"/>
          <w:sz w:val="20"/>
        </w:rPr>
        <w:t>经济学解释：累积残差不通过并非统计意外，而是符合经济直觉。加密资产（如SOL、ARB、DOGE）本质上是投机性标的，不存在内在的均衡估值水平——价格由市场情绪和资金流驱动，而非经济基本面锚定。用BTC+ETH去'解释'这些资产的涨跌，假设的是一种不存在的长期均衡关系。真正可能存在协整的配对应当具备经济绑定：如MSTR持有BTC的资产净值托底、COIN收入与市场活跃度的业务关联、NVDA与SMH的产业链上下游关系。本回测中25个配对仅UNI和AMZN通过协整检验，也印证了这一点——AMZN作为消费龙头与QQQ+SMH有基本面联动，而多数加密资产缺乏此类经济锚定。</w:t>
      </w:r>
    </w:p>
    <w:p>
      <w:pPr>
        <w:spacing w:before="40" w:after="40"/>
      </w:pPr>
      <w:r>
        <w:rPr>
          <w:rFonts w:ascii="Arial" w:hAnsi="Arial" w:eastAsia="微软雅黑"/>
          <w:b w:val="0"/>
          <w:sz w:val="22"/>
        </w:rPr>
        <w:t>Ljung-Box检验（日频残差自相关）60%资产存在显著自相关，负自相关资产（如ARB、MSTR）的残差回归速度更快。Ridge vs OLS对比验证：Ridge的β时序平滑度显著优于OLS，且R²无显著下降（&lt;0.01）。</w:t>
      </w:r>
    </w:p>
    <w:p>
      <w:pPr>
        <w:pStyle w:val="Heading2"/>
      </w:pPr>
      <w:r>
        <w:rPr>
          <w:color w:val="003366"/>
        </w:rPr>
        <w:t>2.3  残差半衰期分析</w:t>
      </w:r>
    </w:p>
    <w:p>
      <w:pPr>
        <w:spacing w:before="40" w:after="40"/>
      </w:pPr>
      <w:r>
        <w:rPr>
          <w:rFonts w:ascii="Arial" w:hAnsi="Arial" w:eastAsia="微软雅黑"/>
          <w:b w:val="0"/>
          <w:sz w:val="22"/>
        </w:rPr>
        <w:t>所有25个目标资产的残差半衰期均低于0.5天（范围0.1-0.4天）。上述半衰期分析揭示了本策略日频回测负收益的根本原因：残差的均值回归在4-8小时内完成，远快于日频采样间隔。因此，在日频持有期内，做空头寸的残差几乎始终为正（ε &gt; 0），导致每日PnL = -N×ε持续为负。日频数据无法捕捉'穿越零轴'的完整回归过程，这是策略失效的本质，而非参数选取问题。</w:t>
      </w:r>
    </w:p>
    <w:p>
      <w:pPr>
        <w:pStyle w:val="Heading2"/>
      </w:pPr>
      <w:r>
        <w:rPr>
          <w:color w:val="003366"/>
        </w:rPr>
        <w:t>2.4  OLS vs Ridge对比验证</w:t>
      </w:r>
    </w:p>
    <w:p>
      <w:pPr>
        <w:spacing w:before="40" w:after="40"/>
      </w:pPr>
      <w:r>
        <w:rPr>
          <w:rFonts w:ascii="Arial" w:hAnsi="Arial" w:eastAsia="微软雅黑"/>
          <w:b w:val="0"/>
          <w:sz w:val="22"/>
        </w:rPr>
        <w:t>为验证Ridge回归相对于OLS的优势, 选取COIN、MSTR、NVDA三个代表性资产进行对比。对比维度包括:(1)Beta时序平滑度——Ridge的L2正则化显著降低了相邻估计窗口间的Beta跳跃幅度; (2)R²差异——Ridge的R²相比OLS下降不超过0.01, 说明正则化未牺牲模型解释力; (3)极端值控制——OLS在BTC与ETH高度相关的时期产生异常Beta值(绝对值&gt;5), 而Ridge将其约束在合理范围内。</w:t>
      </w:r>
    </w:p>
    <w:p>
      <w:pPr>
        <w:spacing w:before="40" w:after="40"/>
        <w:jc w:val="center"/>
      </w:pPr>
      <w:r>
        <w:rPr>
          <w:rFonts w:ascii="Arial" w:hAnsi="Arial" w:eastAsia="微软雅黑"/>
          <w:b w:val="0"/>
          <w:color w:val="667788"/>
          <w:sz w:val="18"/>
        </w:rPr>
        <w:t>图2-1: COIN OLS vs Ridge Beta对比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36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_COIN_ols_vs_rid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36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jc w:val="center"/>
      </w:pPr>
      <w:r>
        <w:rPr>
          <w:rFonts w:ascii="Arial" w:hAnsi="Arial" w:eastAsia="微软雅黑"/>
          <w:b w:val="0"/>
          <w:color w:val="667788"/>
          <w:sz w:val="18"/>
        </w:rPr>
        <w:t>图2-2: MSTR OLS vs Ridge Beta对比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367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_MSTR_ols_vs_rid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36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jc w:val="center"/>
      </w:pPr>
      <w:r>
        <w:rPr>
          <w:rFonts w:ascii="Arial" w:hAnsi="Arial" w:eastAsia="微软雅黑"/>
          <w:b w:val="0"/>
          <w:color w:val="667788"/>
          <w:sz w:val="18"/>
        </w:rPr>
        <w:t>图2-3: NVDA OLS vs Ridge Beta对比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147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_NVDA_ols_vs_rid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14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color w:val="003366"/>
        </w:rPr>
        <w:t>第三章  信号生成与质量评估</w:t>
      </w:r>
    </w:p>
    <w:p>
      <w:pPr>
        <w:pStyle w:val="Heading2"/>
      </w:pPr>
      <w:r>
        <w:rPr>
          <w:color w:val="003366"/>
        </w:rPr>
        <w:t>3.1  信号规则</w:t>
      </w:r>
    </w:p>
    <w:p>
      <w:pPr>
        <w:spacing w:before="40" w:after="40"/>
      </w:pPr>
      <w:r>
        <w:rPr>
          <w:rFonts w:ascii="Arial" w:hAnsi="Arial" w:eastAsia="微软雅黑"/>
          <w:b w:val="0"/>
          <w:sz w:val="22"/>
        </w:rPr>
        <w:t>入场：|z|&gt;2.0（残差超过2σ，做多/做空）| 平仓：|z|&lt;0.5（回归正常范围）| 止损：|z|&gt;3.0（回归失败）。z-score使用30天滚动窗口估计均值和标准差，仅使用当日之前的数据。</w:t>
      </w:r>
    </w:p>
    <w:p>
      <w:pPr>
        <w:pStyle w:val="Heading2"/>
      </w:pPr>
      <w:r>
        <w:rPr>
          <w:color w:val="003366"/>
        </w:rPr>
        <w:t>3.2  信号统计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2351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数值</w:t>
            </w:r>
          </w:p>
        </w:tc>
        <w:tc>
          <w:tcPr>
            <w:tcW w:type="dxa" w:w="2351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2351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数值</w:t>
            </w:r>
          </w:p>
        </w:tc>
      </w:tr>
      <w:tr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日均新信号数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0.8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平均信号持续时间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3.2天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信号胜率(z回归±0.5)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96.4%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持仓时间中位数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2.0天</w:t>
            </w:r>
          </w:p>
        </w:tc>
      </w:tr>
      <w:tr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最长持有时间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15天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日均持仓数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1.8</w:t>
            </w:r>
          </w:p>
        </w:tc>
      </w:tr>
    </w:tbl>
    <w:p>
      <w:pPr>
        <w:spacing w:before="40"/>
      </w:pPr>
    </w:p>
    <w:p>
      <w:pPr>
        <w:pStyle w:val="Heading2"/>
      </w:pPr>
      <w:r>
        <w:rPr>
          <w:color w:val="003366"/>
        </w:rPr>
        <w:t>3.3  关键分析</w:t>
      </w:r>
    </w:p>
    <w:p>
      <w:pPr>
        <w:spacing w:before="40" w:after="40"/>
      </w:pPr>
      <w:r>
        <w:rPr>
          <w:rFonts w:ascii="Arial" w:hAnsi="Arial" w:eastAsia="微软雅黑"/>
          <w:b w:val="0"/>
          <w:sz w:val="22"/>
        </w:rPr>
        <w:t>注意：96.4%的胜率是按'z-score回归至±0.5以内'定义的，这并不等同于PnL为正。当残差从+3.0σ回归至+0.3σ时，z-score判定为'胜'，但做空头寸的每日PnL=-N×ε。只要ε仍是正数（+0.3σ），头寸仍在亏损。真正的盈利需要残差穿越零轴到另一边——这是本策略的核心发现：日频残差的回归强度不足以在持有期内产生正收益。</w:t>
      </w:r>
    </w:p>
    <w:p>
      <w:pPr>
        <w:spacing w:before="40" w:after="40"/>
      </w:pPr>
      <w:r>
        <w:rPr>
          <w:rFonts w:ascii="Arial" w:hAnsi="Arial" w:eastAsia="微软雅黑"/>
          <w:b w:val="0"/>
          <w:sz w:val="22"/>
        </w:rPr>
        <w:t>持仓时间中位数2.0天与2.3节残差半衰期&lt;0.5天并不矛盾：后者是ε自身AR(1)的计算结果（日频收益率接近白噪声，前后几乎不相关），但z-score使用60天滚动窗口计算(ε-μ)/σ，滚动均值μ和标准差σ的缓慢变化给信号注入了额外的持久性，导致z-score从2.0下跌至0.5需要2个交易日。换言之，持仓时间反映的是z-score滚动窗口的惯性，而非ε的统计特性。</w:t>
      </w:r>
    </w:p>
    <w:p>
      <w:pPr>
        <w:spacing w:before="40" w:after="40"/>
      </w:pPr>
      <w:r>
        <w:rPr>
          <w:rFonts w:ascii="Arial" w:hAnsi="Arial" w:eastAsia="微软雅黑"/>
          <w:b w:val="0"/>
          <w:color w:val="667788"/>
          <w:sz w:val="20"/>
        </w:rPr>
        <w:t>信号衰减分析：将回测期按时间顺序分为三段（2023H2、2024、2025-2026），分别考察各时段信号表现：首段日均信号数0.9、胜率96.8%；中段日均0.8、胜率96.5%；末段日均0.7、胜率95.8%。信号频次和胜率均呈现轻微衰减趋势，幅度约1-2%，表明跨市场定价偏差的alpha源有缓慢衰减退化，与市场效率提升一致。</w:t>
      </w:r>
    </w:p>
    <w:p>
      <w:pPr>
        <w:pStyle w:val="Heading2"/>
      </w:pPr>
      <w:r>
        <w:rPr>
          <w:color w:val="003366"/>
        </w:rPr>
        <w:t>3.4  样本交易可视化</w:t>
      </w:r>
    </w:p>
    <w:p>
      <w:pPr>
        <w:spacing w:before="40" w:after="40"/>
        <w:jc w:val="center"/>
      </w:pPr>
      <w:r>
        <w:rPr>
          <w:rFonts w:ascii="Arial" w:hAnsi="Arial" w:eastAsia="微软雅黑"/>
          <w:b w:val="0"/>
          <w:color w:val="667788"/>
          <w:sz w:val="18"/>
        </w:rPr>
        <w:t>图3-1：ARB—最赚钱标的：净利+$47K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5030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AR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03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jc w:val="center"/>
      </w:pPr>
      <w:r>
        <w:rPr>
          <w:rFonts w:ascii="Arial" w:hAnsi="Arial" w:eastAsia="微软雅黑"/>
          <w:b w:val="0"/>
          <w:color w:val="667788"/>
          <w:sz w:val="18"/>
        </w:rPr>
        <w:t>图3-2：MSTR—币股代表：胜率63%，1.7天持有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5030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MST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03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jc w:val="center"/>
      </w:pPr>
      <w:r>
        <w:rPr>
          <w:rFonts w:ascii="Arial" w:hAnsi="Arial" w:eastAsia="微软雅黑"/>
          <w:b w:val="0"/>
          <w:color w:val="667788"/>
          <w:sz w:val="18"/>
        </w:rPr>
        <w:t>图3-3：OP—亏钱代表：净利-$38K，持有2.8天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5030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03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color w:val="003366"/>
        </w:rPr>
        <w:t>第四章  组合构建与风险管理</w:t>
      </w:r>
    </w:p>
    <w:p>
      <w:pPr>
        <w:pStyle w:val="Heading2"/>
      </w:pPr>
      <w:r>
        <w:rPr>
          <w:color w:val="003366"/>
        </w:rPr>
        <w:t>4.1  风险预算</w:t>
      </w:r>
    </w:p>
    <w:p>
      <w:pPr>
        <w:spacing w:before="40" w:after="40"/>
      </w:pPr>
      <w:r>
        <w:rPr>
          <w:rFonts w:ascii="Arial" w:hAnsi="Arial" w:eastAsia="微软雅黑"/>
          <w:b w:val="0"/>
          <w:sz w:val="22"/>
        </w:rPr>
        <w:t>等波动率风险预算：N=(σ_target/σ_pair)×TOTAL_CAPITAL，σ_target=5%。主腿：目标资产（多/空，金额=N）。对冲腿：因子资产（按β比例配置）。例如做空MSTR：做空$30万MSTR，做多β×$30万BTC和β×$30万QQQ。</w:t>
      </w:r>
    </w:p>
    <w:p>
      <w:pPr>
        <w:pStyle w:val="Heading2"/>
      </w:pPr>
      <w:r>
        <w:rPr>
          <w:color w:val="003366"/>
        </w:rPr>
        <w:t>4.2  风控约束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3135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上限</w:t>
            </w:r>
          </w:p>
        </w:tc>
        <w:tc>
          <w:tcPr>
            <w:tcW w:type="dxa" w:w="3135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检查频率</w:t>
            </w:r>
          </w:p>
        </w:tc>
      </w:tr>
      <w:tr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单资产最大仓位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总资金3%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每次开仓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同板块总暴露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总资金15%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每次开仓</w:t>
            </w:r>
          </w:p>
        </w:tc>
      </w:tr>
      <w:tr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总杠杆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≤3倍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实时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单因子净暴露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总资金5%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每日</w:t>
            </w:r>
          </w:p>
        </w:tc>
      </w:tr>
      <w:tr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单笔最大亏损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总资金1%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实时止损</w:t>
            </w:r>
          </w:p>
        </w:tc>
      </w:tr>
    </w:tbl>
    <w:p>
      <w:pPr>
        <w:spacing w:before="40"/>
      </w:pPr>
    </w:p>
    <w:p>
      <w:pPr>
        <w:spacing w:before="40" w:after="40"/>
      </w:pPr>
      <w:r>
        <w:rPr>
          <w:rFonts w:ascii="Arial" w:hAnsi="Arial" w:eastAsia="微软雅黑"/>
          <w:b w:val="0"/>
          <w:color w:val="667788"/>
          <w:sz w:val="20"/>
        </w:rPr>
        <w:t>动态Beta再平衡：当滚动Beta相对于开仓时的Beta变化超过20%时，自动调整对冲比例至最新Beta估计值。再平衡阈值设为20%以平衡交易频率与对冲精度——实际回测中约4.7%的持仓日触发再平衡，每次再平衡产生双边手续费成本约0.08%。该机制确保组合在Beta时变环境下维持市场中性。</w:t>
      </w:r>
    </w:p>
    <w:p>
      <w:pPr>
        <w:pStyle w:val="Heading2"/>
      </w:pPr>
      <w:r>
        <w:rPr>
          <w:color w:val="003366"/>
        </w:rPr>
        <w:t>4.3  风控事件</w:t>
      </w:r>
    </w:p>
    <w:p>
      <w:pPr>
        <w:spacing w:before="40" w:after="40"/>
      </w:pPr>
      <w:r>
        <w:rPr>
          <w:rFonts w:ascii="Arial" w:hAnsi="Arial" w:eastAsia="微软雅黑"/>
          <w:b w:val="0"/>
          <w:sz w:val="22"/>
        </w:rPr>
        <w:t>回测期内共触发619条风控事件。其中因子敞口超限614条（98.5%），板块超限5条。杠杆超限0条。因子超限占比极高的原因：加密资产多配置BTC+ETH因子，同向信号同时触发时因子净暴露快速触顶。</w:t>
      </w:r>
    </w:p>
    <w:p>
      <w:pPr>
        <w:pStyle w:val="Heading2"/>
      </w:pPr>
      <w:r>
        <w:rPr>
          <w:color w:val="003366"/>
        </w:rPr>
        <w:t>4.4  风险监控仪表板</w:t>
      </w:r>
    </w:p>
    <w:p>
      <w:pPr>
        <w:spacing w:before="40" w:after="40"/>
        <w:jc w:val="center"/>
      </w:pPr>
      <w:r>
        <w:rPr>
          <w:rFonts w:ascii="Arial" w:hAnsi="Arial" w:eastAsia="微软雅黑"/>
          <w:b w:val="0"/>
          <w:color w:val="667788"/>
          <w:sz w:val="18"/>
        </w:rPr>
        <w:t>图4-1：因子净暴露时序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6610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expos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6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jc w:val="center"/>
      </w:pPr>
      <w:r>
        <w:rPr>
          <w:rFonts w:ascii="Arial" w:hAnsi="Arial" w:eastAsia="微软雅黑"/>
          <w:b w:val="0"/>
          <w:color w:val="667788"/>
          <w:sz w:val="18"/>
        </w:rPr>
        <w:t>图4-2：板块集中度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6610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_exposu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6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jc w:val="center"/>
      </w:pPr>
      <w:r>
        <w:rPr>
          <w:rFonts w:ascii="Arial" w:hAnsi="Arial" w:eastAsia="微软雅黑"/>
          <w:b w:val="0"/>
          <w:color w:val="667788"/>
          <w:sz w:val="18"/>
        </w:rPr>
        <w:t>图4-3：杠杆水平与持仓数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6516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verage_positio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5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color w:val="003366"/>
        </w:rPr>
        <w:t>第五章  回测引擎与成本建模</w:t>
      </w:r>
    </w:p>
    <w:p>
      <w:pPr>
        <w:pStyle w:val="Heading2"/>
      </w:pPr>
      <w:r>
        <w:rPr>
          <w:color w:val="003366"/>
        </w:rPr>
        <w:t>5.1  回测结果摘要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2351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数值</w:t>
            </w:r>
          </w:p>
        </w:tc>
        <w:tc>
          <w:tcPr>
            <w:tcW w:type="dxa" w:w="2351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2351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数值</w:t>
            </w:r>
          </w:p>
        </w:tc>
      </w:tr>
      <w:tr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回测天数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1125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交易笔数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688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总毛PnL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$-799,570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总成本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$1,327,450</w:t>
            </w:r>
          </w:p>
        </w:tc>
      </w:tr>
      <w:tr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总净PnL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$-2,127,020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日均持仓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1.8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年化收益率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-6.91%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年化波动率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2.75%</w:t>
            </w:r>
          </w:p>
        </w:tc>
      </w:tr>
      <w:tr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夏普比率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-2.51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最大回撤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-21.44%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胜率（按交易）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51.9%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盈亏比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0.79</w:t>
            </w:r>
          </w:p>
        </w:tc>
      </w:tr>
    </w:tbl>
    <w:p>
      <w:pPr>
        <w:spacing w:before="40"/>
      </w:pPr>
    </w:p>
    <w:p>
      <w:pPr>
        <w:spacing w:before="40" w:after="40"/>
        <w:jc w:val="center"/>
      </w:pPr>
      <w:r>
        <w:rPr>
          <w:rFonts w:ascii="Arial" w:hAnsi="Arial" w:eastAsia="微软雅黑"/>
          <w:b w:val="0"/>
          <w:color w:val="667788"/>
          <w:sz w:val="18"/>
        </w:rPr>
        <w:t>图5-1：策略权益曲线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606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ity_curv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60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3366"/>
        </w:rPr>
        <w:t>5.2  年度业绩分解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年份</w:t>
            </w:r>
          </w:p>
        </w:tc>
        <w:tc>
          <w:tcPr>
            <w:tcW w:type="dxa" w:w="2351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毛PnL</w:t>
            </w:r>
          </w:p>
        </w:tc>
        <w:tc>
          <w:tcPr>
            <w:tcW w:type="dxa" w:w="2351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日均PnL</w:t>
            </w:r>
          </w:p>
        </w:tc>
        <w:tc>
          <w:tcPr>
            <w:tcW w:type="dxa" w:w="2351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日波动率</w:t>
            </w:r>
          </w:p>
        </w:tc>
      </w:tr>
      <w:tr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2023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$-284,361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$-1,329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$17,103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2024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$-546,323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$-1,493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$19,855</w:t>
            </w:r>
          </w:p>
        </w:tc>
      </w:tr>
      <w:tr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2025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$36,358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$100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$15,826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2026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$-5,244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$-29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$13,754</w:t>
            </w:r>
          </w:p>
        </w:tc>
      </w:tr>
    </w:tbl>
    <w:p>
      <w:pPr>
        <w:spacing w:before="40"/>
      </w:pPr>
    </w:p>
    <w:p>
      <w:pPr>
        <w:pStyle w:val="Heading2"/>
      </w:pPr>
      <w:r>
        <w:rPr>
          <w:color w:val="003366"/>
        </w:rPr>
        <w:t>5.3  成本分解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成本项</w:t>
            </w:r>
          </w:p>
        </w:tc>
        <w:tc>
          <w:tcPr>
            <w:tcW w:type="dxa" w:w="3135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金额</w:t>
            </w:r>
          </w:p>
        </w:tc>
        <w:tc>
          <w:tcPr>
            <w:tcW w:type="dxa" w:w="3135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占比</w:t>
            </w:r>
          </w:p>
        </w:tc>
      </w:tr>
      <w:tr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入场佣金+滑点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$684,465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51.6%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出场佣金+滑点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$566,137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42.6%</w:t>
            </w:r>
          </w:p>
        </w:tc>
      </w:tr>
      <w:tr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资金费率(真实历史)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$14,218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1.1%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借券成本(做空美股)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$4,389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0.3%</w:t>
            </w:r>
          </w:p>
        </w:tc>
      </w:tr>
      <w:tr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保证金机会成本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$58,240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4.4%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总成本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$1,327,450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100.0%</w:t>
            </w:r>
          </w:p>
        </w:tc>
      </w:tr>
    </w:tbl>
    <w:p>
      <w:pPr>
        <w:spacing w:before="40"/>
      </w:pPr>
    </w:p>
    <w:p>
      <w:pPr>
        <w:pStyle w:val="Heading2"/>
      </w:pPr>
      <w:r>
        <w:rPr>
          <w:color w:val="003366"/>
        </w:rPr>
        <w:t>5.4  容量与敏感性分析</w:t>
      </w:r>
    </w:p>
    <w:p>
      <w:pPr>
        <w:spacing w:before="40" w:after="40"/>
      </w:pPr>
      <w:r>
        <w:rPr>
          <w:rFonts w:ascii="Arial" w:hAnsi="Arial" w:eastAsia="微软雅黑"/>
          <w:b w:val="0"/>
          <w:sz w:val="22"/>
        </w:rPr>
        <w:t>容量：$1M完全可行→$10M可行（已实测，等比缩放）→$50M小币种流动性紧张→$500M流动性不足。参数敏感性：止损从4σ收紧至3σ，年化从-7.93%改善至-6.90%（方向不变）。成本敏感性：总成本$1,327,450（年化4.3%），成本减半时年化-3.3%，翻倍时-10.7%。毛Alpha微薄是核心问题。</w:t>
      </w:r>
    </w:p>
    <w:p>
      <w:r>
        <w:br w:type="page"/>
      </w:r>
    </w:p>
    <w:p>
      <w:pPr>
        <w:pStyle w:val="Heading1"/>
      </w:pPr>
      <w:r>
        <w:rPr>
          <w:color w:val="003366"/>
        </w:rPr>
        <w:t>第六章  策略分析与评估</w:t>
      </w:r>
    </w:p>
    <w:p>
      <w:pPr>
        <w:pStyle w:val="Heading2"/>
      </w:pPr>
      <w:r>
        <w:rPr>
          <w:color w:val="003366"/>
        </w:rPr>
        <w:t>6.1  损益归因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类别</w:t>
            </w:r>
          </w:p>
        </w:tc>
        <w:tc>
          <w:tcPr>
            <w:tcW w:type="dxa" w:w="2351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总净PnL</w:t>
            </w:r>
          </w:p>
        </w:tc>
        <w:tc>
          <w:tcPr>
            <w:tcW w:type="dxa" w:w="2351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笔数</w:t>
            </w:r>
          </w:p>
        </w:tc>
        <w:tc>
          <w:tcPr>
            <w:tcW w:type="dxa" w:w="2351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平均净PnL/笔</w:t>
            </w:r>
          </w:p>
        </w:tc>
      </w:tr>
      <w:tr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加密资产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$-1,547,977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481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$-3,218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美股Perp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$-64,787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124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$-522</w:t>
            </w:r>
          </w:p>
        </w:tc>
      </w:tr>
      <w:tr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币股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$-172,991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83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$-2,084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排名</w:t>
            </w:r>
          </w:p>
        </w:tc>
        <w:tc>
          <w:tcPr>
            <w:tcW w:type="dxa" w:w="1881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资产</w:t>
            </w:r>
          </w:p>
        </w:tc>
        <w:tc>
          <w:tcPr>
            <w:tcW w:type="dxa" w:w="1881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净PnL</w:t>
            </w:r>
          </w:p>
        </w:tc>
        <w:tc>
          <w:tcPr>
            <w:tcW w:type="dxa" w:w="1881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胜率</w:t>
            </w:r>
          </w:p>
        </w:tc>
        <w:tc>
          <w:tcPr>
            <w:tcW w:type="dxa" w:w="1881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持有天数</w:t>
            </w:r>
          </w:p>
        </w:tc>
      </w:tr>
      <w:tr>
        <w:tc>
          <w:tcPr>
            <w:tcW w:type="dxa" w:w="188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1</w:t>
            </w:r>
          </w:p>
        </w:tc>
        <w:tc>
          <w:tcPr>
            <w:tcW w:type="dxa" w:w="188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MSTR</w:t>
            </w:r>
          </w:p>
        </w:tc>
        <w:tc>
          <w:tcPr>
            <w:tcW w:type="dxa" w:w="188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$+47,499</w:t>
            </w:r>
          </w:p>
        </w:tc>
        <w:tc>
          <w:tcPr>
            <w:tcW w:type="dxa" w:w="188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41%</w:t>
            </w:r>
          </w:p>
        </w:tc>
        <w:tc>
          <w:tcPr>
            <w:tcW w:type="dxa" w:w="188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1.7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Arial" w:hAnsi="Arial" w:eastAsia="微软雅黑"/>
                <w:sz w:val="20"/>
              </w:rPr>
              <w:t>2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微软雅黑"/>
                <w:sz w:val="20"/>
              </w:rPr>
              <w:t>ARB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微软雅黑"/>
                <w:sz w:val="20"/>
              </w:rPr>
              <w:t>$+46,389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微软雅黑"/>
                <w:sz w:val="20"/>
              </w:rPr>
              <w:t>50%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微软雅黑"/>
                <w:sz w:val="20"/>
              </w:rPr>
              <w:t>2.5</w:t>
            </w:r>
          </w:p>
        </w:tc>
      </w:tr>
      <w:tr>
        <w:tc>
          <w:tcPr>
            <w:tcW w:type="dxa" w:w="188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3</w:t>
            </w:r>
          </w:p>
        </w:tc>
        <w:tc>
          <w:tcPr>
            <w:tcW w:type="dxa" w:w="188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MARA</w:t>
            </w:r>
          </w:p>
        </w:tc>
        <w:tc>
          <w:tcPr>
            <w:tcW w:type="dxa" w:w="188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$+22,807</w:t>
            </w:r>
          </w:p>
        </w:tc>
        <w:tc>
          <w:tcPr>
            <w:tcW w:type="dxa" w:w="188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48%</w:t>
            </w:r>
          </w:p>
        </w:tc>
        <w:tc>
          <w:tcPr>
            <w:tcW w:type="dxa" w:w="188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1.3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Arial" w:hAnsi="Arial" w:eastAsia="微软雅黑"/>
                <w:sz w:val="20"/>
              </w:rPr>
              <w:t>4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微软雅黑"/>
                <w:sz w:val="20"/>
              </w:rPr>
              <w:t>AMZN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微软雅黑"/>
                <w:sz w:val="20"/>
              </w:rPr>
              <w:t>$+17,583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微软雅黑"/>
                <w:sz w:val="20"/>
              </w:rPr>
              <w:t>75%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微软雅黑"/>
                <w:sz w:val="20"/>
              </w:rPr>
              <w:t>1.5</w:t>
            </w:r>
          </w:p>
        </w:tc>
      </w:tr>
      <w:tr>
        <w:tc>
          <w:tcPr>
            <w:tcW w:type="dxa" w:w="188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5</w:t>
            </w:r>
          </w:p>
        </w:tc>
        <w:tc>
          <w:tcPr>
            <w:tcW w:type="dxa" w:w="188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TSLA</w:t>
            </w:r>
          </w:p>
        </w:tc>
        <w:tc>
          <w:tcPr>
            <w:tcW w:type="dxa" w:w="188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$+14,583</w:t>
            </w:r>
          </w:p>
        </w:tc>
        <w:tc>
          <w:tcPr>
            <w:tcW w:type="dxa" w:w="188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50%</w:t>
            </w:r>
          </w:p>
        </w:tc>
        <w:tc>
          <w:tcPr>
            <w:tcW w:type="dxa" w:w="188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1.4</w:t>
            </w:r>
          </w:p>
        </w:tc>
      </w:tr>
    </w:tbl>
    <w:p>
      <w:pPr>
        <w:spacing w:before="40"/>
      </w:pPr>
    </w:p>
    <w:p>
      <w:pPr>
        <w:pStyle w:val="Heading2"/>
      </w:pPr>
      <w:r>
        <w:rPr>
          <w:color w:val="003366"/>
        </w:rPr>
        <w:t>6.2  因子暴露归因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因子</w:t>
            </w:r>
          </w:p>
        </w:tc>
        <w:tc>
          <w:tcPr>
            <w:tcW w:type="dxa" w:w="2351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日均净暴露</w:t>
            </w:r>
          </w:p>
        </w:tc>
        <w:tc>
          <w:tcPr>
            <w:tcW w:type="dxa" w:w="2351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最大净暴露</w:t>
            </w:r>
          </w:p>
        </w:tc>
        <w:tc>
          <w:tcPr>
            <w:tcW w:type="dxa" w:w="2351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限值</w:t>
            </w:r>
          </w:p>
        </w:tc>
      </w:tr>
      <w:tr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BTC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1.00%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18.95%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±5%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ETH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1.03%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18.06%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±5%</w:t>
            </w:r>
          </w:p>
        </w:tc>
      </w:tr>
      <w:tr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QQQ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0.04%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5.19%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±5%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SMH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0.12%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7.32%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±5%</w:t>
            </w:r>
          </w:p>
        </w:tc>
      </w:tr>
      <w:tr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SPY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0.00%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0.00%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±5%</w:t>
            </w:r>
          </w:p>
        </w:tc>
      </w:tr>
    </w:tbl>
    <w:p>
      <w:pPr>
        <w:spacing w:before="40"/>
      </w:pPr>
    </w:p>
    <w:p>
      <w:pPr>
        <w:spacing w:before="40" w:after="40"/>
      </w:pPr>
      <w:r>
        <w:rPr>
          <w:rFonts w:ascii="Arial" w:hAnsi="Arial" w:eastAsia="微软雅黑"/>
          <w:b w:val="0"/>
          <w:sz w:val="22"/>
        </w:rPr>
        <w:t>因子日均净暴露集中在1-1.5%范围内，处于风控阈值（±5%）以内。但BTC和ETH最大暴露分别达22%和18%，说明在极端行情下（多个同向信号同时触发时）净暴露会大幅突破限制。SPY因子未被任何目标资产调用。</w:t>
      </w:r>
    </w:p>
    <w:p>
      <w:pPr>
        <w:pStyle w:val="Heading2"/>
      </w:pPr>
      <w:r>
        <w:rPr>
          <w:color w:val="003366"/>
        </w:rPr>
        <w:t>6.3  极端事件表现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351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毛PnL</w:t>
            </w:r>
          </w:p>
        </w:tc>
        <w:tc>
          <w:tcPr>
            <w:tcW w:type="dxa" w:w="2351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持仓</w:t>
            </w:r>
          </w:p>
        </w:tc>
        <w:tc>
          <w:tcPr>
            <w:tcW w:type="dxa" w:w="2351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亏损来源</w:t>
            </w:r>
          </w:p>
        </w:tc>
      </w:tr>
      <w:tr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2025-05-10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$-116,507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4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DOGE空($64,207); OP空($28,832); UNI空($21,049)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2024-04-13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$-112,319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5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</w:r>
          </w:p>
        </w:tc>
      </w:tr>
      <w:tr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2024-11-10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$-110,484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4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ADA空($68,366); DOGE空($55,245)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2024-07-16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$-84,659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4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微软雅黑"/>
                <w:sz w:val="20"/>
              </w:rPr>
              <w:t>XRP空($12,377)</w:t>
            </w:r>
          </w:p>
        </w:tc>
      </w:tr>
      <w:tr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2023-12-22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$-82,024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2</w:t>
            </w:r>
          </w:p>
        </w:tc>
        <w:tc>
          <w:tcPr>
            <w:tcW w:type="dxa" w:w="2351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OP空($111,414)</w:t>
            </w:r>
          </w:p>
        </w:tc>
      </w:tr>
    </w:tbl>
    <w:p>
      <w:pPr>
        <w:spacing w:before="40"/>
      </w:pPr>
    </w:p>
    <w:p>
      <w:pPr>
        <w:spacing w:before="40" w:after="40"/>
      </w:pPr>
      <w:r>
        <w:rPr>
          <w:rFonts w:ascii="Arial" w:hAnsi="Arial" w:eastAsia="微软雅黑"/>
          <w:b w:val="0"/>
          <w:sz w:val="22"/>
        </w:rPr>
        <w:t>最差5个交易日的共性：加密资产做空被逼仓。在加密市场集中上涨时，多个做空信号同时触发，因子净暴露快速触顶，空头损失累积。</w:t>
      </w:r>
    </w:p>
    <w:p>
      <w:pPr>
        <w:pStyle w:val="Heading2"/>
      </w:pPr>
      <w:r>
        <w:rPr>
          <w:color w:val="003366"/>
        </w:rPr>
        <w:t>6.4  核心发现与改进方向</w:t>
      </w:r>
    </w:p>
    <w:p>
      <w:pPr>
        <w:spacing w:before="120" w:after="40"/>
      </w:pPr>
      <w:r>
        <w:rPr>
          <w:rFonts w:ascii="Arial" w:hAnsi="Arial" w:eastAsia="微软雅黑"/>
          <w:b/>
          <w:color w:val="003366"/>
          <w:sz w:val="24"/>
        </w:rPr>
        <w:t>核心问题</w:t>
      </w:r>
    </w:p>
    <w:p>
      <w:pPr>
        <w:spacing w:before="40" w:after="40"/>
      </w:pPr>
      <w:r>
        <w:rPr>
          <w:rFonts w:ascii="Arial" w:hAnsi="Arial" w:eastAsia="微软雅黑"/>
          <w:b w:val="0"/>
          <w:sz w:val="22"/>
        </w:rPr>
        <w:t>该策略不赚钱的原因分为两个层次：</w:t>
      </w:r>
    </w:p>
    <w:p>
      <w:pPr>
        <w:spacing w:before="40" w:after="40"/>
      </w:pPr>
      <w:r>
        <w:rPr>
          <w:rFonts w:ascii="Arial" w:hAnsi="Arial" w:eastAsia="微软雅黑"/>
          <w:b w:val="0"/>
          <w:sz w:val="22"/>
        </w:rPr>
        <w:t>表层原因——频率不匹配：残差半衰期分析显示所有25个资产的残差半衰期均低于0.5天（0.1-0.4天），回归发生在日内（4-8小时），而非日间。日频回测无法捕捉此类快速回归——持有期内残差始终为正（做空时），每日PnL持续亏损。</w:t>
      </w:r>
    </w:p>
    <w:p>
      <w:pPr>
        <w:spacing w:before="40" w:after="40"/>
      </w:pPr>
      <w:r>
        <w:rPr>
          <w:rFonts w:ascii="Arial" w:hAnsi="Arial" w:eastAsia="微软雅黑"/>
          <w:b w:val="0"/>
          <w:sz w:val="22"/>
        </w:rPr>
        <w:t>深层原因——协整关系不成立：累积残差ADF检验结果显示，25个资产中仅2个（UNI p=0.017、AMZN p=0.023）通过协整检验，其余23个累积残差未通过平稳性检验（p&gt;0.05），表明目标资产与因子之间不存在严格协整关系。换言之，价差具有随机游走特征，不具备长期均值回归的统计基础。即使将数据频率提升至4小时，如果协整关系本身不成立，策略依然无法稳定盈利。正确的改进方向应首先通过Engle-Granger或Johansen协整检验筛选出真正存在协整关系的配对，再进行信号生成。</w:t>
      </w:r>
    </w:p>
    <w:p>
      <w:pPr>
        <w:spacing w:before="40" w:after="40"/>
      </w:pPr>
      <w:r>
        <w:rPr>
          <w:rFonts w:ascii="Arial" w:hAnsi="Arial" w:eastAsia="微软雅黑"/>
          <w:b w:val="0"/>
          <w:color w:val="667788"/>
          <w:sz w:val="20"/>
        </w:rPr>
        <w:t>实证验证：协整检验的预测力得到了回测结果的印证。AMZN（协整通过）8笔交易毛PnL +$24K、净PnL +$18K、胜率75%，是全部25个资产中表现最好的之一。UNI（协整通过但交易过于频繁）35笔交易毛PnL +$18K但被成本吞噬至净PnL -$49K。这表明协整检验是有效的筛选工具，但同时需要控制交易频率以避免成本侵蚀。</w:t>
      </w:r>
    </w:p>
    <w:p>
      <w:pPr>
        <w:spacing w:before="120" w:after="40"/>
      </w:pPr>
      <w:r>
        <w:rPr>
          <w:rFonts w:ascii="Arial" w:hAnsi="Arial" w:eastAsia="微软雅黑"/>
          <w:b/>
          <w:color w:val="003366"/>
          <w:sz w:val="24"/>
        </w:rPr>
        <w:t>改进方向</w:t>
      </w:r>
    </w:p>
    <w:p>
      <w:pPr>
        <w:spacing w:before="40" w:after="40"/>
      </w:pPr>
      <w:r>
        <w:rPr>
          <w:rFonts w:ascii="Arial" w:hAnsi="Arial" w:eastAsia="微软雅黑"/>
          <w:b w:val="0"/>
          <w:sz w:val="22"/>
        </w:rPr>
        <w:t>首要改进：以协整检验为前置筛选——仅对累积残差ADF通过的配对生成信号，预计可将标的池从25个缩减至2-5个高质量配对。次要改进：使用4小时K线替代日线，匹配残差的快速回归特性；精选标的（AMZN等协整+正收益资产）；LASSO动态因子选择；maker挂单降费（费率降低50%+）。长期可持续性：Alpha来源是跨市场定价偏差，预计年衰减10-20%，需更高数据频率维持竞争力。</w:t>
      </w:r>
    </w:p>
    <w:p>
      <w:r>
        <w:br w:type="page"/>
      </w:r>
    </w:p>
    <w:p>
      <w:pPr>
        <w:pStyle w:val="Heading1"/>
      </w:pPr>
      <w:r>
        <w:rPr>
          <w:color w:val="003366"/>
        </w:rPr>
        <w:t>附录A  回测严谨性声明</w:t>
      </w:r>
    </w:p>
    <w:p>
      <w:pPr>
        <w:spacing w:before="40" w:after="40"/>
      </w:pPr>
      <w:r>
        <w:rPr>
          <w:rFonts w:ascii="Arial" w:hAnsi="Arial" w:eastAsia="微软雅黑"/>
          <w:b w:val="0"/>
          <w:sz w:val="22"/>
        </w:rPr>
        <w:t>本回测严格遵循面试题要求的红线标准，确保结果的可信度：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标准</w:t>
            </w:r>
          </w:p>
        </w:tc>
        <w:tc>
          <w:tcPr>
            <w:tcW w:type="dxa" w:w="3135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3135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实现方式</w:t>
            </w:r>
          </w:p>
        </w:tc>
      </w:tr>
      <w:tr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前视偏差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已避免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β[t]&lt;-X[t-90:t)仅用历史数据；z-score 30天滚动；开仓当天不计PnL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幸存者偏差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已避免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25个目标资产2023-2026期间均持续上线Binance</w:t>
            </w:r>
          </w:p>
        </w:tc>
      </w:tr>
      <w:tr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时间对齐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已处理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加密24/7 vs 美股6.5h：含美股因子的配对在周末无数据，被dropna()自动过滤，仅纯加密配对(ETH+BTC因子)在周末有信号。日频级别共322个周末交易日，跨市场偏差对整体结果影响可忽略。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交易成本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完整建模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手续费+滑点+真实Binance资金费率+借券+保证金机会成本</w:t>
            </w:r>
          </w:p>
        </w:tc>
      </w:tr>
      <w:tr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极端事件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已处理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SVB/SEC起诉/ETF获批/日元套利期间滑点放大3倍</w:t>
            </w:r>
          </w:p>
        </w:tc>
      </w:tr>
    </w:tbl>
    <w:p>
      <w:pPr>
        <w:spacing w:before="40"/>
      </w:pPr>
    </w:p>
    <w:p>
      <w:pPr>
        <w:spacing w:before="40" w:after="40"/>
      </w:pPr>
      <w:r>
        <w:rPr>
          <w:rFonts w:ascii="Arial" w:hAnsi="Arial" w:eastAsia="微软雅黑"/>
          <w:b w:val="0"/>
          <w:sz w:val="22"/>
        </w:rPr>
        <w:t>加分项已完成：Ridge回归处理共线性（vs OLS）、真实历史资金费率（Binance API）、极端事件滑点放大、累积残差ADF检验（协整验证）。加分项待完成：4小时数据（数据已下载，待运行完整pipeline）。</w:t>
      </w:r>
    </w:p>
    <w:p>
      <w:pPr>
        <w:spacing w:before="40" w:after="40"/>
      </w:pPr>
      <w:r>
        <w:rPr>
          <w:rFonts w:ascii="Arial" w:hAnsi="Arial" w:eastAsia="微软雅黑"/>
          <w:b w:val="0"/>
          <w:sz w:val="22"/>
        </w:rPr>
        <w:t>成本建模文档详见：output/docs/cost_modeling.md</w:t>
      </w:r>
    </w:p>
    <w:p>
      <w:pPr>
        <w:pStyle w:val="Heading1"/>
      </w:pPr>
      <w:r>
        <w:rPr>
          <w:color w:val="003366"/>
        </w:rPr>
        <w:t>附录B  项目文件清单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脚本</w:t>
            </w:r>
          </w:p>
        </w:tc>
        <w:tc>
          <w:tcPr>
            <w:tcW w:type="dxa" w:w="3135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3135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产出</w:t>
            </w:r>
          </w:p>
        </w:tc>
      </w:tr>
      <w:tr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download_data.py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日线+4h数据下载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data/raw/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preprocess_data.py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时区对齐+缺失值处理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data/interim/returns_clean.parquet</w:t>
            </w:r>
          </w:p>
        </w:tc>
      </w:tr>
      <w:tr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factor_model.py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Ridge滚动回归+质量检验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output/tables/factor_model_quality.xlsx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generate_signals.py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z-score计算+信号规则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data/interim/signals/</w:t>
            </w:r>
          </w:p>
        </w:tc>
      </w:tr>
      <w:tr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build_portfolio.py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组合构建+风控逻辑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output/tables/portfolio_daily.parquet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backtest.py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回测引擎+成本建模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output/tables/nav_curve.parquet</w:t>
            </w:r>
          </w:p>
        </w:tc>
      </w:tr>
      <w:tr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risk_dashboard.py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风控可视化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output/figures/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generate_docx_report.py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Word报告生成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output/reports/strategy_report.docx</w:t>
            </w:r>
          </w:p>
        </w:tc>
      </w:tr>
    </w:tbl>
    <w:p>
      <w:pPr>
        <w:spacing w:before="40"/>
      </w:pPr>
    </w:p>
    <w:p>
      <w:pPr>
        <w:pStyle w:val="Heading1"/>
      </w:pPr>
      <w:r>
        <w:rPr>
          <w:color w:val="003366"/>
        </w:rPr>
        <w:t>附录C  运行说明</w:t>
      </w:r>
    </w:p>
    <w:p>
      <w:pPr>
        <w:spacing w:before="80" w:after="40"/>
      </w:pPr>
      <w:r>
        <w:rPr>
          <w:rFonts w:ascii="Arial" w:hAnsi="Arial" w:eastAsia="微软雅黑"/>
          <w:b/>
          <w:color w:val="003366"/>
          <w:sz w:val="22"/>
        </w:rPr>
        <w:t>一、环境准备</w:t>
      </w:r>
    </w:p>
    <w:p>
      <w:pPr>
        <w:spacing w:before="40" w:after="40"/>
      </w:pPr>
      <w:r>
        <w:rPr>
          <w:rFonts w:ascii="Arial" w:hAnsi="Arial" w:eastAsia="微软雅黑"/>
          <w:b w:val="0"/>
          <w:sz w:val="22"/>
        </w:rPr>
        <w:t>Python &gt;= 3.9, 依赖安装: pip install -r requirements.txt</w:t>
      </w:r>
    </w:p>
    <w:p>
      <w:pPr>
        <w:spacing w:before="80" w:after="40"/>
      </w:pPr>
      <w:r>
        <w:rPr>
          <w:rFonts w:ascii="Arial" w:hAnsi="Arial" w:eastAsia="微软雅黑"/>
          <w:b/>
          <w:color w:val="003366"/>
          <w:sz w:val="22"/>
        </w:rPr>
        <w:t>二、运行顺序（必须按此顺序）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3135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脚本</w:t>
            </w:r>
          </w:p>
        </w:tc>
        <w:tc>
          <w:tcPr>
            <w:tcW w:type="dxa" w:w="3135"/>
            <w:shd w:fill="008B80"/>
          </w:tcPr>
          <w:p>
            <w:pPr>
              <w:jc w:val="center"/>
            </w:pPr>
            <w:r/>
            <w:r>
              <w:rPr>
                <w:rFonts w:ascii="Arial" w:hAnsi="Arial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1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download_data.py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下载原始行情数据(日线+4h+资金费率)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2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preprocess_data.py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清洗对齐, 生成收益率矩阵</w:t>
            </w:r>
          </w:p>
        </w:tc>
      </w:tr>
      <w:tr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3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factor_model.py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Ridge滚动回归, 因子质量检验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4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generate_signals.py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z-score计算, 信号生成与交易记录</w:t>
            </w:r>
          </w:p>
        </w:tc>
      </w:tr>
      <w:tr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5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build_portfolio.py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组合构建, 风控逻辑, 仓位分配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6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backtest.py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回测引擎, 成本建模, 净值曲线</w:t>
            </w:r>
          </w:p>
        </w:tc>
      </w:tr>
      <w:tr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7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risk_dashboard.py</w:t>
            </w:r>
          </w:p>
        </w:tc>
        <w:tc>
          <w:tcPr>
            <w:tcW w:type="dxa" w:w="3135"/>
            <w:shd w:fill="F0F4F8"/>
          </w:tcPr>
          <w:p>
            <w:r/>
            <w:r>
              <w:rPr>
                <w:rFonts w:ascii="Arial" w:hAnsi="Arial" w:eastAsia="微软雅黑"/>
                <w:sz w:val="20"/>
              </w:rPr>
              <w:t>风控可视化图表生成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8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generate_docx_report.py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微软雅黑"/>
                <w:sz w:val="20"/>
              </w:rPr>
              <w:t>生成最终Word报告</w:t>
            </w:r>
          </w:p>
        </w:tc>
      </w:tr>
    </w:tbl>
    <w:p>
      <w:pPr>
        <w:spacing w:before="40"/>
      </w:pPr>
    </w:p>
    <w:p>
      <w:pPr>
        <w:spacing w:before="80" w:after="40"/>
      </w:pPr>
      <w:r>
        <w:rPr>
          <w:rFonts w:ascii="Arial" w:hAnsi="Arial" w:eastAsia="微软雅黑"/>
          <w:b/>
          <w:color w:val="003366"/>
          <w:sz w:val="22"/>
        </w:rPr>
        <w:t>三、参数说明</w:t>
      </w:r>
    </w:p>
    <w:p>
      <w:pPr>
        <w:spacing w:before="40" w:after="40"/>
      </w:pPr>
      <w:r>
        <w:rPr>
          <w:rFonts w:ascii="Arial" w:hAnsi="Arial" w:eastAsia="微软雅黑"/>
          <w:b w:val="0"/>
          <w:sz w:val="22"/>
        </w:rPr>
        <w:t>backtest.py 顶部可修改 ENTRY_Z(入场阈值,默认2.0)、EXIT_Z(平仓阈值,默认0.5)、STOP_Z(止损阈值,默认3.0) 三个参数。其他脚本无运行时参数。</w:t>
      </w:r>
    </w:p>
    <w:p>
      <w:pPr>
        <w:spacing w:before="80" w:after="40"/>
      </w:pPr>
      <w:r>
        <w:rPr>
          <w:rFonts w:ascii="Arial" w:hAnsi="Arial" w:eastAsia="微软雅黑"/>
          <w:b/>
          <w:color w:val="003366"/>
          <w:sz w:val="22"/>
        </w:rPr>
        <w:t>四、输出文件</w:t>
      </w:r>
    </w:p>
    <w:p>
      <w:pPr>
        <w:spacing w:before="40" w:after="40"/>
      </w:pPr>
      <w:r>
        <w:rPr>
          <w:rFonts w:ascii="Arial" w:hAnsi="Arial" w:eastAsia="微软雅黑"/>
          <w:b w:val="0"/>
          <w:sz w:val="22"/>
        </w:rPr>
        <w:t>最终报告: output/reports/strategy_report.docx（在Word中调格式后另存为PDF）</w:t>
      </w:r>
    </w:p>
    <w:p>
      <w:pPr>
        <w:spacing w:before="40" w:after="40"/>
      </w:pPr>
      <w:r>
        <w:rPr>
          <w:rFonts w:ascii="Arial" w:hAnsi="Arial" w:eastAsia="微软雅黑"/>
          <w:b w:val="0"/>
          <w:sz w:val="22"/>
        </w:rPr>
        <w:t>中间数据: output/tables/ 目录下所有Excel/Parquet文件</w:t>
      </w:r>
    </w:p>
    <w:p>
      <w:pPr>
        <w:spacing w:before="40" w:after="40"/>
      </w:pPr>
      <w:r>
        <w:rPr>
          <w:rFonts w:ascii="Arial" w:hAnsi="Arial" w:eastAsia="微软雅黑"/>
          <w:b w:val="0"/>
          <w:sz w:val="22"/>
        </w:rPr>
        <w:t>可视化图表: output/figures/ 目录下所有PNG文件</w:t>
      </w:r>
    </w:p>
    <w:p>
      <w:pPr>
        <w:spacing w:before="40" w:after="40"/>
      </w:pPr>
      <w:r>
        <w:rPr>
          <w:rFonts w:ascii="Arial" w:hAnsi="Arial" w:eastAsia="微软雅黑"/>
          <w:b w:val="0"/>
          <w:sz w:val="22"/>
        </w:rPr>
      </w:r>
    </w:p>
    <w:p>
      <w:pPr>
        <w:spacing w:before="40" w:after="40"/>
        <w:jc w:val="center"/>
      </w:pPr>
      <w:r>
        <w:rPr>
          <w:rFonts w:ascii="Arial" w:hAnsi="Arial" w:eastAsia="微软雅黑"/>
          <w:b w:val="0"/>
          <w:color w:val="667788"/>
          <w:sz w:val="20"/>
        </w:rPr>
        <w:t>— 报告完 —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80" w:after="80"/>
    </w:pPr>
    <w:rPr>
      <w:rFonts w:ascii="Arial" w:hAnsi="Arial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