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现状：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国家政策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行业发展要求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市政发展要求（环渤海经济带，大连的发展定位是什么）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由区域发展</w:t>
      </w:r>
      <w:r>
        <w:rPr>
          <w:rFonts w:hint="eastAsia"/>
          <w:lang w:val="en-US" w:eastAsia="zh-CN"/>
        </w:rPr>
        <w:t xml:space="preserve"> 到整个交通行业 到公共交通（包括地铁） 最后到 大连公交集团的形势和任务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信息化的任务、发展趋势（各个信息技术的发展）。包括两方面：相对成熟的、相对新新的（需要在十三五期间发展的）。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大连公交需求分析：分为对内的对外的以及大数据分析平台。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E50B1"/>
    <w:rsid w:val="4D5E50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2017-07-14T12:39:00Z</dcterms:created>
  <dc:creator>Administrator</dc:creator>
  <cp:lastModifiedBy>Administrator</cp:lastModifiedBy>
  <dcterms:modified xsi:type="dcterms:W3CDTF">2017-07-14T13:24:34Z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