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SimSun"/>
          <w:b/>
          <w:sz w:val="44"/>
        </w:rPr>
        <w:t>技术报告</w:t>
      </w:r>
    </w:p>
    <w:p/>
    <w:p/>
    <w:p>
      <w:pPr>
        <w:jc w:val="center"/>
      </w:pPr>
      <w:r>
        <w:rPr>
          <w:rFonts w:ascii="Times New Roman" w:hAnsi="Times New Roman" w:eastAsia="SimSun"/>
          <w:b/>
          <w:sz w:val="34"/>
        </w:rPr>
        <w:t>基于 ImageNet 预训练模型的参数高效微调方法探索</w:t>
      </w:r>
    </w:p>
    <w:p/>
    <w:p/>
    <w:p/>
    <w:p/>
    <w:p>
      <w:pPr>
        <w:jc w:val="center"/>
      </w:pPr>
      <w:r>
        <w:rPr>
          <w:rFonts w:ascii="Times New Roman" w:hAnsi="Times New Roman" w:eastAsia="SimSun"/>
          <w:sz w:val="24"/>
        </w:rPr>
        <w:t>姓名：____________________</w:t>
      </w:r>
    </w:p>
    <w:p>
      <w:pPr>
        <w:jc w:val="center"/>
      </w:pPr>
      <w:r>
        <w:rPr>
          <w:rFonts w:ascii="Times New Roman" w:hAnsi="Times New Roman" w:eastAsia="SimSun"/>
          <w:sz w:val="24"/>
        </w:rPr>
        <w:t>学号：____________________</w:t>
      </w:r>
    </w:p>
    <w:p>
      <w:pPr>
        <w:jc w:val="center"/>
      </w:pPr>
      <w:r>
        <w:rPr>
          <w:rFonts w:ascii="Times New Roman" w:hAnsi="Times New Roman" w:eastAsia="SimSun"/>
          <w:sz w:val="24"/>
        </w:rPr>
        <w:t>班级：____________________</w:t>
      </w:r>
    </w:p>
    <w:p>
      <w:pPr>
        <w:jc w:val="center"/>
      </w:pPr>
      <w:r>
        <w:rPr>
          <w:rFonts w:ascii="Times New Roman" w:hAnsi="Times New Roman" w:eastAsia="SimSun"/>
          <w:sz w:val="24"/>
        </w:rPr>
        <w:t>指导教师：____________________</w:t>
      </w:r>
    </w:p>
    <w:p>
      <w:pPr>
        <w:jc w:val="center"/>
      </w:pPr>
      <w:r>
        <w:rPr>
          <w:rFonts w:ascii="Times New Roman" w:hAnsi="Times New Roman" w:eastAsia="SimSun"/>
          <w:sz w:val="24"/>
        </w:rPr>
        <w:t>完成日期：2026 年 6 月</w:t>
      </w:r>
    </w:p>
    <w:p>
      <w:r>
        <w:br w:type="page"/>
      </w:r>
    </w:p>
    <w:p>
      <w:pPr>
        <w:jc w:val="center"/>
      </w:pPr>
      <w:r>
        <w:rPr>
          <w:rFonts w:ascii="Times New Roman" w:hAnsi="Times New Roman" w:eastAsia="SimSun"/>
          <w:b/>
          <w:sz w:val="36"/>
        </w:rPr>
        <w:t>基于 ImageNet 预训练模型的参数高效微调方法探索</w:t>
      </w:r>
    </w:p>
    <w:p>
      <w:pPr>
        <w:pStyle w:val="Heading1"/>
        <w:spacing w:before="280" w:after="120"/>
      </w:pPr>
      <w:r>
        <w:rPr>
          <w:rFonts w:ascii="Times New Roman" w:hAnsi="Times New Roman" w:eastAsia="SimSun"/>
          <w:b/>
          <w:color w:val="2E74B5"/>
          <w:sz w:val="32"/>
        </w:rPr>
        <w:t>摘要</w:t>
      </w:r>
    </w:p>
    <w:p>
      <w:pPr>
        <w:spacing w:line="276" w:lineRule="auto" w:after="120"/>
        <w:ind w:firstLine="420"/>
      </w:pPr>
      <w:r>
        <w:rPr>
          <w:rFonts w:ascii="Times New Roman" w:hAnsi="Times New Roman" w:eastAsia="SimSun"/>
          <w:sz w:val="22"/>
        </w:rPr>
        <w:t>大规模预训练模型已经成为视觉识别和自然语言处理中的重要基础模型，但对每个下游任务进行全量微调会带来较高的存储、训练和部署成本。参数高效微调通过冻结大部分预训练参数，只训练少量新增参数或特定参数子集，在保持迁移能力的同时显著降低训练开销。本文参考 AdaptFormer、SSF、LoRA 和 BitFit 四类代表性方法，基于 ImageNet 预训练 ResNet18 和 CIFAR-10 构建 CUDA 小样本实验，比较线性探测、BitFit、SSF、LoRA、Adapter 和全量微调六种策略。实验在 NVIDIA GeForce RTX 4060 Laptop GPU 上运行，每类使用 100 张训练图像和 100 张测试图像，重复两个随机种子。结果表明，BitFit 取得最高平均测试准确率 77.25%，但仅训练 0.0888% 的参数；全量微调训练 100% 参数，平均准确率为 72.80%。这说明在小样本迁移场景下，偏置项和任务头已经能够提供有效适配，全量更新未必带来更优泛化。</w:t>
      </w:r>
    </w:p>
    <w:p>
      <w:pPr>
        <w:spacing w:line="276" w:lineRule="auto" w:after="120"/>
      </w:pPr>
      <w:r>
        <w:rPr>
          <w:rFonts w:ascii="Times New Roman" w:hAnsi="Times New Roman" w:eastAsia="SimSun"/>
          <w:sz w:val="22"/>
        </w:rPr>
        <w:t>关键词：模型微调；参数高效微调；BitFit；LoRA；SSF；Adapter；CUDA</w:t>
      </w:r>
    </w:p>
    <w:p>
      <w:pPr>
        <w:pStyle w:val="Heading1"/>
        <w:spacing w:before="280" w:after="120"/>
      </w:pPr>
      <w:r>
        <w:rPr>
          <w:rFonts w:ascii="Times New Roman" w:hAnsi="Times New Roman" w:eastAsia="SimSun"/>
          <w:b/>
          <w:color w:val="2E74B5"/>
          <w:sz w:val="32"/>
        </w:rPr>
        <w:t>1 引言</w:t>
      </w:r>
    </w:p>
    <w:p>
      <w:pPr>
        <w:spacing w:line="276" w:lineRule="auto" w:after="120"/>
        <w:ind w:firstLine="420"/>
      </w:pPr>
      <w:r>
        <w:rPr>
          <w:rFonts w:ascii="Times New Roman" w:hAnsi="Times New Roman" w:eastAsia="SimSun"/>
          <w:sz w:val="22"/>
        </w:rPr>
        <w:t>随着预训练模型规模不断扩大，直接为每个任务保存一份完整微调后的模型会造成明显的参数冗余。在视觉识别任务中，预训练骨干网络通常已经学习到较通用的边缘、纹理和语义表征，下游任务往往只需要对特征分布或决策边界进行较小调整。因此，如何在冻结主体参数的条件下完成有效适配，成为模型微调技术探索中的关键问题。</w:t>
      </w:r>
    </w:p>
    <w:p>
      <w:pPr>
        <w:spacing w:line="276" w:lineRule="auto" w:after="120"/>
        <w:ind w:firstLine="420"/>
      </w:pPr>
      <w:r>
        <w:rPr>
          <w:rFonts w:ascii="Times New Roman" w:hAnsi="Times New Roman" w:eastAsia="SimSun"/>
          <w:sz w:val="22"/>
        </w:rPr>
        <w:t>已有研究从不同角度提出参数高效微调方案。AdaptFormer 在 Transformer 层中插入轻量适配器，以较少参数适配多种视觉识别任务；SSF 通过特征缩放和平移调节预训练特征；LoRA 将权重增量建模为低秩矩阵；BitFit 则进一步简化为只更新偏置项。这些方法共同体现出一个思想：下游任务的有效更新可能位于低维或少量参数子空间中。</w:t>
      </w:r>
    </w:p>
    <w:p>
      <w:pPr>
        <w:spacing w:line="276" w:lineRule="auto" w:after="120"/>
        <w:ind w:firstLine="420"/>
      </w:pPr>
      <w:r>
        <w:rPr>
          <w:rFonts w:ascii="Times New Roman" w:hAnsi="Times New Roman" w:eastAsia="SimSun"/>
          <w:sz w:val="22"/>
        </w:rPr>
        <w:t>本文的主要贡献如下：第一，结合四篇参考文献整理了 Adapter、SSF、LoRA 和 BitFit 的核心机制；第二，使用 CUDA 实现了六种微调策略的统一对比实验；第三，根据真实实验结果分析不同参数高效策略在小样本图像分类场景下的效果、参数量和局限。</w:t>
      </w:r>
    </w:p>
    <w:p>
      <w:pPr>
        <w:pStyle w:val="Heading1"/>
        <w:spacing w:before="280" w:after="120"/>
      </w:pPr>
      <w:r>
        <w:rPr>
          <w:rFonts w:ascii="Times New Roman" w:hAnsi="Times New Roman" w:eastAsia="SimSun"/>
          <w:b/>
          <w:color w:val="2E74B5"/>
          <w:sz w:val="32"/>
        </w:rPr>
        <w:t>2 研究方法</w:t>
      </w:r>
    </w:p>
    <w:p>
      <w:pPr>
        <w:pStyle w:val="Heading2"/>
        <w:spacing w:before="200" w:after="120"/>
      </w:pPr>
      <w:r>
        <w:rPr>
          <w:rFonts w:ascii="Times New Roman" w:hAnsi="Times New Roman" w:eastAsia="SimSun"/>
          <w:b/>
          <w:color w:val="2E74B5"/>
          <w:sz w:val="26"/>
        </w:rPr>
        <w:t>2.1 参数高效微调思想</w:t>
      </w:r>
    </w:p>
    <w:p>
      <w:pPr>
        <w:spacing w:line="276" w:lineRule="auto" w:after="120"/>
        <w:ind w:firstLine="420"/>
      </w:pPr>
      <w:r>
        <w:rPr>
          <w:rFonts w:ascii="Times New Roman" w:hAnsi="Times New Roman" w:eastAsia="SimSun"/>
          <w:sz w:val="22"/>
        </w:rPr>
        <w:t>全量微调会更新预训练模型的全部权重，表达能力最强，但训练参数量和过拟合风险也最高。参数高效微调通常冻结预训练骨干，只开放少量任务相关参数，使模型在保留原有表示能力的同时完成下游适配。本文将这些策略抽象为三个层次：只训练输出层的线性探测、训练少量原有参数的 BitFit、以及添加或重参数化增量模块的 SSF、LoRA 和 Adapter。</w:t>
      </w:r>
    </w:p>
    <w:p>
      <w:pPr>
        <w:pStyle w:val="Heading2"/>
        <w:spacing w:before="200" w:after="120"/>
      </w:pPr>
      <w:r>
        <w:rPr>
          <w:rFonts w:ascii="Times New Roman" w:hAnsi="Times New Roman" w:eastAsia="SimSun"/>
          <w:b/>
          <w:color w:val="2E74B5"/>
          <w:sz w:val="26"/>
        </w:rPr>
        <w:t>2.2 参考方法</w:t>
      </w:r>
    </w:p>
    <w:p>
      <w:pPr>
        <w:spacing w:line="276" w:lineRule="auto" w:after="120"/>
        <w:ind w:firstLine="420"/>
      </w:pPr>
      <w:r>
        <w:rPr>
          <w:rFonts w:ascii="Times New Roman" w:hAnsi="Times New Roman" w:eastAsia="SimSun"/>
          <w:sz w:val="22"/>
        </w:rPr>
        <w:t>AdaptFormer 的启发来自 Adapter 思路：在主干网络中加入瓶颈结构，使输入特征先降维再升维，通过残差方式影响原模型输出。本文使用图像分类骨干 ResNet18，因此将该思想简化为特征向量后的瓶颈适配器。</w:t>
      </w:r>
    </w:p>
    <w:p>
      <w:pPr>
        <w:spacing w:line="276" w:lineRule="auto" w:after="120"/>
        <w:ind w:firstLine="420"/>
      </w:pPr>
      <w:r>
        <w:rPr>
          <w:rFonts w:ascii="Times New Roman" w:hAnsi="Times New Roman" w:eastAsia="SimSun"/>
          <w:sz w:val="22"/>
        </w:rPr>
        <w:t>SSF 方法认为下游任务适配可以通过对预训练特征进行缩放和偏移实现。本文在 ResNet18 的全局池化特征上学习一组 scale 和 shift 参数，再连接分类头。</w:t>
      </w:r>
    </w:p>
    <w:p>
      <w:pPr>
        <w:spacing w:line="276" w:lineRule="auto" w:after="120"/>
        <w:ind w:firstLine="420"/>
      </w:pPr>
      <w:r>
        <w:rPr>
          <w:rFonts w:ascii="Times New Roman" w:hAnsi="Times New Roman" w:eastAsia="SimSun"/>
          <w:sz w:val="22"/>
        </w:rPr>
        <w:t>LoRA 假设微调时的权重增量具有低秩结构，冻结原始权重并训练两个小矩阵的乘积。由于本实验的分类头是新初始化层，本文将 LoRA 简化应用在分类头增量上，这也构成后续结果分析中的一个重要局限。</w:t>
      </w:r>
    </w:p>
    <w:p>
      <w:pPr>
        <w:spacing w:line="276" w:lineRule="auto" w:after="120"/>
        <w:ind w:firstLine="420"/>
      </w:pPr>
      <w:r>
        <w:rPr>
          <w:rFonts w:ascii="Times New Roman" w:hAnsi="Times New Roman" w:eastAsia="SimSun"/>
          <w:sz w:val="22"/>
        </w:rPr>
        <w:t>BitFit 只训练偏置项和任务相关分类层。该方法结构简单、参数量极低，适合作为参数高效微调的强基线。</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91"/>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方法</w:t>
            </w:r>
          </w:p>
        </w:tc>
        <w:tc>
          <w:tcPr>
            <w:tcW w:type="dxa" w:w="3855"/>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实验实现</w:t>
            </w:r>
          </w:p>
        </w:tc>
        <w:tc>
          <w:tcPr>
            <w:tcW w:type="dxa" w:w="2268"/>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可训练部分</w:t>
            </w:r>
          </w:p>
        </w:tc>
      </w:tr>
      <w:tr>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LINEAR</w:t>
            </w:r>
          </w:p>
        </w:tc>
        <w:tc>
          <w:tcPr>
            <w:tcW w:type="dxa" w:w="3855"/>
            <w:vAlign w:val="center"/>
            <w:tcMar>
              <w:top w:w="80" w:type="dxa"/>
              <w:start w:w="120" w:type="dxa"/>
              <w:bottom w:w="80" w:type="dxa"/>
              <w:end w:w="120" w:type="dxa"/>
            </w:tcMar>
          </w:tcPr>
          <w:p>
            <w:pPr>
              <w:spacing w:after="0"/>
              <w:jc w:val="left"/>
            </w:pPr>
            <w:r/>
            <w:r>
              <w:rPr>
                <w:rFonts w:ascii="Times New Roman" w:hAnsi="Times New Roman" w:eastAsia="SimSun"/>
                <w:b w:val="0"/>
                <w:sz w:val="19"/>
              </w:rPr>
              <w:t>冻结骨干网络，只训练分类头</w:t>
            </w:r>
          </w:p>
        </w:tc>
        <w:tc>
          <w:tcPr>
            <w:tcW w:type="dxa" w:w="2268"/>
            <w:vAlign w:val="center"/>
            <w:tcMar>
              <w:top w:w="80" w:type="dxa"/>
              <w:start w:w="120" w:type="dxa"/>
              <w:bottom w:w="80" w:type="dxa"/>
              <w:end w:w="120" w:type="dxa"/>
            </w:tcMar>
          </w:tcPr>
          <w:p>
            <w:pPr>
              <w:spacing w:after="0"/>
              <w:jc w:val="left"/>
            </w:pPr>
            <w:r/>
            <w:r>
              <w:rPr>
                <w:rFonts w:ascii="Times New Roman" w:hAnsi="Times New Roman" w:eastAsia="SimSun"/>
                <w:b w:val="0"/>
                <w:sz w:val="19"/>
              </w:rPr>
              <w:t>分类头参数</w:t>
            </w:r>
          </w:p>
        </w:tc>
      </w:tr>
      <w:tr>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BITFIT</w:t>
            </w:r>
          </w:p>
        </w:tc>
        <w:tc>
          <w:tcPr>
            <w:tcW w:type="dxa" w:w="3855"/>
            <w:vAlign w:val="center"/>
            <w:tcMar>
              <w:top w:w="80" w:type="dxa"/>
              <w:start w:w="120" w:type="dxa"/>
              <w:bottom w:w="80" w:type="dxa"/>
              <w:end w:w="120" w:type="dxa"/>
            </w:tcMar>
          </w:tcPr>
          <w:p>
            <w:pPr>
              <w:spacing w:after="0"/>
              <w:jc w:val="left"/>
            </w:pPr>
            <w:r/>
            <w:r>
              <w:rPr>
                <w:rFonts w:ascii="Times New Roman" w:hAnsi="Times New Roman" w:eastAsia="SimSun"/>
                <w:b w:val="0"/>
                <w:sz w:val="19"/>
              </w:rPr>
              <w:t>训练偏置项和分类头</w:t>
            </w:r>
          </w:p>
        </w:tc>
        <w:tc>
          <w:tcPr>
            <w:tcW w:type="dxa" w:w="2268"/>
            <w:vAlign w:val="center"/>
            <w:tcMar>
              <w:top w:w="80" w:type="dxa"/>
              <w:start w:w="120" w:type="dxa"/>
              <w:bottom w:w="80" w:type="dxa"/>
              <w:end w:w="120" w:type="dxa"/>
            </w:tcMar>
          </w:tcPr>
          <w:p>
            <w:pPr>
              <w:spacing w:after="0"/>
              <w:jc w:val="left"/>
            </w:pPr>
            <w:r/>
            <w:r>
              <w:rPr>
                <w:rFonts w:ascii="Times New Roman" w:hAnsi="Times New Roman" w:eastAsia="SimSun"/>
                <w:b w:val="0"/>
                <w:sz w:val="19"/>
              </w:rPr>
              <w:t>偏置项 + 分类头</w:t>
            </w:r>
          </w:p>
        </w:tc>
      </w:tr>
      <w:tr>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SSF</w:t>
            </w:r>
          </w:p>
        </w:tc>
        <w:tc>
          <w:tcPr>
            <w:tcW w:type="dxa" w:w="3855"/>
            <w:vAlign w:val="center"/>
            <w:tcMar>
              <w:top w:w="80" w:type="dxa"/>
              <w:start w:w="120" w:type="dxa"/>
              <w:bottom w:w="80" w:type="dxa"/>
              <w:end w:w="120" w:type="dxa"/>
            </w:tcMar>
          </w:tcPr>
          <w:p>
            <w:pPr>
              <w:spacing w:after="0"/>
              <w:jc w:val="left"/>
            </w:pPr>
            <w:r/>
            <w:r>
              <w:rPr>
                <w:rFonts w:ascii="Times New Roman" w:hAnsi="Times New Roman" w:eastAsia="SimSun"/>
                <w:b w:val="0"/>
                <w:sz w:val="19"/>
              </w:rPr>
              <w:t>在特征上学习缩放和平移</w:t>
            </w:r>
          </w:p>
        </w:tc>
        <w:tc>
          <w:tcPr>
            <w:tcW w:type="dxa" w:w="2268"/>
            <w:vAlign w:val="center"/>
            <w:tcMar>
              <w:top w:w="80" w:type="dxa"/>
              <w:start w:w="120" w:type="dxa"/>
              <w:bottom w:w="80" w:type="dxa"/>
              <w:end w:w="120" w:type="dxa"/>
            </w:tcMar>
          </w:tcPr>
          <w:p>
            <w:pPr>
              <w:spacing w:after="0"/>
              <w:jc w:val="left"/>
            </w:pPr>
            <w:r/>
            <w:r>
              <w:rPr>
                <w:rFonts w:ascii="Times New Roman" w:hAnsi="Times New Roman" w:eastAsia="SimSun"/>
                <w:b w:val="0"/>
                <w:sz w:val="19"/>
              </w:rPr>
              <w:t>scale/shift + 分类头</w:t>
            </w:r>
          </w:p>
        </w:tc>
      </w:tr>
      <w:tr>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LORA</w:t>
            </w:r>
          </w:p>
        </w:tc>
        <w:tc>
          <w:tcPr>
            <w:tcW w:type="dxa" w:w="3855"/>
            <w:vAlign w:val="center"/>
            <w:tcMar>
              <w:top w:w="80" w:type="dxa"/>
              <w:start w:w="120" w:type="dxa"/>
              <w:bottom w:w="80" w:type="dxa"/>
              <w:end w:w="120" w:type="dxa"/>
            </w:tcMar>
          </w:tcPr>
          <w:p>
            <w:pPr>
              <w:spacing w:after="0"/>
              <w:jc w:val="left"/>
            </w:pPr>
            <w:r/>
            <w:r>
              <w:rPr>
                <w:rFonts w:ascii="Times New Roman" w:hAnsi="Times New Roman" w:eastAsia="SimSun"/>
                <w:b w:val="0"/>
                <w:sz w:val="19"/>
              </w:rPr>
              <w:t>用低秩矩阵近似分类头增量</w:t>
            </w:r>
          </w:p>
        </w:tc>
        <w:tc>
          <w:tcPr>
            <w:tcW w:type="dxa" w:w="2268"/>
            <w:vAlign w:val="center"/>
            <w:tcMar>
              <w:top w:w="80" w:type="dxa"/>
              <w:start w:w="120" w:type="dxa"/>
              <w:bottom w:w="80" w:type="dxa"/>
              <w:end w:w="120" w:type="dxa"/>
            </w:tcMar>
          </w:tcPr>
          <w:p>
            <w:pPr>
              <w:spacing w:after="0"/>
              <w:jc w:val="left"/>
            </w:pPr>
            <w:r/>
            <w:r>
              <w:rPr>
                <w:rFonts w:ascii="Times New Roman" w:hAnsi="Times New Roman" w:eastAsia="SimSun"/>
                <w:b w:val="0"/>
                <w:sz w:val="19"/>
              </w:rPr>
              <w:t>低秩矩阵 + 偏置</w:t>
            </w:r>
          </w:p>
        </w:tc>
      </w:tr>
      <w:tr>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ADAPTER</w:t>
            </w:r>
          </w:p>
        </w:tc>
        <w:tc>
          <w:tcPr>
            <w:tcW w:type="dxa" w:w="3855"/>
            <w:vAlign w:val="center"/>
            <w:tcMar>
              <w:top w:w="80" w:type="dxa"/>
              <w:start w:w="120" w:type="dxa"/>
              <w:bottom w:w="80" w:type="dxa"/>
              <w:end w:w="120" w:type="dxa"/>
            </w:tcMar>
          </w:tcPr>
          <w:p>
            <w:pPr>
              <w:spacing w:after="0"/>
              <w:jc w:val="left"/>
            </w:pPr>
            <w:r/>
            <w:r>
              <w:rPr>
                <w:rFonts w:ascii="Times New Roman" w:hAnsi="Times New Roman" w:eastAsia="SimSun"/>
                <w:b w:val="0"/>
                <w:sz w:val="19"/>
              </w:rPr>
              <w:t>添加瓶颈适配器进行特征变换</w:t>
            </w:r>
          </w:p>
        </w:tc>
        <w:tc>
          <w:tcPr>
            <w:tcW w:type="dxa" w:w="2268"/>
            <w:vAlign w:val="center"/>
            <w:tcMar>
              <w:top w:w="80" w:type="dxa"/>
              <w:start w:w="120" w:type="dxa"/>
              <w:bottom w:w="80" w:type="dxa"/>
              <w:end w:w="120" w:type="dxa"/>
            </w:tcMar>
          </w:tcPr>
          <w:p>
            <w:pPr>
              <w:spacing w:after="0"/>
              <w:jc w:val="left"/>
            </w:pPr>
            <w:r/>
            <w:r>
              <w:rPr>
                <w:rFonts w:ascii="Times New Roman" w:hAnsi="Times New Roman" w:eastAsia="SimSun"/>
                <w:b w:val="0"/>
                <w:sz w:val="19"/>
              </w:rPr>
              <w:t>适配器 + 分类头</w:t>
            </w:r>
          </w:p>
        </w:tc>
      </w:tr>
      <w:tr>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FULL</w:t>
            </w:r>
          </w:p>
        </w:tc>
        <w:tc>
          <w:tcPr>
            <w:tcW w:type="dxa" w:w="3855"/>
            <w:vAlign w:val="center"/>
            <w:tcMar>
              <w:top w:w="80" w:type="dxa"/>
              <w:start w:w="120" w:type="dxa"/>
              <w:bottom w:w="80" w:type="dxa"/>
              <w:end w:w="120" w:type="dxa"/>
            </w:tcMar>
          </w:tcPr>
          <w:p>
            <w:pPr>
              <w:spacing w:after="0"/>
              <w:jc w:val="left"/>
            </w:pPr>
            <w:r/>
            <w:r>
              <w:rPr>
                <w:rFonts w:ascii="Times New Roman" w:hAnsi="Times New Roman" w:eastAsia="SimSun"/>
                <w:b w:val="0"/>
                <w:sz w:val="19"/>
              </w:rPr>
              <w:t>更新全部模型参数</w:t>
            </w:r>
          </w:p>
        </w:tc>
        <w:tc>
          <w:tcPr>
            <w:tcW w:type="dxa" w:w="2268"/>
            <w:vAlign w:val="center"/>
            <w:tcMar>
              <w:top w:w="80" w:type="dxa"/>
              <w:start w:w="120" w:type="dxa"/>
              <w:bottom w:w="80" w:type="dxa"/>
              <w:end w:w="120" w:type="dxa"/>
            </w:tcMar>
          </w:tcPr>
          <w:p>
            <w:pPr>
              <w:spacing w:after="0"/>
              <w:jc w:val="left"/>
            </w:pPr>
            <w:r/>
            <w:r>
              <w:rPr>
                <w:rFonts w:ascii="Times New Roman" w:hAnsi="Times New Roman" w:eastAsia="SimSun"/>
                <w:b w:val="0"/>
                <w:sz w:val="19"/>
              </w:rPr>
              <w:t>全部参数</w:t>
            </w:r>
          </w:p>
        </w:tc>
      </w:tr>
    </w:tbl>
    <w:p>
      <w:pPr>
        <w:spacing w:after="120"/>
        <w:jc w:val="center"/>
      </w:pPr>
      <w:r>
        <w:rPr>
          <w:rFonts w:ascii="Times New Roman" w:hAnsi="Times New Roman" w:eastAsia="SimSun"/>
          <w:color w:val="555555"/>
          <w:sz w:val="20"/>
        </w:rPr>
        <w:t>表 1 六种微调策略的实验实现</w:t>
      </w:r>
    </w:p>
    <w:p>
      <w:pPr>
        <w:pStyle w:val="Heading1"/>
        <w:spacing w:before="280" w:after="120"/>
      </w:pPr>
      <w:r>
        <w:rPr>
          <w:rFonts w:ascii="Times New Roman" w:hAnsi="Times New Roman" w:eastAsia="SimSun"/>
          <w:b/>
          <w:color w:val="2E74B5"/>
          <w:sz w:val="32"/>
        </w:rPr>
        <w:t>3 实验与结果分析</w:t>
      </w:r>
    </w:p>
    <w:p>
      <w:pPr>
        <w:pStyle w:val="Heading2"/>
        <w:spacing w:before="200" w:after="120"/>
      </w:pPr>
      <w:r>
        <w:rPr>
          <w:rFonts w:ascii="Times New Roman" w:hAnsi="Times New Roman" w:eastAsia="SimSun"/>
          <w:b/>
          <w:color w:val="2E74B5"/>
          <w:sz w:val="26"/>
        </w:rPr>
        <w:t>3.1 实验设置</w:t>
      </w:r>
    </w:p>
    <w:p>
      <w:pPr>
        <w:spacing w:line="276" w:lineRule="auto" w:after="120"/>
        <w:ind w:firstLine="420"/>
      </w:pPr>
      <w:r>
        <w:rPr>
          <w:rFonts w:ascii="Times New Roman" w:hAnsi="Times New Roman" w:eastAsia="SimSun"/>
          <w:sz w:val="22"/>
        </w:rPr>
        <w:t>实验数据集为 CIFAR-10。为模拟小样本迁移场景，每个类别采样 100 张训练图像和 100 张测试图像。模型采用 ImageNet 预训练 ResNet18，输入图像缩放到 128 x 128。所有方法训练 4 个 epoch，batch size 为 128，随机种子为 2026 和 2027。实验设备为 NVIDIA GeForce RTX 4060 Laptop GPU，训练过程中启用 CUDA 自动混合精度。</w:t>
      </w:r>
    </w:p>
    <w:p>
      <w:pPr>
        <w:spacing w:line="276" w:lineRule="auto" w:after="120"/>
        <w:ind w:firstLine="420"/>
      </w:pPr>
      <w:r>
        <w:rPr>
          <w:rFonts w:ascii="Times New Roman" w:hAnsi="Times New Roman" w:eastAsia="SimSun"/>
          <w:sz w:val="22"/>
        </w:rPr>
        <w:t>评价指标包括测试准确率、测试损失、平均训练时间、总参数量、可训练参数量和可训练参数比例。其中 FULL 用作全量微调参考，LINEAR 用作最低成本迁移基线，其余方法对应参考文献中的参数高效微调思想。</w:t>
      </w:r>
    </w:p>
    <w:p>
      <w:pPr>
        <w:pStyle w:val="Heading2"/>
        <w:spacing w:before="200" w:after="120"/>
      </w:pPr>
      <w:r>
        <w:rPr>
          <w:rFonts w:ascii="Times New Roman" w:hAnsi="Times New Roman" w:eastAsia="SimSun"/>
          <w:b/>
          <w:color w:val="2E74B5"/>
          <w:sz w:val="26"/>
        </w:rPr>
        <w:t>3.2 实验结果</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34"/>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方法</w:t>
            </w:r>
          </w:p>
        </w:tc>
        <w:tc>
          <w:tcPr>
            <w:tcW w:type="dxa" w:w="1191"/>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平均准确率</w:t>
            </w:r>
          </w:p>
        </w:tc>
        <w:tc>
          <w:tcPr>
            <w:tcW w:type="dxa" w:w="907"/>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标准差</w:t>
            </w:r>
          </w:p>
        </w:tc>
        <w:tc>
          <w:tcPr>
            <w:tcW w:type="dxa" w:w="964"/>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测试损失</w:t>
            </w:r>
          </w:p>
        </w:tc>
        <w:tc>
          <w:tcPr>
            <w:tcW w:type="dxa" w:w="1020"/>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平均耗时/s</w:t>
            </w:r>
          </w:p>
        </w:tc>
        <w:tc>
          <w:tcPr>
            <w:tcW w:type="dxa" w:w="1191"/>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可训练参数</w:t>
            </w:r>
          </w:p>
        </w:tc>
        <w:tc>
          <w:tcPr>
            <w:tcW w:type="dxa" w:w="1077"/>
            <w:vAlign w:val="center"/>
            <w:tcMar>
              <w:top w:w="80" w:type="dxa"/>
              <w:start w:w="120" w:type="dxa"/>
              <w:bottom w:w="80" w:type="dxa"/>
              <w:end w:w="120" w:type="dxa"/>
            </w:tcMar>
            <w:shd w:fill="F2F4F7"/>
          </w:tcPr>
          <w:p>
            <w:pPr>
              <w:spacing w:after="0"/>
              <w:jc w:val="center"/>
            </w:pPr>
            <w:r/>
            <w:r>
              <w:rPr>
                <w:rFonts w:ascii="Times New Roman" w:hAnsi="Times New Roman" w:eastAsia="SimSun"/>
                <w:b/>
                <w:sz w:val="19"/>
              </w:rPr>
              <w:t>可训练比例</w:t>
            </w:r>
          </w:p>
        </w:tc>
      </w:tr>
      <w:tr>
        <w:tc>
          <w:tcPr>
            <w:tcW w:type="dxa" w:w="1134"/>
            <w:vAlign w:val="center"/>
            <w:tcMar>
              <w:top w:w="80" w:type="dxa"/>
              <w:start w:w="120" w:type="dxa"/>
              <w:bottom w:w="80" w:type="dxa"/>
              <w:end w:w="120" w:type="dxa"/>
            </w:tcMar>
          </w:tcPr>
          <w:p>
            <w:pPr>
              <w:spacing w:after="0"/>
              <w:jc w:val="center"/>
            </w:pPr>
            <w:r/>
            <w:r>
              <w:rPr>
                <w:rFonts w:ascii="Times New Roman" w:hAnsi="Times New Roman" w:eastAsia="SimSun"/>
                <w:b w:val="0"/>
                <w:sz w:val="19"/>
              </w:rPr>
              <w:t>LINEAR</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71.25%</w:t>
            </w:r>
          </w:p>
        </w:tc>
        <w:tc>
          <w:tcPr>
            <w:tcW w:type="dxa" w:w="907"/>
            <w:vAlign w:val="center"/>
            <w:tcMar>
              <w:top w:w="80" w:type="dxa"/>
              <w:start w:w="120" w:type="dxa"/>
              <w:bottom w:w="80" w:type="dxa"/>
              <w:end w:w="120" w:type="dxa"/>
            </w:tcMar>
          </w:tcPr>
          <w:p>
            <w:pPr>
              <w:spacing w:after="0"/>
              <w:jc w:val="center"/>
            </w:pPr>
            <w:r/>
            <w:r>
              <w:rPr>
                <w:rFonts w:ascii="Times New Roman" w:hAnsi="Times New Roman" w:eastAsia="SimSun"/>
                <w:b w:val="0"/>
                <w:sz w:val="19"/>
              </w:rPr>
              <w:t>1.77%</w:t>
            </w:r>
          </w:p>
        </w:tc>
        <w:tc>
          <w:tcPr>
            <w:tcW w:type="dxa" w:w="964"/>
            <w:vAlign w:val="center"/>
            <w:tcMar>
              <w:top w:w="80" w:type="dxa"/>
              <w:start w:w="120" w:type="dxa"/>
              <w:bottom w:w="80" w:type="dxa"/>
              <w:end w:w="120" w:type="dxa"/>
            </w:tcMar>
          </w:tcPr>
          <w:p>
            <w:pPr>
              <w:spacing w:after="0"/>
              <w:jc w:val="center"/>
            </w:pPr>
            <w:r/>
            <w:r>
              <w:rPr>
                <w:rFonts w:ascii="Times New Roman" w:hAnsi="Times New Roman" w:eastAsia="SimSun"/>
                <w:b w:val="0"/>
                <w:sz w:val="19"/>
              </w:rPr>
              <w:t>0.9394</w:t>
            </w:r>
          </w:p>
        </w:tc>
        <w:tc>
          <w:tcPr>
            <w:tcW w:type="dxa" w:w="1020"/>
            <w:vAlign w:val="center"/>
            <w:tcMar>
              <w:top w:w="80" w:type="dxa"/>
              <w:start w:w="120" w:type="dxa"/>
              <w:bottom w:w="80" w:type="dxa"/>
              <w:end w:w="120" w:type="dxa"/>
            </w:tcMar>
          </w:tcPr>
          <w:p>
            <w:pPr>
              <w:spacing w:after="0"/>
              <w:jc w:val="center"/>
            </w:pPr>
            <w:r/>
            <w:r>
              <w:rPr>
                <w:rFonts w:ascii="Times New Roman" w:hAnsi="Times New Roman" w:eastAsia="SimSun"/>
                <w:b w:val="0"/>
                <w:sz w:val="19"/>
              </w:rPr>
              <w:t>14.15</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5,130</w:t>
            </w:r>
          </w:p>
        </w:tc>
        <w:tc>
          <w:tcPr>
            <w:tcW w:type="dxa" w:w="1077"/>
            <w:vAlign w:val="center"/>
            <w:tcMar>
              <w:top w:w="80" w:type="dxa"/>
              <w:start w:w="120" w:type="dxa"/>
              <w:bottom w:w="80" w:type="dxa"/>
              <w:end w:w="120" w:type="dxa"/>
            </w:tcMar>
          </w:tcPr>
          <w:p>
            <w:pPr>
              <w:spacing w:after="0"/>
              <w:jc w:val="center"/>
            </w:pPr>
            <w:r/>
            <w:r>
              <w:rPr>
                <w:rFonts w:ascii="Times New Roman" w:hAnsi="Times New Roman" w:eastAsia="SimSun"/>
                <w:b w:val="0"/>
                <w:sz w:val="19"/>
              </w:rPr>
              <w:t>0.0459%</w:t>
            </w:r>
          </w:p>
        </w:tc>
      </w:tr>
      <w:tr>
        <w:tc>
          <w:tcPr>
            <w:tcW w:type="dxa" w:w="1134"/>
            <w:vAlign w:val="center"/>
            <w:tcMar>
              <w:top w:w="80" w:type="dxa"/>
              <w:start w:w="120" w:type="dxa"/>
              <w:bottom w:w="80" w:type="dxa"/>
              <w:end w:w="120" w:type="dxa"/>
            </w:tcMar>
          </w:tcPr>
          <w:p>
            <w:pPr>
              <w:spacing w:after="0"/>
              <w:jc w:val="center"/>
            </w:pPr>
            <w:r/>
            <w:r>
              <w:rPr>
                <w:rFonts w:ascii="Times New Roman" w:hAnsi="Times New Roman" w:eastAsia="SimSun"/>
                <w:b w:val="0"/>
                <w:sz w:val="19"/>
              </w:rPr>
              <w:t>BITFIT</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77.25%</w:t>
            </w:r>
          </w:p>
        </w:tc>
        <w:tc>
          <w:tcPr>
            <w:tcW w:type="dxa" w:w="907"/>
            <w:vAlign w:val="center"/>
            <w:tcMar>
              <w:top w:w="80" w:type="dxa"/>
              <w:start w:w="120" w:type="dxa"/>
              <w:bottom w:w="80" w:type="dxa"/>
              <w:end w:w="120" w:type="dxa"/>
            </w:tcMar>
          </w:tcPr>
          <w:p>
            <w:pPr>
              <w:spacing w:after="0"/>
              <w:jc w:val="center"/>
            </w:pPr>
            <w:r/>
            <w:r>
              <w:rPr>
                <w:rFonts w:ascii="Times New Roman" w:hAnsi="Times New Roman" w:eastAsia="SimSun"/>
                <w:b w:val="0"/>
                <w:sz w:val="19"/>
              </w:rPr>
              <w:t>2.19%</w:t>
            </w:r>
          </w:p>
        </w:tc>
        <w:tc>
          <w:tcPr>
            <w:tcW w:type="dxa" w:w="964"/>
            <w:vAlign w:val="center"/>
            <w:tcMar>
              <w:top w:w="80" w:type="dxa"/>
              <w:start w:w="120" w:type="dxa"/>
              <w:bottom w:w="80" w:type="dxa"/>
              <w:end w:w="120" w:type="dxa"/>
            </w:tcMar>
          </w:tcPr>
          <w:p>
            <w:pPr>
              <w:spacing w:after="0"/>
              <w:jc w:val="center"/>
            </w:pPr>
            <w:r/>
            <w:r>
              <w:rPr>
                <w:rFonts w:ascii="Times New Roman" w:hAnsi="Times New Roman" w:eastAsia="SimSun"/>
                <w:b w:val="0"/>
                <w:sz w:val="19"/>
              </w:rPr>
              <w:t>0.6831</w:t>
            </w:r>
          </w:p>
        </w:tc>
        <w:tc>
          <w:tcPr>
            <w:tcW w:type="dxa" w:w="1020"/>
            <w:vAlign w:val="center"/>
            <w:tcMar>
              <w:top w:w="80" w:type="dxa"/>
              <w:start w:w="120" w:type="dxa"/>
              <w:bottom w:w="80" w:type="dxa"/>
              <w:end w:w="120" w:type="dxa"/>
            </w:tcMar>
          </w:tcPr>
          <w:p>
            <w:pPr>
              <w:spacing w:after="0"/>
              <w:jc w:val="center"/>
            </w:pPr>
            <w:r/>
            <w:r>
              <w:rPr>
                <w:rFonts w:ascii="Times New Roman" w:hAnsi="Times New Roman" w:eastAsia="SimSun"/>
                <w:b w:val="0"/>
                <w:sz w:val="19"/>
              </w:rPr>
              <w:t>14.22</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9,930</w:t>
            </w:r>
          </w:p>
        </w:tc>
        <w:tc>
          <w:tcPr>
            <w:tcW w:type="dxa" w:w="1077"/>
            <w:vAlign w:val="center"/>
            <w:tcMar>
              <w:top w:w="80" w:type="dxa"/>
              <w:start w:w="120" w:type="dxa"/>
              <w:bottom w:w="80" w:type="dxa"/>
              <w:end w:w="120" w:type="dxa"/>
            </w:tcMar>
          </w:tcPr>
          <w:p>
            <w:pPr>
              <w:spacing w:after="0"/>
              <w:jc w:val="center"/>
            </w:pPr>
            <w:r/>
            <w:r>
              <w:rPr>
                <w:rFonts w:ascii="Times New Roman" w:hAnsi="Times New Roman" w:eastAsia="SimSun"/>
                <w:b w:val="0"/>
                <w:sz w:val="19"/>
              </w:rPr>
              <w:t>0.0888%</w:t>
            </w:r>
          </w:p>
        </w:tc>
      </w:tr>
      <w:tr>
        <w:tc>
          <w:tcPr>
            <w:tcW w:type="dxa" w:w="1134"/>
            <w:vAlign w:val="center"/>
            <w:tcMar>
              <w:top w:w="80" w:type="dxa"/>
              <w:start w:w="120" w:type="dxa"/>
              <w:bottom w:w="80" w:type="dxa"/>
              <w:end w:w="120" w:type="dxa"/>
            </w:tcMar>
          </w:tcPr>
          <w:p>
            <w:pPr>
              <w:spacing w:after="0"/>
              <w:jc w:val="center"/>
            </w:pPr>
            <w:r/>
            <w:r>
              <w:rPr>
                <w:rFonts w:ascii="Times New Roman" w:hAnsi="Times New Roman" w:eastAsia="SimSun"/>
                <w:b w:val="0"/>
                <w:sz w:val="19"/>
              </w:rPr>
              <w:t>SSF</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71.20%</w:t>
            </w:r>
          </w:p>
        </w:tc>
        <w:tc>
          <w:tcPr>
            <w:tcW w:type="dxa" w:w="907"/>
            <w:vAlign w:val="center"/>
            <w:tcMar>
              <w:top w:w="80" w:type="dxa"/>
              <w:start w:w="120" w:type="dxa"/>
              <w:bottom w:w="80" w:type="dxa"/>
              <w:end w:w="120" w:type="dxa"/>
            </w:tcMar>
          </w:tcPr>
          <w:p>
            <w:pPr>
              <w:spacing w:after="0"/>
              <w:jc w:val="center"/>
            </w:pPr>
            <w:r/>
            <w:r>
              <w:rPr>
                <w:rFonts w:ascii="Times New Roman" w:hAnsi="Times New Roman" w:eastAsia="SimSun"/>
                <w:b w:val="0"/>
                <w:sz w:val="19"/>
              </w:rPr>
              <w:t>1.70%</w:t>
            </w:r>
          </w:p>
        </w:tc>
        <w:tc>
          <w:tcPr>
            <w:tcW w:type="dxa" w:w="964"/>
            <w:vAlign w:val="center"/>
            <w:tcMar>
              <w:top w:w="80" w:type="dxa"/>
              <w:start w:w="120" w:type="dxa"/>
              <w:bottom w:w="80" w:type="dxa"/>
              <w:end w:w="120" w:type="dxa"/>
            </w:tcMar>
          </w:tcPr>
          <w:p>
            <w:pPr>
              <w:spacing w:after="0"/>
              <w:jc w:val="center"/>
            </w:pPr>
            <w:r/>
            <w:r>
              <w:rPr>
                <w:rFonts w:ascii="Times New Roman" w:hAnsi="Times New Roman" w:eastAsia="SimSun"/>
                <w:b w:val="0"/>
                <w:sz w:val="19"/>
              </w:rPr>
              <w:t>0.9333</w:t>
            </w:r>
          </w:p>
        </w:tc>
        <w:tc>
          <w:tcPr>
            <w:tcW w:type="dxa" w:w="1020"/>
            <w:vAlign w:val="center"/>
            <w:tcMar>
              <w:top w:w="80" w:type="dxa"/>
              <w:start w:w="120" w:type="dxa"/>
              <w:bottom w:w="80" w:type="dxa"/>
              <w:end w:w="120" w:type="dxa"/>
            </w:tcMar>
          </w:tcPr>
          <w:p>
            <w:pPr>
              <w:spacing w:after="0"/>
              <w:jc w:val="center"/>
            </w:pPr>
            <w:r/>
            <w:r>
              <w:rPr>
                <w:rFonts w:ascii="Times New Roman" w:hAnsi="Times New Roman" w:eastAsia="SimSun"/>
                <w:b w:val="0"/>
                <w:sz w:val="19"/>
              </w:rPr>
              <w:t>11.58</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6,154</w:t>
            </w:r>
          </w:p>
        </w:tc>
        <w:tc>
          <w:tcPr>
            <w:tcW w:type="dxa" w:w="1077"/>
            <w:vAlign w:val="center"/>
            <w:tcMar>
              <w:top w:w="80" w:type="dxa"/>
              <w:start w:w="120" w:type="dxa"/>
              <w:bottom w:w="80" w:type="dxa"/>
              <w:end w:w="120" w:type="dxa"/>
            </w:tcMar>
          </w:tcPr>
          <w:p>
            <w:pPr>
              <w:spacing w:after="0"/>
              <w:jc w:val="center"/>
            </w:pPr>
            <w:r/>
            <w:r>
              <w:rPr>
                <w:rFonts w:ascii="Times New Roman" w:hAnsi="Times New Roman" w:eastAsia="SimSun"/>
                <w:b w:val="0"/>
                <w:sz w:val="19"/>
              </w:rPr>
              <w:t>0.0550%</w:t>
            </w:r>
          </w:p>
        </w:tc>
      </w:tr>
      <w:tr>
        <w:tc>
          <w:tcPr>
            <w:tcW w:type="dxa" w:w="1134"/>
            <w:vAlign w:val="center"/>
            <w:tcMar>
              <w:top w:w="80" w:type="dxa"/>
              <w:start w:w="120" w:type="dxa"/>
              <w:bottom w:w="80" w:type="dxa"/>
              <w:end w:w="120" w:type="dxa"/>
            </w:tcMar>
          </w:tcPr>
          <w:p>
            <w:pPr>
              <w:spacing w:after="0"/>
              <w:jc w:val="center"/>
            </w:pPr>
            <w:r/>
            <w:r>
              <w:rPr>
                <w:rFonts w:ascii="Times New Roman" w:hAnsi="Times New Roman" w:eastAsia="SimSun"/>
                <w:b w:val="0"/>
                <w:sz w:val="19"/>
              </w:rPr>
              <w:t>LORA</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14.25%</w:t>
            </w:r>
          </w:p>
        </w:tc>
        <w:tc>
          <w:tcPr>
            <w:tcW w:type="dxa" w:w="907"/>
            <w:vAlign w:val="center"/>
            <w:tcMar>
              <w:top w:w="80" w:type="dxa"/>
              <w:start w:w="120" w:type="dxa"/>
              <w:bottom w:w="80" w:type="dxa"/>
              <w:end w:w="120" w:type="dxa"/>
            </w:tcMar>
          </w:tcPr>
          <w:p>
            <w:pPr>
              <w:spacing w:after="0"/>
              <w:jc w:val="center"/>
            </w:pPr>
            <w:r/>
            <w:r>
              <w:rPr>
                <w:rFonts w:ascii="Times New Roman" w:hAnsi="Times New Roman" w:eastAsia="SimSun"/>
                <w:b w:val="0"/>
                <w:sz w:val="19"/>
              </w:rPr>
              <w:t>4.60%</w:t>
            </w:r>
          </w:p>
        </w:tc>
        <w:tc>
          <w:tcPr>
            <w:tcW w:type="dxa" w:w="964"/>
            <w:vAlign w:val="center"/>
            <w:tcMar>
              <w:top w:w="80" w:type="dxa"/>
              <w:start w:w="120" w:type="dxa"/>
              <w:bottom w:w="80" w:type="dxa"/>
              <w:end w:w="120" w:type="dxa"/>
            </w:tcMar>
          </w:tcPr>
          <w:p>
            <w:pPr>
              <w:spacing w:after="0"/>
              <w:jc w:val="center"/>
            </w:pPr>
            <w:r/>
            <w:r>
              <w:rPr>
                <w:rFonts w:ascii="Times New Roman" w:hAnsi="Times New Roman" w:eastAsia="SimSun"/>
                <w:b w:val="0"/>
                <w:sz w:val="19"/>
              </w:rPr>
              <w:t>2.3354</w:t>
            </w:r>
          </w:p>
        </w:tc>
        <w:tc>
          <w:tcPr>
            <w:tcW w:type="dxa" w:w="1020"/>
            <w:vAlign w:val="center"/>
            <w:tcMar>
              <w:top w:w="80" w:type="dxa"/>
              <w:start w:w="120" w:type="dxa"/>
              <w:bottom w:w="80" w:type="dxa"/>
              <w:end w:w="120" w:type="dxa"/>
            </w:tcMar>
          </w:tcPr>
          <w:p>
            <w:pPr>
              <w:spacing w:after="0"/>
              <w:jc w:val="center"/>
            </w:pPr>
            <w:r/>
            <w:r>
              <w:rPr>
                <w:rFonts w:ascii="Times New Roman" w:hAnsi="Times New Roman" w:eastAsia="SimSun"/>
                <w:b w:val="0"/>
                <w:sz w:val="19"/>
              </w:rPr>
              <w:t>12.42</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4,186</w:t>
            </w:r>
          </w:p>
        </w:tc>
        <w:tc>
          <w:tcPr>
            <w:tcW w:type="dxa" w:w="1077"/>
            <w:vAlign w:val="center"/>
            <w:tcMar>
              <w:top w:w="80" w:type="dxa"/>
              <w:start w:w="120" w:type="dxa"/>
              <w:bottom w:w="80" w:type="dxa"/>
              <w:end w:w="120" w:type="dxa"/>
            </w:tcMar>
          </w:tcPr>
          <w:p>
            <w:pPr>
              <w:spacing w:after="0"/>
              <w:jc w:val="center"/>
            </w:pPr>
            <w:r/>
            <w:r>
              <w:rPr>
                <w:rFonts w:ascii="Times New Roman" w:hAnsi="Times New Roman" w:eastAsia="SimSun"/>
                <w:b w:val="0"/>
                <w:sz w:val="19"/>
              </w:rPr>
              <w:t>0.0374%</w:t>
            </w:r>
          </w:p>
        </w:tc>
      </w:tr>
      <w:tr>
        <w:tc>
          <w:tcPr>
            <w:tcW w:type="dxa" w:w="1134"/>
            <w:vAlign w:val="center"/>
            <w:tcMar>
              <w:top w:w="80" w:type="dxa"/>
              <w:start w:w="120" w:type="dxa"/>
              <w:bottom w:w="80" w:type="dxa"/>
              <w:end w:w="120" w:type="dxa"/>
            </w:tcMar>
          </w:tcPr>
          <w:p>
            <w:pPr>
              <w:spacing w:after="0"/>
              <w:jc w:val="center"/>
            </w:pPr>
            <w:r/>
            <w:r>
              <w:rPr>
                <w:rFonts w:ascii="Times New Roman" w:hAnsi="Times New Roman" w:eastAsia="SimSun"/>
                <w:b w:val="0"/>
                <w:sz w:val="19"/>
              </w:rPr>
              <w:t>ADAPTER</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71.30%</w:t>
            </w:r>
          </w:p>
        </w:tc>
        <w:tc>
          <w:tcPr>
            <w:tcW w:type="dxa" w:w="907"/>
            <w:vAlign w:val="center"/>
            <w:tcMar>
              <w:top w:w="80" w:type="dxa"/>
              <w:start w:w="120" w:type="dxa"/>
              <w:bottom w:w="80" w:type="dxa"/>
              <w:end w:w="120" w:type="dxa"/>
            </w:tcMar>
          </w:tcPr>
          <w:p>
            <w:pPr>
              <w:spacing w:after="0"/>
              <w:jc w:val="center"/>
            </w:pPr>
            <w:r/>
            <w:r>
              <w:rPr>
                <w:rFonts w:ascii="Times New Roman" w:hAnsi="Times New Roman" w:eastAsia="SimSun"/>
                <w:b w:val="0"/>
                <w:sz w:val="19"/>
              </w:rPr>
              <w:t>0.57%</w:t>
            </w:r>
          </w:p>
        </w:tc>
        <w:tc>
          <w:tcPr>
            <w:tcW w:type="dxa" w:w="964"/>
            <w:vAlign w:val="center"/>
            <w:tcMar>
              <w:top w:w="80" w:type="dxa"/>
              <w:start w:w="120" w:type="dxa"/>
              <w:bottom w:w="80" w:type="dxa"/>
              <w:end w:w="120" w:type="dxa"/>
            </w:tcMar>
          </w:tcPr>
          <w:p>
            <w:pPr>
              <w:spacing w:after="0"/>
              <w:jc w:val="center"/>
            </w:pPr>
            <w:r/>
            <w:r>
              <w:rPr>
                <w:rFonts w:ascii="Times New Roman" w:hAnsi="Times New Roman" w:eastAsia="SimSun"/>
                <w:b w:val="0"/>
                <w:sz w:val="19"/>
              </w:rPr>
              <w:t>0.8497</w:t>
            </w:r>
          </w:p>
        </w:tc>
        <w:tc>
          <w:tcPr>
            <w:tcW w:type="dxa" w:w="1020"/>
            <w:vAlign w:val="center"/>
            <w:tcMar>
              <w:top w:w="80" w:type="dxa"/>
              <w:start w:w="120" w:type="dxa"/>
              <w:bottom w:w="80" w:type="dxa"/>
              <w:end w:w="120" w:type="dxa"/>
            </w:tcMar>
          </w:tcPr>
          <w:p>
            <w:pPr>
              <w:spacing w:after="0"/>
              <w:jc w:val="center"/>
            </w:pPr>
            <w:r/>
            <w:r>
              <w:rPr>
                <w:rFonts w:ascii="Times New Roman" w:hAnsi="Times New Roman" w:eastAsia="SimSun"/>
                <w:b w:val="0"/>
                <w:sz w:val="19"/>
              </w:rPr>
              <w:t>12.92</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71,242</w:t>
            </w:r>
          </w:p>
        </w:tc>
        <w:tc>
          <w:tcPr>
            <w:tcW w:type="dxa" w:w="1077"/>
            <w:vAlign w:val="center"/>
            <w:tcMar>
              <w:top w:w="80" w:type="dxa"/>
              <w:start w:w="120" w:type="dxa"/>
              <w:bottom w:w="80" w:type="dxa"/>
              <w:end w:w="120" w:type="dxa"/>
            </w:tcMar>
          </w:tcPr>
          <w:p>
            <w:pPr>
              <w:spacing w:after="0"/>
              <w:jc w:val="center"/>
            </w:pPr>
            <w:r/>
            <w:r>
              <w:rPr>
                <w:rFonts w:ascii="Times New Roman" w:hAnsi="Times New Roman" w:eastAsia="SimSun"/>
                <w:b w:val="0"/>
                <w:sz w:val="19"/>
              </w:rPr>
              <w:t>0.6334%</w:t>
            </w:r>
          </w:p>
        </w:tc>
      </w:tr>
      <w:tr>
        <w:tc>
          <w:tcPr>
            <w:tcW w:type="dxa" w:w="1134"/>
            <w:vAlign w:val="center"/>
            <w:tcMar>
              <w:top w:w="80" w:type="dxa"/>
              <w:start w:w="120" w:type="dxa"/>
              <w:bottom w:w="80" w:type="dxa"/>
              <w:end w:w="120" w:type="dxa"/>
            </w:tcMar>
          </w:tcPr>
          <w:p>
            <w:pPr>
              <w:spacing w:after="0"/>
              <w:jc w:val="center"/>
            </w:pPr>
            <w:r/>
            <w:r>
              <w:rPr>
                <w:rFonts w:ascii="Times New Roman" w:hAnsi="Times New Roman" w:eastAsia="SimSun"/>
                <w:b w:val="0"/>
                <w:sz w:val="19"/>
              </w:rPr>
              <w:t>FULL</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72.80%</w:t>
            </w:r>
          </w:p>
        </w:tc>
        <w:tc>
          <w:tcPr>
            <w:tcW w:type="dxa" w:w="907"/>
            <w:vAlign w:val="center"/>
            <w:tcMar>
              <w:top w:w="80" w:type="dxa"/>
              <w:start w:w="120" w:type="dxa"/>
              <w:bottom w:w="80" w:type="dxa"/>
              <w:end w:w="120" w:type="dxa"/>
            </w:tcMar>
          </w:tcPr>
          <w:p>
            <w:pPr>
              <w:spacing w:after="0"/>
              <w:jc w:val="center"/>
            </w:pPr>
            <w:r/>
            <w:r>
              <w:rPr>
                <w:rFonts w:ascii="Times New Roman" w:hAnsi="Times New Roman" w:eastAsia="SimSun"/>
                <w:b w:val="0"/>
                <w:sz w:val="19"/>
              </w:rPr>
              <w:t>2.12%</w:t>
            </w:r>
          </w:p>
        </w:tc>
        <w:tc>
          <w:tcPr>
            <w:tcW w:type="dxa" w:w="964"/>
            <w:vAlign w:val="center"/>
            <w:tcMar>
              <w:top w:w="80" w:type="dxa"/>
              <w:start w:w="120" w:type="dxa"/>
              <w:bottom w:w="80" w:type="dxa"/>
              <w:end w:w="120" w:type="dxa"/>
            </w:tcMar>
          </w:tcPr>
          <w:p>
            <w:pPr>
              <w:spacing w:after="0"/>
              <w:jc w:val="center"/>
            </w:pPr>
            <w:r/>
            <w:r>
              <w:rPr>
                <w:rFonts w:ascii="Times New Roman" w:hAnsi="Times New Roman" w:eastAsia="SimSun"/>
                <w:b w:val="0"/>
                <w:sz w:val="19"/>
              </w:rPr>
              <w:t>0.8953</w:t>
            </w:r>
          </w:p>
        </w:tc>
        <w:tc>
          <w:tcPr>
            <w:tcW w:type="dxa" w:w="1020"/>
            <w:vAlign w:val="center"/>
            <w:tcMar>
              <w:top w:w="80" w:type="dxa"/>
              <w:start w:w="120" w:type="dxa"/>
              <w:bottom w:w="80" w:type="dxa"/>
              <w:end w:w="120" w:type="dxa"/>
            </w:tcMar>
          </w:tcPr>
          <w:p>
            <w:pPr>
              <w:spacing w:after="0"/>
              <w:jc w:val="center"/>
            </w:pPr>
            <w:r/>
            <w:r>
              <w:rPr>
                <w:rFonts w:ascii="Times New Roman" w:hAnsi="Times New Roman" w:eastAsia="SimSun"/>
                <w:b w:val="0"/>
                <w:sz w:val="19"/>
              </w:rPr>
              <w:t>14.28</w:t>
            </w:r>
          </w:p>
        </w:tc>
        <w:tc>
          <w:tcPr>
            <w:tcW w:type="dxa" w:w="1191"/>
            <w:vAlign w:val="center"/>
            <w:tcMar>
              <w:top w:w="80" w:type="dxa"/>
              <w:start w:w="120" w:type="dxa"/>
              <w:bottom w:w="80" w:type="dxa"/>
              <w:end w:w="120" w:type="dxa"/>
            </w:tcMar>
          </w:tcPr>
          <w:p>
            <w:pPr>
              <w:spacing w:after="0"/>
              <w:jc w:val="center"/>
            </w:pPr>
            <w:r/>
            <w:r>
              <w:rPr>
                <w:rFonts w:ascii="Times New Roman" w:hAnsi="Times New Roman" w:eastAsia="SimSun"/>
                <w:b w:val="0"/>
                <w:sz w:val="19"/>
              </w:rPr>
              <w:t>11,181,642</w:t>
            </w:r>
          </w:p>
        </w:tc>
        <w:tc>
          <w:tcPr>
            <w:tcW w:type="dxa" w:w="1077"/>
            <w:vAlign w:val="center"/>
            <w:tcMar>
              <w:top w:w="80" w:type="dxa"/>
              <w:start w:w="120" w:type="dxa"/>
              <w:bottom w:w="80" w:type="dxa"/>
              <w:end w:w="120" w:type="dxa"/>
            </w:tcMar>
          </w:tcPr>
          <w:p>
            <w:pPr>
              <w:spacing w:after="0"/>
              <w:jc w:val="center"/>
            </w:pPr>
            <w:r/>
            <w:r>
              <w:rPr>
                <w:rFonts w:ascii="Times New Roman" w:hAnsi="Times New Roman" w:eastAsia="SimSun"/>
                <w:b w:val="0"/>
                <w:sz w:val="19"/>
              </w:rPr>
              <w:t>100.0000%</w:t>
            </w:r>
          </w:p>
        </w:tc>
      </w:tr>
    </w:tbl>
    <w:p>
      <w:pPr>
        <w:spacing w:after="120"/>
        <w:jc w:val="center"/>
      </w:pPr>
      <w:r>
        <w:rPr>
          <w:rFonts w:ascii="Times New Roman" w:hAnsi="Times New Roman" w:eastAsia="SimSun"/>
          <w:color w:val="555555"/>
          <w:sz w:val="20"/>
        </w:rPr>
        <w:t>表 2 CUDA 小样本微调实验汇总结果</w:t>
      </w:r>
    </w:p>
    <w:p>
      <w:pPr>
        <w:spacing w:after="40"/>
        <w:jc w:val="center"/>
      </w:pPr>
      <w:r>
        <w:drawing>
          <wp:inline xmlns:a="http://schemas.openxmlformats.org/drawingml/2006/main" xmlns:pic="http://schemas.openxmlformats.org/drawingml/2006/picture">
            <wp:extent cx="5394960" cy="2397760"/>
            <wp:docPr id="1" name="Picture 1"/>
            <wp:cNvGraphicFramePr>
              <a:graphicFrameLocks noChangeAspect="1"/>
            </wp:cNvGraphicFramePr>
            <a:graphic>
              <a:graphicData uri="http://schemas.openxmlformats.org/drawingml/2006/picture">
                <pic:pic>
                  <pic:nvPicPr>
                    <pic:cNvPr id="0" name="finetune_accuracy_curves.png"/>
                    <pic:cNvPicPr/>
                  </pic:nvPicPr>
                  <pic:blipFill>
                    <a:blip r:embed="rId9"/>
                    <a:stretch>
                      <a:fillRect/>
                    </a:stretch>
                  </pic:blipFill>
                  <pic:spPr>
                    <a:xfrm>
                      <a:off x="0" y="0"/>
                      <a:ext cx="5394960" cy="2397760"/>
                    </a:xfrm>
                    <a:prstGeom prst="rect"/>
                  </pic:spPr>
                </pic:pic>
              </a:graphicData>
            </a:graphic>
          </wp:inline>
        </w:drawing>
      </w:r>
    </w:p>
    <w:p>
      <w:pPr>
        <w:spacing w:after="120"/>
        <w:jc w:val="center"/>
      </w:pPr>
      <w:r>
        <w:rPr>
          <w:rFonts w:ascii="Times New Roman" w:hAnsi="Times New Roman" w:eastAsia="SimSun"/>
          <w:color w:val="555555"/>
          <w:sz w:val="20"/>
        </w:rPr>
        <w:t>图 1 六种微调策略的测试准确率曲线</w:t>
      </w:r>
    </w:p>
    <w:p>
      <w:pPr>
        <w:pStyle w:val="Heading2"/>
        <w:spacing w:before="200" w:after="120"/>
      </w:pPr>
      <w:r>
        <w:rPr>
          <w:rFonts w:ascii="Times New Roman" w:hAnsi="Times New Roman" w:eastAsia="SimSun"/>
          <w:b/>
          <w:color w:val="2E74B5"/>
          <w:sz w:val="26"/>
        </w:rPr>
        <w:t>3.3 结果分析</w:t>
      </w:r>
    </w:p>
    <w:p>
      <w:pPr>
        <w:spacing w:line="276" w:lineRule="auto" w:after="120"/>
        <w:ind w:firstLine="420"/>
      </w:pPr>
      <w:r>
        <w:rPr>
          <w:rFonts w:ascii="Times New Roman" w:hAnsi="Times New Roman" w:eastAsia="SimSun"/>
          <w:sz w:val="22"/>
        </w:rPr>
        <w:t>从表 2 可以看出，BitFit 在本实验中表现最好，平均测试准确率达到 77.25%，比全量微调高 4.45 个百分点，同时可训练参数比例只有 0.0888%。这说明在 CIFAR-10 小样本迁移设置中，预训练 ResNet18 的主体特征已经具有较强泛化能力，适当调整偏置项和分类头即可显著改变任务决策边界。</w:t>
      </w:r>
    </w:p>
    <w:p>
      <w:pPr>
        <w:spacing w:line="276" w:lineRule="auto" w:after="120"/>
        <w:ind w:firstLine="420"/>
      </w:pPr>
      <w:r>
        <w:rPr>
          <w:rFonts w:ascii="Times New Roman" w:hAnsi="Times New Roman" w:eastAsia="SimSun"/>
          <w:sz w:val="22"/>
        </w:rPr>
        <w:t>全量微调的平均准确率为 72.80%，低于 BitFit。其原因可能是训练样本较少、训练轮数较短，全量更新使大量预训练参数同时改变，容易受到小样本噪声影响。这与参数高效微调的动机一致：当下游数据不足时，减少可训练参数不仅节省计算，也可能改善泛化。</w:t>
      </w:r>
    </w:p>
    <w:p>
      <w:pPr>
        <w:spacing w:line="276" w:lineRule="auto" w:after="120"/>
        <w:ind w:firstLine="420"/>
      </w:pPr>
      <w:r>
        <w:rPr>
          <w:rFonts w:ascii="Times New Roman" w:hAnsi="Times New Roman" w:eastAsia="SimSun"/>
          <w:sz w:val="22"/>
        </w:rPr>
        <w:t>LINEAR、SSF 和 ADAPTER 的平均准确率都在 71% 左右。其中 ADAPTER 的标准差最低，仅 0.57 个百分点，说明瓶颈适配器在两个随机种子下较稳定。SSF 没有超过线性探测，可能是因为本文只在最终特征上加入缩放和平移，而原论文通常在更细粒度层级中调节特征分布。</w:t>
      </w:r>
    </w:p>
    <w:p>
      <w:pPr>
        <w:spacing w:line="276" w:lineRule="auto" w:after="120"/>
        <w:ind w:firstLine="420"/>
      </w:pPr>
      <w:r>
        <w:rPr>
          <w:rFonts w:ascii="Times New Roman" w:hAnsi="Times New Roman" w:eastAsia="SimSun"/>
          <w:sz w:val="22"/>
        </w:rPr>
        <w:t>LoRA 的平均准确率只有 14.25%，明显低于其他方法。该结果不应简单理解为 LoRA 方法无效，而应结合本实验实现分析：本文的 LoRA 作用于新初始化分类头，缺少原论文中对预训练权重矩阵进行低秩增量适配的条件；同时低秩约束使新分类头在短训练中表达能力不足。因此，这一结果反而提示 LoRA 更适合应用在已有预训练权重的线性投影层中，而不是只替代新任务头。</w:t>
      </w:r>
    </w:p>
    <w:p>
      <w:pPr>
        <w:pStyle w:val="Heading1"/>
        <w:spacing w:before="280" w:after="120"/>
      </w:pPr>
      <w:r>
        <w:rPr>
          <w:rFonts w:ascii="Times New Roman" w:hAnsi="Times New Roman" w:eastAsia="SimSun"/>
          <w:b/>
          <w:color w:val="2E74B5"/>
          <w:sz w:val="32"/>
        </w:rPr>
        <w:t>4 结论</w:t>
      </w:r>
    </w:p>
    <w:p>
      <w:pPr>
        <w:spacing w:line="276" w:lineRule="auto" w:after="120"/>
        <w:ind w:firstLine="420"/>
      </w:pPr>
      <w:r>
        <w:rPr>
          <w:rFonts w:ascii="Times New Roman" w:hAnsi="Times New Roman" w:eastAsia="SimSun"/>
          <w:sz w:val="22"/>
        </w:rPr>
        <w:t>本文按照课程设计第四选题“模型微调技术探索”的要求，参考 AdaptFormer、SSF、LoRA 和 BitFit 四篇文献，完成了参数高效微调方法的整理、CUDA 实验实现和结果分析。实验表明，在 ImageNet 预训练 ResNet18 到 CIFAR-10 小样本分类的迁移任务中，BitFit 以极低可训练参数量获得最高准确率，说明简单的偏置更新可以成为强有力的参数高效微调基线。</w:t>
      </w:r>
    </w:p>
    <w:p>
      <w:pPr>
        <w:spacing w:line="276" w:lineRule="auto" w:after="120"/>
        <w:ind w:firstLine="420"/>
      </w:pPr>
      <w:r>
        <w:rPr>
          <w:rFonts w:ascii="Times New Roman" w:hAnsi="Times New Roman" w:eastAsia="SimSun"/>
          <w:sz w:val="22"/>
        </w:rPr>
        <w:t>本实验也存在局限。第一，出于运行时间控制，只使用每类 100 张训练图像和 4 个 epoch，不能完全代表充分训练后的性能；第二，LoRA 和 AdaptFormer 都根据 ResNet18 结构做了简化实现，与原论文面向 Transformer 层的完整设置不同；第三，SSF 只作用于最终特征层，尚未覆盖更多中间层。后续可以扩展到 Vision Transformer、更多数据集和更多随机种子，并在预训练层内部实现 LoRA、SSF 和 Adapter，以更严格地复现参考文献设定。</w:t>
      </w:r>
    </w:p>
    <w:p>
      <w:pPr>
        <w:pStyle w:val="Heading1"/>
        <w:spacing w:before="280" w:after="120"/>
      </w:pPr>
      <w:r>
        <w:rPr>
          <w:rFonts w:ascii="Times New Roman" w:hAnsi="Times New Roman" w:eastAsia="SimSun"/>
          <w:b/>
          <w:color w:val="2E74B5"/>
          <w:sz w:val="32"/>
        </w:rPr>
        <w:t>5 参考文献</w:t>
      </w:r>
    </w:p>
    <w:p>
      <w:pPr>
        <w:spacing w:line="276" w:lineRule="auto" w:after="120"/>
      </w:pPr>
      <w:r>
        <w:rPr>
          <w:rFonts w:ascii="Times New Roman" w:hAnsi="Times New Roman" w:eastAsia="SimSun"/>
          <w:sz w:val="22"/>
        </w:rPr>
        <w:t>[1] Chen S., Ge C., Tong Z., Wang J., Song Y., Wang J., Luo P. AdaptFormer: Adapting Vision Transformers for Scalable Visual Recognition. NeurIPS, 2022.</w:t>
      </w:r>
    </w:p>
    <w:p>
      <w:pPr>
        <w:spacing w:line="276" w:lineRule="auto" w:after="120"/>
      </w:pPr>
      <w:r>
        <w:rPr>
          <w:rFonts w:ascii="Times New Roman" w:hAnsi="Times New Roman" w:eastAsia="SimSun"/>
          <w:sz w:val="22"/>
        </w:rPr>
        <w:t>[2] Lian D., Zhou D., Feng J., Wang X. Scaling &amp; Shifting Your Features: A New Baseline for Efficient Model Tuning. NeurIPS, 2022.</w:t>
      </w:r>
    </w:p>
    <w:p>
      <w:pPr>
        <w:spacing w:line="276" w:lineRule="auto" w:after="120"/>
      </w:pPr>
      <w:r>
        <w:rPr>
          <w:rFonts w:ascii="Times New Roman" w:hAnsi="Times New Roman" w:eastAsia="SimSun"/>
          <w:sz w:val="22"/>
        </w:rPr>
        <w:t>[3] Hu E. J., Shen Y., Wallis P., Allen-Zhu Z., Li Y., Wang S., Wang L., Chen W. LoRA: Low-Rank Adaptation of Large Language Models. ICLR, 2022.</w:t>
      </w:r>
    </w:p>
    <w:p>
      <w:pPr>
        <w:spacing w:line="276" w:lineRule="auto" w:after="120"/>
      </w:pPr>
      <w:r>
        <w:rPr>
          <w:rFonts w:ascii="Times New Roman" w:hAnsi="Times New Roman" w:eastAsia="SimSun"/>
          <w:sz w:val="22"/>
        </w:rPr>
        <w:t>[4] Ben Zaken E., Goldberg Y., Ravfogel S. BitFit: Simple Parameter-efficient Fine-tuning for Transformer-based Masked Language-models. ACL, 2022.</w:t>
      </w:r>
    </w:p>
    <w:p>
      <w:pPr>
        <w:spacing w:line="276" w:lineRule="auto" w:after="120"/>
      </w:pPr>
      <w:r>
        <w:rPr>
          <w:rFonts w:ascii="Times New Roman" w:hAnsi="Times New Roman" w:eastAsia="SimSun"/>
          <w:sz w:val="22"/>
        </w:rPr>
        <w:t>[5] He K., Zhang X., Ren S., Sun J. Deep Residual Learning for Image Recognition. CVPR, 2016.</w:t>
      </w:r>
    </w:p>
    <w:p>
      <w:pPr>
        <w:spacing w:line="276" w:lineRule="auto" w:after="120"/>
      </w:pPr>
      <w:r>
        <w:rPr>
          <w:rFonts w:ascii="Times New Roman" w:hAnsi="Times New Roman" w:eastAsia="SimSun"/>
          <w:sz w:val="22"/>
        </w:rPr>
        <w:t>[6] Krizhevsky A. Learning Multiple Layers of Features from Tiny Images. 2009.</w:t>
      </w:r>
    </w:p>
    <w:p>
      <w:pPr>
        <w:pStyle w:val="Heading1"/>
        <w:spacing w:before="280" w:after="120"/>
      </w:pPr>
      <w:r>
        <w:rPr>
          <w:rFonts w:ascii="Times New Roman" w:hAnsi="Times New Roman" w:eastAsia="SimSun"/>
          <w:b/>
          <w:color w:val="2E74B5"/>
          <w:sz w:val="32"/>
        </w:rPr>
        <w:t>附录：复现实验文件</w:t>
      </w:r>
    </w:p>
    <w:p>
      <w:pPr>
        <w:spacing w:line="276" w:lineRule="auto" w:after="120"/>
      </w:pPr>
      <w:r>
        <w:rPr>
          <w:rFonts w:ascii="Times New Roman" w:hAnsi="Times New Roman" w:eastAsia="SimSun"/>
          <w:sz w:val="22"/>
        </w:rPr>
        <w:t>实验脚本：F:\Exploration\src\run_finetuning_cuda_experiment.py</w:t>
      </w:r>
    </w:p>
    <w:p>
      <w:pPr>
        <w:spacing w:line="276" w:lineRule="auto" w:after="120"/>
      </w:pPr>
      <w:r>
        <w:rPr>
          <w:rFonts w:ascii="Times New Roman" w:hAnsi="Times New Roman" w:eastAsia="SimSun"/>
          <w:sz w:val="22"/>
        </w:rPr>
        <w:t>结果目录：F:\Exploration\outputs\finetune</w:t>
      </w:r>
    </w:p>
    <w:p>
      <w:pPr>
        <w:spacing w:line="276" w:lineRule="auto" w:after="120"/>
      </w:pPr>
      <w:r>
        <w:rPr>
          <w:rFonts w:ascii="Times New Roman" w:hAnsi="Times New Roman" w:eastAsia="SimSun"/>
          <w:sz w:val="22"/>
        </w:rPr>
        <w:t>完成步骤：F:\Exploration\完成步骤.md</w:t>
      </w:r>
    </w:p>
    <w:p>
      <w:pPr>
        <w:spacing w:line="276" w:lineRule="auto" w:after="120"/>
      </w:pPr>
      <w:r>
        <w:rPr>
          <w:rFonts w:ascii="Times New Roman" w:hAnsi="Times New Roman" w:eastAsia="SimSun"/>
          <w:sz w:val="22"/>
        </w:rPr>
        <w:t>运行方式：使用 CUDA 环境运行 python F:\Exploration\src\run_finetuning_cuda_experiment.py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SimSu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SimSu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