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54DAD4" w14:textId="5881E791" w:rsidR="00874F7B" w:rsidRDefault="0097212C" w:rsidP="0097212C">
      <w:pPr>
        <w:jc w:val="center"/>
      </w:pPr>
      <w:r w:rsidRPr="0097212C">
        <w:rPr>
          <w:noProof/>
        </w:rPr>
        <w:drawing>
          <wp:inline distT="0" distB="0" distL="0" distR="0" wp14:anchorId="48E35501" wp14:editId="778919C7">
            <wp:extent cx="8572599" cy="3212919"/>
            <wp:effectExtent l="0" t="6033" r="0" b="0"/>
            <wp:docPr id="1285935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9968" cy="322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1CF14" w14:textId="77777777" w:rsidR="0097212C" w:rsidRDefault="0097212C" w:rsidP="0097212C">
      <w:pPr>
        <w:jc w:val="center"/>
      </w:pPr>
    </w:p>
    <w:p w14:paraId="2AD07AA3" w14:textId="77777777" w:rsidR="0097212C" w:rsidRDefault="0097212C" w:rsidP="0097212C">
      <w:pPr>
        <w:jc w:val="center"/>
        <w:rPr>
          <w:rFonts w:hint="eastAsia"/>
        </w:rPr>
      </w:pPr>
    </w:p>
    <w:p w14:paraId="0E4A0102" w14:textId="32178F16" w:rsidR="0097212C" w:rsidRDefault="0097212C" w:rsidP="0097212C">
      <w:pPr>
        <w:jc w:val="center"/>
      </w:pPr>
      <w:r>
        <w:rPr>
          <w:noProof/>
        </w:rPr>
        <w:drawing>
          <wp:inline distT="0" distB="0" distL="0" distR="0" wp14:anchorId="4CD90CB1" wp14:editId="01E6FDD2">
            <wp:extent cx="5274310" cy="3434080"/>
            <wp:effectExtent l="0" t="0" r="2540" b="13970"/>
            <wp:docPr id="251496708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04D6CC18-434D-C50A-8086-2C2F3B86E6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753D276D" w14:textId="77777777" w:rsidR="0097212C" w:rsidRDefault="0097212C" w:rsidP="0097212C">
      <w:pPr>
        <w:jc w:val="center"/>
      </w:pPr>
    </w:p>
    <w:p w14:paraId="0AFA2163" w14:textId="77777777" w:rsidR="0097212C" w:rsidRDefault="0097212C" w:rsidP="0097212C">
      <w:pPr>
        <w:jc w:val="center"/>
      </w:pPr>
    </w:p>
    <w:p w14:paraId="71BCB427" w14:textId="77777777" w:rsidR="0097212C" w:rsidRDefault="0097212C" w:rsidP="0097212C">
      <w:pPr>
        <w:jc w:val="center"/>
        <w:rPr>
          <w:rFonts w:hint="eastAsia"/>
        </w:rPr>
      </w:pPr>
    </w:p>
    <w:p w14:paraId="1BBE8488" w14:textId="4672F676" w:rsidR="0097212C" w:rsidRPr="0097212C" w:rsidRDefault="0097212C" w:rsidP="0097212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65EF53" wp14:editId="49B93AE7">
            <wp:extent cx="5274310" cy="3164205"/>
            <wp:effectExtent l="0" t="0" r="2540" b="17145"/>
            <wp:docPr id="160220189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5CF1D71-0F06-F9B3-1C9E-BDD288DCBC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7212C" w:rsidRPr="0097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92"/>
    <w:rsid w:val="005B4092"/>
    <w:rsid w:val="00874F7B"/>
    <w:rsid w:val="0097212C"/>
    <w:rsid w:val="00E5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5310"/>
  <w15:chartTrackingRefBased/>
  <w15:docId w15:val="{E86DD492-8481-47D3-8F0F-3635EB90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07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ebsrv\blog\source\pdf\&#34880;&#24120;&#35268;&#26354;&#32447;&#2227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websrv\blog\source\pdf\&#34880;&#24120;&#35268;&#26354;&#32447;&#2227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白细胞、中性粒细胞、红细胞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白细胞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Sheet1!$A$3:$A$15</c:f>
              <c:strCache>
                <c:ptCount val="13"/>
                <c:pt idx="0">
                  <c:v>正常最低值</c:v>
                </c:pt>
                <c:pt idx="1">
                  <c:v>2024/2/13</c:v>
                </c:pt>
                <c:pt idx="2">
                  <c:v>2024/2/15</c:v>
                </c:pt>
                <c:pt idx="3">
                  <c:v>2024/2/20</c:v>
                </c:pt>
                <c:pt idx="4">
                  <c:v>2024/4/10</c:v>
                </c:pt>
                <c:pt idx="5">
                  <c:v>2024/4/13</c:v>
                </c:pt>
                <c:pt idx="6">
                  <c:v>2024/4/18</c:v>
                </c:pt>
                <c:pt idx="7">
                  <c:v>2024/4/24</c:v>
                </c:pt>
                <c:pt idx="8">
                  <c:v>2024/5/1</c:v>
                </c:pt>
                <c:pt idx="9">
                  <c:v>2024/5/15</c:v>
                </c:pt>
                <c:pt idx="10">
                  <c:v>2024/5/19</c:v>
                </c:pt>
                <c:pt idx="11">
                  <c:v>2024/5/24</c:v>
                </c:pt>
                <c:pt idx="12">
                  <c:v>2024/6/5</c:v>
                </c:pt>
              </c:strCache>
            </c:strRef>
          </c:cat>
          <c:val>
            <c:numRef>
              <c:f>Sheet1!$B$3:$B$15</c:f>
              <c:numCache>
                <c:formatCode>General</c:formatCode>
                <c:ptCount val="13"/>
                <c:pt idx="0">
                  <c:v>3.5</c:v>
                </c:pt>
                <c:pt idx="1">
                  <c:v>3.11</c:v>
                </c:pt>
                <c:pt idx="2">
                  <c:v>1.55</c:v>
                </c:pt>
                <c:pt idx="3">
                  <c:v>1.1399999999999999</c:v>
                </c:pt>
                <c:pt idx="4">
                  <c:v>1.5</c:v>
                </c:pt>
                <c:pt idx="5">
                  <c:v>1.47</c:v>
                </c:pt>
                <c:pt idx="6">
                  <c:v>1.42</c:v>
                </c:pt>
                <c:pt idx="7">
                  <c:v>1.82</c:v>
                </c:pt>
                <c:pt idx="8">
                  <c:v>1.45</c:v>
                </c:pt>
                <c:pt idx="9">
                  <c:v>1.44</c:v>
                </c:pt>
                <c:pt idx="10">
                  <c:v>1.29</c:v>
                </c:pt>
                <c:pt idx="11">
                  <c:v>1.75</c:v>
                </c:pt>
                <c:pt idx="12">
                  <c:v>1.35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D9-4C00-93DA-5A8443B79219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中性粒细胞计数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Sheet1!$A$3:$A$15</c:f>
              <c:strCache>
                <c:ptCount val="13"/>
                <c:pt idx="0">
                  <c:v>正常最低值</c:v>
                </c:pt>
                <c:pt idx="1">
                  <c:v>2024/2/13</c:v>
                </c:pt>
                <c:pt idx="2">
                  <c:v>2024/2/15</c:v>
                </c:pt>
                <c:pt idx="3">
                  <c:v>2024/2/20</c:v>
                </c:pt>
                <c:pt idx="4">
                  <c:v>2024/4/10</c:v>
                </c:pt>
                <c:pt idx="5">
                  <c:v>2024/4/13</c:v>
                </c:pt>
                <c:pt idx="6">
                  <c:v>2024/4/18</c:v>
                </c:pt>
                <c:pt idx="7">
                  <c:v>2024/4/24</c:v>
                </c:pt>
                <c:pt idx="8">
                  <c:v>2024/5/1</c:v>
                </c:pt>
                <c:pt idx="9">
                  <c:v>2024/5/15</c:v>
                </c:pt>
                <c:pt idx="10">
                  <c:v>2024/5/19</c:v>
                </c:pt>
                <c:pt idx="11">
                  <c:v>2024/5/24</c:v>
                </c:pt>
                <c:pt idx="12">
                  <c:v>2024/6/5</c:v>
                </c:pt>
              </c:strCache>
            </c:strRef>
          </c:cat>
          <c:val>
            <c:numRef>
              <c:f>Sheet1!$C$3:$C$15</c:f>
              <c:numCache>
                <c:formatCode>General</c:formatCode>
                <c:ptCount val="13"/>
                <c:pt idx="0">
                  <c:v>1.8</c:v>
                </c:pt>
                <c:pt idx="1">
                  <c:v>2.3170000000000002</c:v>
                </c:pt>
                <c:pt idx="2">
                  <c:v>0.98899999999999999</c:v>
                </c:pt>
                <c:pt idx="3">
                  <c:v>0.53200000000000003</c:v>
                </c:pt>
                <c:pt idx="4">
                  <c:v>0.71</c:v>
                </c:pt>
                <c:pt idx="5">
                  <c:v>0.65</c:v>
                </c:pt>
                <c:pt idx="6">
                  <c:v>0.79</c:v>
                </c:pt>
                <c:pt idx="7">
                  <c:v>1.0900000000000001</c:v>
                </c:pt>
                <c:pt idx="8">
                  <c:v>0.63</c:v>
                </c:pt>
                <c:pt idx="9">
                  <c:v>0.53</c:v>
                </c:pt>
                <c:pt idx="10">
                  <c:v>0.59</c:v>
                </c:pt>
                <c:pt idx="11">
                  <c:v>0.82</c:v>
                </c:pt>
                <c:pt idx="12">
                  <c:v>0.63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D9-4C00-93DA-5A8443B79219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红细胞计数</c:v>
                </c:pt>
              </c:strCache>
            </c:strRef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/>
              </a:solidFill>
              <a:ln>
                <a:noFill/>
              </a:ln>
              <a:effectLst/>
            </c:spPr>
          </c:marker>
          <c:dLbls>
            <c:delete val="1"/>
          </c:dLbls>
          <c:cat>
            <c:strRef>
              <c:f>Sheet1!$A$3:$A$15</c:f>
              <c:strCache>
                <c:ptCount val="13"/>
                <c:pt idx="0">
                  <c:v>正常最低值</c:v>
                </c:pt>
                <c:pt idx="1">
                  <c:v>2024/2/13</c:v>
                </c:pt>
                <c:pt idx="2">
                  <c:v>2024/2/15</c:v>
                </c:pt>
                <c:pt idx="3">
                  <c:v>2024/2/20</c:v>
                </c:pt>
                <c:pt idx="4">
                  <c:v>2024/4/10</c:v>
                </c:pt>
                <c:pt idx="5">
                  <c:v>2024/4/13</c:v>
                </c:pt>
                <c:pt idx="6">
                  <c:v>2024/4/18</c:v>
                </c:pt>
                <c:pt idx="7">
                  <c:v>2024/4/24</c:v>
                </c:pt>
                <c:pt idx="8">
                  <c:v>2024/5/1</c:v>
                </c:pt>
                <c:pt idx="9">
                  <c:v>2024/5/15</c:v>
                </c:pt>
                <c:pt idx="10">
                  <c:v>2024/5/19</c:v>
                </c:pt>
                <c:pt idx="11">
                  <c:v>2024/5/24</c:v>
                </c:pt>
                <c:pt idx="12">
                  <c:v>2024/6/5</c:v>
                </c:pt>
              </c:strCache>
            </c:strRef>
          </c:cat>
          <c:val>
            <c:numRef>
              <c:f>Sheet1!$D$3:$D$15</c:f>
              <c:numCache>
                <c:formatCode>General</c:formatCode>
                <c:ptCount val="13"/>
                <c:pt idx="0">
                  <c:v>3.8</c:v>
                </c:pt>
                <c:pt idx="1">
                  <c:v>2</c:v>
                </c:pt>
                <c:pt idx="2">
                  <c:v>1.72</c:v>
                </c:pt>
                <c:pt idx="3">
                  <c:v>1.76</c:v>
                </c:pt>
                <c:pt idx="4">
                  <c:v>1.8</c:v>
                </c:pt>
                <c:pt idx="5">
                  <c:v>1.44</c:v>
                </c:pt>
                <c:pt idx="6">
                  <c:v>1.36</c:v>
                </c:pt>
                <c:pt idx="7">
                  <c:v>2.2000000000000002</c:v>
                </c:pt>
                <c:pt idx="8">
                  <c:v>2</c:v>
                </c:pt>
                <c:pt idx="9">
                  <c:v>1.84</c:v>
                </c:pt>
                <c:pt idx="10">
                  <c:v>1.65</c:v>
                </c:pt>
                <c:pt idx="11">
                  <c:v>1.87</c:v>
                </c:pt>
                <c:pt idx="12">
                  <c:v>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0D9-4C00-93DA-5A8443B79219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87382720"/>
        <c:axId val="2087385600"/>
      </c:lineChart>
      <c:catAx>
        <c:axId val="20873827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7385600"/>
        <c:crosses val="autoZero"/>
        <c:auto val="1"/>
        <c:lblAlgn val="ctr"/>
        <c:lblOffset val="100"/>
        <c:noMultiLvlLbl val="1"/>
      </c:catAx>
      <c:valAx>
        <c:axId val="208738560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087382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血红蛋白、血小板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Sheet1!$E$2</c:f>
              <c:strCache>
                <c:ptCount val="1"/>
                <c:pt idx="0">
                  <c:v>血红蛋白量</c:v>
                </c:pt>
              </c:strCache>
            </c:strRef>
          </c:tx>
          <c:spPr>
            <a:ln w="31750" cap="rnd">
              <a:solidFill>
                <a:schemeClr val="accent3">
                  <a:shade val="76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>
                  <a:shade val="76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Sheet1!$A$3:$A$15</c:f>
              <c:strCache>
                <c:ptCount val="13"/>
                <c:pt idx="0">
                  <c:v>正常最低值</c:v>
                </c:pt>
                <c:pt idx="1">
                  <c:v>2024/2/13</c:v>
                </c:pt>
                <c:pt idx="2">
                  <c:v>2024/2/15</c:v>
                </c:pt>
                <c:pt idx="3">
                  <c:v>2024/2/20</c:v>
                </c:pt>
                <c:pt idx="4">
                  <c:v>2024/4/10</c:v>
                </c:pt>
                <c:pt idx="5">
                  <c:v>2024/4/13</c:v>
                </c:pt>
                <c:pt idx="6">
                  <c:v>2024/4/18</c:v>
                </c:pt>
                <c:pt idx="7">
                  <c:v>2024/4/24</c:v>
                </c:pt>
                <c:pt idx="8">
                  <c:v>2024/5/1</c:v>
                </c:pt>
                <c:pt idx="9">
                  <c:v>2024/5/15</c:v>
                </c:pt>
                <c:pt idx="10">
                  <c:v>2024/5/19</c:v>
                </c:pt>
                <c:pt idx="11">
                  <c:v>2024/5/24</c:v>
                </c:pt>
                <c:pt idx="12">
                  <c:v>2024/6/5</c:v>
                </c:pt>
              </c:strCache>
            </c:strRef>
          </c:cat>
          <c:val>
            <c:numRef>
              <c:f>Sheet1!$E$3:$E$15</c:f>
              <c:numCache>
                <c:formatCode>General</c:formatCode>
                <c:ptCount val="13"/>
                <c:pt idx="0">
                  <c:v>115</c:v>
                </c:pt>
                <c:pt idx="1">
                  <c:v>77</c:v>
                </c:pt>
                <c:pt idx="2">
                  <c:v>64</c:v>
                </c:pt>
                <c:pt idx="3">
                  <c:v>64</c:v>
                </c:pt>
                <c:pt idx="4">
                  <c:v>70</c:v>
                </c:pt>
                <c:pt idx="5">
                  <c:v>56</c:v>
                </c:pt>
                <c:pt idx="6">
                  <c:v>53</c:v>
                </c:pt>
                <c:pt idx="7">
                  <c:v>81</c:v>
                </c:pt>
                <c:pt idx="8">
                  <c:v>71</c:v>
                </c:pt>
                <c:pt idx="9">
                  <c:v>68</c:v>
                </c:pt>
                <c:pt idx="10">
                  <c:v>60</c:v>
                </c:pt>
                <c:pt idx="11">
                  <c:v>67</c:v>
                </c:pt>
                <c:pt idx="12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DEE-4053-87EC-10080D954B02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血小板计数</c:v>
                </c:pt>
              </c:strCache>
            </c:strRef>
          </c:tx>
          <c:spPr>
            <a:ln w="31750" cap="rnd">
              <a:solidFill>
                <a:schemeClr val="accent3">
                  <a:tint val="77000"/>
                </a:schemeClr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3">
                  <a:tint val="77000"/>
                </a:schemeClr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Sheet1!$A$3:$A$15</c:f>
              <c:strCache>
                <c:ptCount val="13"/>
                <c:pt idx="0">
                  <c:v>正常最低值</c:v>
                </c:pt>
                <c:pt idx="1">
                  <c:v>2024/2/13</c:v>
                </c:pt>
                <c:pt idx="2">
                  <c:v>2024/2/15</c:v>
                </c:pt>
                <c:pt idx="3">
                  <c:v>2024/2/20</c:v>
                </c:pt>
                <c:pt idx="4">
                  <c:v>2024/4/10</c:v>
                </c:pt>
                <c:pt idx="5">
                  <c:v>2024/4/13</c:v>
                </c:pt>
                <c:pt idx="6">
                  <c:v>2024/4/18</c:v>
                </c:pt>
                <c:pt idx="7">
                  <c:v>2024/4/24</c:v>
                </c:pt>
                <c:pt idx="8">
                  <c:v>2024/5/1</c:v>
                </c:pt>
                <c:pt idx="9">
                  <c:v>2024/5/15</c:v>
                </c:pt>
                <c:pt idx="10">
                  <c:v>2024/5/19</c:v>
                </c:pt>
                <c:pt idx="11">
                  <c:v>2024/5/24</c:v>
                </c:pt>
                <c:pt idx="12">
                  <c:v>2024/6/5</c:v>
                </c:pt>
              </c:strCache>
            </c:strRef>
          </c:cat>
          <c:val>
            <c:numRef>
              <c:f>Sheet1!$F$3:$F$15</c:f>
              <c:numCache>
                <c:formatCode>General</c:formatCode>
                <c:ptCount val="13"/>
                <c:pt idx="0">
                  <c:v>125</c:v>
                </c:pt>
                <c:pt idx="1">
                  <c:v>95</c:v>
                </c:pt>
                <c:pt idx="2">
                  <c:v>84</c:v>
                </c:pt>
                <c:pt idx="3">
                  <c:v>121</c:v>
                </c:pt>
                <c:pt idx="4">
                  <c:v>85</c:v>
                </c:pt>
                <c:pt idx="5">
                  <c:v>71</c:v>
                </c:pt>
                <c:pt idx="6">
                  <c:v>61</c:v>
                </c:pt>
                <c:pt idx="7">
                  <c:v>48</c:v>
                </c:pt>
                <c:pt idx="8">
                  <c:v>69</c:v>
                </c:pt>
                <c:pt idx="9">
                  <c:v>79</c:v>
                </c:pt>
                <c:pt idx="10">
                  <c:v>58</c:v>
                </c:pt>
                <c:pt idx="11">
                  <c:v>62</c:v>
                </c:pt>
                <c:pt idx="12">
                  <c:v>73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DEE-4053-87EC-10080D954B02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41792880"/>
        <c:axId val="141788080"/>
      </c:lineChart>
      <c:catAx>
        <c:axId val="1417928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1788080"/>
        <c:crosses val="autoZero"/>
        <c:auto val="1"/>
        <c:lblAlgn val="ctr"/>
        <c:lblOffset val="100"/>
        <c:noMultiLvlLbl val="1"/>
      </c:catAx>
      <c:valAx>
        <c:axId val="141788080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41792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withinLinear" id="16">
  <a:schemeClr val="accent3"/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qian</dc:creator>
  <cp:keywords/>
  <dc:description/>
  <cp:lastModifiedBy>jay qian</cp:lastModifiedBy>
  <cp:revision>2</cp:revision>
  <dcterms:created xsi:type="dcterms:W3CDTF">2024-06-11T00:39:00Z</dcterms:created>
  <dcterms:modified xsi:type="dcterms:W3CDTF">2024-06-11T00:41:00Z</dcterms:modified>
</cp:coreProperties>
</file>