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乘客电梯维修保养手册补遗（B22 及以前）</w:t>
      </w:r>
    </w:p>
    <w:p>
      <w:r>
        <w:t>本补遗是对《乘客电梯维修保养手册》的批次补充说明；与主手册不一致时，以本补遗为准。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适用型号</w:t>
            </w:r>
          </w:p>
        </w:tc>
        <w:tc>
          <w:tcPr>
            <w:tcW w:type="dxa" w:w="4320"/>
          </w:tcPr>
          <w:p>
            <w:r>
              <w:t>HY-G1000/1.6-JXW</w:t>
            </w:r>
          </w:p>
        </w:tc>
      </w:tr>
      <w:tr>
        <w:tc>
          <w:tcPr>
            <w:tcW w:type="dxa" w:w="4320"/>
          </w:tcPr>
          <w:p>
            <w:r>
              <w:t>适用批次</w:t>
            </w:r>
          </w:p>
        </w:tc>
        <w:tc>
          <w:tcPr>
            <w:tcW w:type="dxa" w:w="4320"/>
          </w:tcPr>
          <w:p>
            <w:r>
              <w:t>B22 及以前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V1.1</w:t>
            </w:r>
          </w:p>
        </w:tc>
      </w:tr>
      <w:tr>
        <w:tc>
          <w:tcPr>
            <w:tcW w:type="dxa" w:w="4320"/>
          </w:tcPr>
          <w:p>
            <w:r>
              <w:t>生效日期</w:t>
            </w:r>
          </w:p>
        </w:tc>
        <w:tc>
          <w:tcPr>
            <w:tcW w:type="dxa" w:w="4320"/>
          </w:tcPr>
          <w:p>
            <w:r>
              <w:t>2025-03-01</w:t>
            </w:r>
          </w:p>
        </w:tc>
      </w:tr>
      <w:tr>
        <w:tc>
          <w:tcPr>
            <w:tcW w:type="dxa" w:w="4320"/>
          </w:tcPr>
          <w:p>
            <w:r>
              <w:t>编制单位</w:t>
            </w:r>
          </w:p>
        </w:tc>
        <w:tc>
          <w:tcPr>
            <w:tcW w:type="dxa" w:w="4320"/>
          </w:tcPr>
          <w:p>
            <w:r>
              <w:t>宏远电梯股份有限公司 售后服务部</w:t>
            </w:r>
          </w:p>
        </w:tc>
      </w:tr>
    </w:tbl>
    <w:p>
      <w:pPr>
        <w:pStyle w:val="Heading2"/>
      </w:pPr>
      <w:r>
        <w:t>1.1 制动器间隙</w:t>
      </w:r>
    </w:p>
    <w:p>
      <w:r>
        <w:t>采用 DZS-2 型制动器。制动衬与制动轮单侧间隙标准为 0.30～0.50 mm；用塞尺在 120° 三点测量，任一点超过 0.50 mm 须调整，低于 0.30 mm 须检查制动衬磨损。</w:t>
      </w:r>
    </w:p>
    <w:p>
      <w:pPr>
        <w:pStyle w:val="Heading2"/>
      </w:pPr>
      <w:r>
        <w:t>1.2 门机皮带张紧</w:t>
      </w:r>
    </w:p>
    <w:p>
      <w:r>
        <w:t>门机皮带张紧力 100～120 N；按压皮带中部挠度 5～8 mm 为正常。</w:t>
      </w:r>
    </w:p>
    <w:p>
      <w:pPr>
        <w:pStyle w:val="Heading2"/>
      </w:pPr>
      <w:r>
        <w:t>1.3 平层调整</w:t>
      </w:r>
    </w:p>
    <w:p>
      <w:r>
        <w:t>通过控制柜平层电位器微调；调整后连续运行 5 个层站复核，记录平层偏差。</w:t>
      </w:r>
    </w:p>
    <w:p>
      <w:pPr>
        <w:pStyle w:val="Heading2"/>
      </w:pPr>
      <w:r>
        <w:t>1.4 其他说明</w:t>
      </w:r>
    </w:p>
    <w:p>
      <w:r>
        <w:t>本补遗适用于 B22 及以前批次；B23 及以后批次见另一份补遗，参数不同，不得混用。</w:t>
      </w:r>
    </w:p>
    <w:p>
      <w:r>
        <w:t>批次可在设备铭牌、出厂合格证或控制柜批次标签上确认。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