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4"/>
        <w:rPr>
          <w:rFonts w:ascii="黑体" w:eastAsia="黑体" w:hint="eastAsia"/>
        </w:rPr>
      </w:pPr>
      <w:r>
        <w:rPr>
          <w:rFonts w:ascii="黑体" w:eastAsia="黑体" w:hint="eastAsia"/>
        </w:rPr>
        <w:t>附件2：</w:t>
      </w:r>
    </w:p>
    <w:p>
      <w:pPr>
        <w:pStyle w:val="BodyText"/>
        <w:ind w:left="0"/>
        <w:rPr>
          <w:rFonts w:ascii="黑体"/>
        </w:rPr>
      </w:pPr>
    </w:p>
    <w:p>
      <w:pPr>
        <w:pStyle w:val="BodyText"/>
        <w:spacing w:before="6"/>
        <w:ind w:left="0"/>
        <w:rPr>
          <w:rFonts w:ascii="黑体"/>
          <w:sz w:val="37"/>
        </w:rPr>
      </w:pPr>
    </w:p>
    <w:p>
      <w:pPr>
        <w:pStyle w:val="Heading1"/>
      </w:pPr>
      <w:r>
        <w:rPr/>
        <w:t>管理会计应用指引第200号</w:t>
      </w:r>
      <w:r>
        <w:rPr>
          <w:rFonts w:ascii="黑体" w:hAnsi="黑体" w:eastAsia="黑体" w:hint="eastAsia"/>
          <w:b w:val="0"/>
        </w:rPr>
        <w:t>——</w:t>
      </w:r>
      <w:r>
        <w:rPr/>
        <w:t>预算管理</w:t>
      </w:r>
      <w:r>
        <w:rPr>
          <w:w w:val="99"/>
        </w:rPr>
        <w:t> </w:t>
      </w:r>
    </w:p>
    <w:p>
      <w:pPr>
        <w:pStyle w:val="BodyText"/>
        <w:ind w:left="0"/>
        <w:rPr>
          <w:b/>
          <w:sz w:val="36"/>
        </w:rPr>
      </w:pPr>
    </w:p>
    <w:p>
      <w:pPr>
        <w:pStyle w:val="BodyText"/>
        <w:spacing w:before="5"/>
        <w:ind w:left="0"/>
        <w:rPr>
          <w:b/>
          <w:sz w:val="29"/>
        </w:rPr>
      </w:pPr>
    </w:p>
    <w:p>
      <w:pPr>
        <w:pStyle w:val="BodyText"/>
        <w:ind w:left="827" w:right="962"/>
        <w:jc w:val="center"/>
        <w:rPr>
          <w:rFonts w:ascii="黑体" w:eastAsia="黑体" w:hint="eastAsia"/>
        </w:rPr>
      </w:pPr>
      <w:r>
        <w:rPr>
          <w:rFonts w:ascii="黑体" w:eastAsia="黑体" w:hint="eastAsia"/>
        </w:rPr>
        <w:t>第一章 总 则</w:t>
      </w:r>
    </w:p>
    <w:p>
      <w:pPr>
        <w:pStyle w:val="BodyText"/>
        <w:spacing w:before="9"/>
        <w:ind w:left="0"/>
        <w:rPr>
          <w:rFonts w:ascii="黑体"/>
          <w:sz w:val="20"/>
        </w:rPr>
      </w:pPr>
    </w:p>
    <w:p>
      <w:pPr>
        <w:pStyle w:val="BodyText"/>
        <w:spacing w:line="417" w:lineRule="auto"/>
        <w:ind w:right="256" w:firstLine="559"/>
        <w:jc w:val="both"/>
      </w:pPr>
      <w:r>
        <w:rPr>
          <w:rFonts w:ascii="黑体" w:eastAsia="黑体" w:hint="eastAsia"/>
          <w:spacing w:val="12"/>
        </w:rPr>
        <w:t>第一条</w:t>
      </w:r>
      <w:r>
        <w:rPr>
          <w:spacing w:val="8"/>
        </w:rPr>
        <w:t> 为了促进企业加强预算管理，发挥预算管理在企业规</w:t>
      </w:r>
      <w:r>
        <w:rPr>
          <w:spacing w:val="-9"/>
        </w:rPr>
        <w:t>划、决策、控制和评价活动中的作用，根据《管理会计基本指引》， </w:t>
      </w:r>
      <w:r>
        <w:rPr>
          <w:spacing w:val="-2"/>
        </w:rPr>
        <w:t>制定本指引。</w:t>
      </w:r>
      <w:r>
        <w:rPr/>
        <w:t> </w:t>
      </w:r>
    </w:p>
    <w:p>
      <w:pPr>
        <w:pStyle w:val="BodyText"/>
        <w:spacing w:line="417" w:lineRule="auto"/>
        <w:ind w:right="162" w:firstLine="559"/>
      </w:pPr>
      <w:r>
        <w:rPr>
          <w:rFonts w:ascii="黑体" w:eastAsia="黑体" w:hint="eastAsia"/>
        </w:rPr>
        <w:t>第二条</w:t>
      </w:r>
      <w:r>
        <w:rPr/>
        <w:t> 预算管理，是指企业以战略目标为导向，通过对未来一</w:t>
      </w:r>
      <w:r>
        <w:rPr>
          <w:spacing w:val="-4"/>
        </w:rPr>
        <w:t>定期间内的经营活动和相应的财务结果进行全面预测和筹划，科学、</w:t>
      </w:r>
      <w:r>
        <w:rPr>
          <w:spacing w:val="3"/>
        </w:rPr>
        <w:t>合理配置企业各项财务和非财务资源，并对执行过程进行监督和分</w:t>
      </w:r>
      <w:r>
        <w:rPr>
          <w:spacing w:val="-10"/>
        </w:rPr>
        <w:t>析，对执行结果进行评价和反馈，指导经营活动的改善和调整，进而</w:t>
      </w:r>
      <w:r>
        <w:rPr>
          <w:spacing w:val="-7"/>
        </w:rPr>
        <w:t>推动实现企业战略目标的管理活动。</w:t>
      </w:r>
      <w:r>
        <w:rPr/>
        <w:t> </w:t>
      </w:r>
    </w:p>
    <w:p>
      <w:pPr>
        <w:pStyle w:val="BodyText"/>
        <w:spacing w:line="417" w:lineRule="auto"/>
        <w:ind w:right="256" w:firstLine="559"/>
      </w:pPr>
      <w:r>
        <w:rPr>
          <w:rFonts w:ascii="黑体" w:eastAsia="黑体" w:hint="eastAsia"/>
        </w:rPr>
        <w:t>第三条 </w:t>
      </w:r>
      <w:r>
        <w:rPr/>
        <w:t>预算管理的内容主要包括经营预算、专门决策预算和财务预算。 </w:t>
      </w:r>
    </w:p>
    <w:p>
      <w:pPr>
        <w:pStyle w:val="BodyText"/>
        <w:spacing w:line="417" w:lineRule="auto"/>
        <w:ind w:right="251" w:firstLine="559"/>
        <w:jc w:val="both"/>
      </w:pPr>
      <w:r>
        <w:rPr>
          <w:w w:val="100"/>
        </w:rPr>
        <w:t>经营预算（也称业务预算</w:t>
      </w:r>
      <w:r>
        <w:rPr>
          <w:spacing w:val="-140"/>
          <w:w w:val="100"/>
        </w:rPr>
        <w:t>）</w:t>
      </w:r>
      <w:r>
        <w:rPr>
          <w:w w:val="100"/>
        </w:rPr>
        <w:t>，是指与企业日常业务直接相关的一</w:t>
      </w:r>
      <w:r>
        <w:rPr>
          <w:spacing w:val="-11"/>
        </w:rPr>
        <w:t>系列预算，包括销售预算、生产预算、采购预算、费用预算、人力资</w:t>
      </w:r>
      <w:r>
        <w:rPr>
          <w:spacing w:val="-2"/>
        </w:rPr>
        <w:t>源预算等。</w:t>
      </w:r>
      <w:r>
        <w:rPr/>
        <w:t> </w:t>
      </w:r>
    </w:p>
    <w:p>
      <w:pPr>
        <w:pStyle w:val="BodyText"/>
        <w:spacing w:line="417" w:lineRule="auto"/>
        <w:ind w:right="255" w:firstLine="559"/>
      </w:pPr>
      <w:r>
        <w:rPr>
          <w:spacing w:val="-11"/>
        </w:rPr>
        <w:t>专门决策预算，是指企业重大的或不经常发生的、需要根据特定</w:t>
      </w:r>
      <w:r>
        <w:rPr>
          <w:spacing w:val="-3"/>
        </w:rPr>
        <w:t>决策编制的预算，包括投融资决策预算等。 </w:t>
      </w:r>
    </w:p>
    <w:p>
      <w:pPr>
        <w:pStyle w:val="BodyText"/>
        <w:spacing w:line="417" w:lineRule="auto"/>
        <w:ind w:right="253" w:firstLine="559"/>
      </w:pPr>
      <w:r>
        <w:rPr>
          <w:spacing w:val="-12"/>
        </w:rPr>
        <w:t>财务预算，是指与企业资金收支、财务状况或经营成果等有关的</w:t>
      </w:r>
      <w:r>
        <w:rPr>
          <w:spacing w:val="-3"/>
        </w:rPr>
        <w:t>预算，包括资金预算、预计资产负债表、预计利润表等。 </w:t>
      </w:r>
    </w:p>
    <w:p>
      <w:pPr>
        <w:spacing w:after="0" w:line="417" w:lineRule="auto"/>
        <w:sectPr>
          <w:footerReference w:type="default" r:id="rId5"/>
          <w:type w:val="continuous"/>
          <w:pgSz w:w="11910" w:h="16840"/>
          <w:pgMar w:footer="1195" w:top="1520" w:bottom="1380" w:left="1680" w:right="1540"/>
          <w:pgNumType w:start="1"/>
        </w:sectPr>
      </w:pPr>
    </w:p>
    <w:p>
      <w:pPr>
        <w:pStyle w:val="BodyText"/>
        <w:spacing w:before="34"/>
        <w:ind w:left="679"/>
      </w:pPr>
      <w:r>
        <w:rPr>
          <w:rFonts w:ascii="黑体" w:eastAsia="黑体" w:hint="eastAsia"/>
        </w:rPr>
        <w:t>第四条</w:t>
      </w:r>
      <w:r>
        <w:rPr/>
        <w:t> 企业进行预算管理，一般应遵循以下原则： </w:t>
      </w:r>
    </w:p>
    <w:p>
      <w:pPr>
        <w:pStyle w:val="BodyText"/>
        <w:spacing w:before="9"/>
        <w:ind w:left="0"/>
        <w:rPr>
          <w:sz w:val="20"/>
        </w:rPr>
      </w:pPr>
    </w:p>
    <w:p>
      <w:pPr>
        <w:pStyle w:val="BodyText"/>
        <w:spacing w:line="417" w:lineRule="auto" w:before="1"/>
        <w:ind w:right="236" w:firstLine="559"/>
        <w:jc w:val="both"/>
      </w:pPr>
      <w:r>
        <w:rPr/>
        <w:t>（一</w:t>
      </w:r>
      <w:r>
        <w:rPr>
          <w:spacing w:val="-94"/>
        </w:rPr>
        <w:t>）</w:t>
      </w:r>
      <w:r>
        <w:rPr>
          <w:spacing w:val="-3"/>
        </w:rPr>
        <w:t>战略导向原则。预算管理应围绕企业的战略目标和业务计</w:t>
      </w:r>
      <w:r>
        <w:rPr>
          <w:spacing w:val="14"/>
        </w:rPr>
        <w:t>划有序开展，引导各预算责任主体聚焦战略、专注执行、达成绩</w:t>
      </w:r>
      <w:r>
        <w:rPr>
          <w:spacing w:val="-2"/>
        </w:rPr>
        <w:t>效。</w:t>
      </w:r>
      <w:r>
        <w:rPr/>
        <w:t> </w:t>
      </w:r>
    </w:p>
    <w:p>
      <w:pPr>
        <w:pStyle w:val="BodyText"/>
        <w:spacing w:line="417" w:lineRule="auto"/>
        <w:ind w:right="254" w:firstLine="559"/>
        <w:jc w:val="both"/>
      </w:pPr>
      <w:r>
        <w:rPr/>
        <w:t>（二</w:t>
      </w:r>
      <w:r>
        <w:rPr>
          <w:spacing w:val="-48"/>
        </w:rPr>
        <w:t>）</w:t>
      </w:r>
      <w:r>
        <w:rPr>
          <w:spacing w:val="-7"/>
        </w:rPr>
        <w:t>过程控制原则。预算管理应通过及时监控、分析等把握预</w:t>
      </w:r>
      <w:r>
        <w:rPr>
          <w:spacing w:val="13"/>
        </w:rPr>
        <w:t>算目标的实现进度并实施有效评价，对企业经营决策提供有效支</w:t>
      </w:r>
      <w:r>
        <w:rPr>
          <w:spacing w:val="5"/>
        </w:rPr>
        <w:t>撑。</w:t>
      </w:r>
      <w:r>
        <w:rPr/>
        <w:t> </w:t>
      </w:r>
    </w:p>
    <w:p>
      <w:pPr>
        <w:pStyle w:val="BodyText"/>
        <w:spacing w:line="417" w:lineRule="auto"/>
        <w:ind w:right="254" w:firstLine="559"/>
      </w:pPr>
      <w:r>
        <w:rPr/>
        <w:t>（三</w:t>
      </w:r>
      <w:r>
        <w:rPr>
          <w:spacing w:val="-48"/>
        </w:rPr>
        <w:t>）</w:t>
      </w:r>
      <w:r>
        <w:rPr>
          <w:spacing w:val="-7"/>
        </w:rPr>
        <w:t>融合性原则。预算管理应以业务为先导、以财务为协同， </w:t>
      </w:r>
      <w:r>
        <w:rPr>
          <w:spacing w:val="-3"/>
        </w:rPr>
        <w:t>将预算管理嵌入企业经营管理活动的各个领域、层次、环节。</w:t>
      </w:r>
      <w:r>
        <w:rPr/>
        <w:t> </w:t>
      </w:r>
    </w:p>
    <w:p>
      <w:pPr>
        <w:pStyle w:val="BodyText"/>
        <w:spacing w:line="417" w:lineRule="auto"/>
        <w:ind w:right="251" w:firstLine="559"/>
        <w:jc w:val="both"/>
      </w:pPr>
      <w:r>
        <w:rPr/>
        <w:t>（四</w:t>
      </w:r>
      <w:r>
        <w:rPr>
          <w:spacing w:val="-94"/>
        </w:rPr>
        <w:t>）</w:t>
      </w:r>
      <w:r>
        <w:rPr>
          <w:spacing w:val="-3"/>
        </w:rPr>
        <w:t>平衡管理原则。预算管理应平衡长期目标与短期目标、整</w:t>
      </w:r>
      <w:r>
        <w:rPr>
          <w:spacing w:val="3"/>
        </w:rPr>
        <w:t>体利益与局部利益、收入与支出、结果与动因等关系，促进企业可</w:t>
      </w:r>
      <w:r>
        <w:rPr/>
        <w:t>持续发展。 </w:t>
      </w:r>
    </w:p>
    <w:p>
      <w:pPr>
        <w:pStyle w:val="BodyText"/>
        <w:spacing w:line="417" w:lineRule="auto"/>
        <w:ind w:right="256" w:firstLine="559"/>
        <w:jc w:val="both"/>
      </w:pPr>
      <w:r>
        <w:rPr/>
        <w:t>（五</w:t>
      </w:r>
      <w:r>
        <w:rPr>
          <w:spacing w:val="-94"/>
        </w:rPr>
        <w:t>）</w:t>
      </w:r>
      <w:r>
        <w:rPr>
          <w:spacing w:val="-4"/>
        </w:rPr>
        <w:t>权变性原则。预算管理应刚性与柔性相结合，强调预算对</w:t>
      </w:r>
      <w:r>
        <w:rPr>
          <w:spacing w:val="-12"/>
        </w:rPr>
        <w:t>经营管理的刚性约束，又可根据内外环境的重大变化调整预算，并针</w:t>
      </w:r>
      <w:r>
        <w:rPr>
          <w:spacing w:val="-7"/>
        </w:rPr>
        <w:t>对例外事项进行特殊处理。 </w:t>
      </w:r>
    </w:p>
    <w:p>
      <w:pPr>
        <w:pStyle w:val="BodyText"/>
        <w:spacing w:line="417" w:lineRule="auto"/>
        <w:ind w:right="256" w:firstLine="559"/>
        <w:jc w:val="both"/>
      </w:pPr>
      <w:r>
        <w:rPr>
          <w:rFonts w:ascii="黑体" w:eastAsia="黑体" w:hint="eastAsia"/>
        </w:rPr>
        <w:t>第五条 </w:t>
      </w:r>
      <w:r>
        <w:rPr/>
        <w:t>预算管理领域应用的管理会计工具方法，一般包括滚动预算、零基预算、弹性预算、作业预算等。 </w:t>
      </w:r>
    </w:p>
    <w:p>
      <w:pPr>
        <w:pStyle w:val="BodyText"/>
        <w:spacing w:line="417" w:lineRule="auto"/>
        <w:ind w:right="260" w:firstLine="559"/>
      </w:pPr>
      <w:r>
        <w:rPr/>
        <w:t>企业可根据其战略目标、业务特点和管理需要，结合不同工具方法的特征及适用范围，选择恰当的工具方法综合运用。 </w:t>
      </w:r>
    </w:p>
    <w:p>
      <w:pPr>
        <w:pStyle w:val="BodyText"/>
        <w:spacing w:line="417" w:lineRule="auto"/>
        <w:ind w:right="256" w:firstLine="559"/>
        <w:jc w:val="both"/>
      </w:pPr>
      <w:r>
        <w:rPr>
          <w:rFonts w:ascii="黑体" w:eastAsia="黑体" w:hint="eastAsia"/>
          <w:spacing w:val="9"/>
        </w:rPr>
        <w:t>第六条 </w:t>
      </w:r>
      <w:r>
        <w:rPr>
          <w:spacing w:val="-1"/>
        </w:rPr>
        <w:t>企业可整合预算与战略管理领域的管理会计工具方法， </w:t>
      </w:r>
      <w:r>
        <w:rPr>
          <w:spacing w:val="-8"/>
        </w:rPr>
        <w:t>强化预算对战略目标的承接分解；整合预算与成本管理、风险管理领域的管理会计工具方法，强化预算对战略执行的过程控制；整合预算</w:t>
      </w:r>
    </w:p>
    <w:p>
      <w:pPr>
        <w:spacing w:after="0" w:line="417" w:lineRule="auto"/>
        <w:jc w:val="both"/>
        <w:sectPr>
          <w:pgSz w:w="11910" w:h="16840"/>
          <w:pgMar w:header="0" w:footer="1195" w:top="1520" w:bottom="1380" w:left="1680" w:right="1540"/>
        </w:sectPr>
      </w:pPr>
    </w:p>
    <w:p>
      <w:pPr>
        <w:pStyle w:val="BodyText"/>
        <w:spacing w:line="417" w:lineRule="auto" w:before="34"/>
        <w:ind w:right="258"/>
        <w:jc w:val="both"/>
      </w:pPr>
      <w:r>
        <w:rPr>
          <w:spacing w:val="-10"/>
        </w:rPr>
        <w:t>与营运管理领域的管理会计工具方法，强化预算对生产经营的过程监</w:t>
      </w:r>
      <w:r>
        <w:rPr>
          <w:spacing w:val="3"/>
        </w:rPr>
        <w:t>控；整合预算与绩效管理领域的管理会计工具方法，强化预算对战</w:t>
      </w:r>
      <w:r>
        <w:rPr>
          <w:spacing w:val="-2"/>
        </w:rPr>
        <w:t>略目标的标杆引导。 </w:t>
      </w:r>
    </w:p>
    <w:p>
      <w:pPr>
        <w:pStyle w:val="BodyText"/>
        <w:spacing w:line="417" w:lineRule="auto"/>
        <w:ind w:right="256" w:firstLine="559"/>
        <w:jc w:val="both"/>
        <w:rPr>
          <w:b/>
        </w:rPr>
      </w:pPr>
      <w:r>
        <w:rPr>
          <w:rFonts w:ascii="黑体" w:eastAsia="黑体" w:hint="eastAsia"/>
        </w:rPr>
        <w:t>第七条 </w:t>
      </w:r>
      <w:r>
        <w:rPr/>
        <w:t>企业应用预算管理工具方法，一般按照预算编制、预算控制、预算调整、预算考核等程序进行</w:t>
      </w:r>
      <w:r>
        <w:rPr>
          <w:b/>
        </w:rPr>
        <w:t>。</w:t>
      </w:r>
      <w:r>
        <w:rPr>
          <w:b/>
          <w:w w:val="99"/>
        </w:rPr>
        <w:t> </w:t>
      </w:r>
    </w:p>
    <w:p>
      <w:pPr>
        <w:pStyle w:val="BodyText"/>
        <w:ind w:left="0"/>
        <w:rPr>
          <w:b/>
          <w:sz w:val="20"/>
        </w:rPr>
      </w:pPr>
    </w:p>
    <w:p>
      <w:pPr>
        <w:pStyle w:val="BodyText"/>
        <w:spacing w:before="12"/>
        <w:ind w:left="0"/>
        <w:rPr>
          <w:b/>
          <w:sz w:val="23"/>
        </w:rPr>
      </w:pPr>
    </w:p>
    <w:p>
      <w:pPr>
        <w:pStyle w:val="BodyText"/>
        <w:spacing w:before="61"/>
        <w:ind w:left="829" w:right="962"/>
        <w:jc w:val="center"/>
        <w:rPr>
          <w:rFonts w:ascii="黑体" w:eastAsia="黑体" w:hint="eastAsia"/>
        </w:rPr>
      </w:pPr>
      <w:r>
        <w:rPr>
          <w:rFonts w:ascii="黑体" w:eastAsia="黑体" w:hint="eastAsia"/>
        </w:rPr>
        <w:t>第二章 应用环境</w:t>
      </w:r>
    </w:p>
    <w:p>
      <w:pPr>
        <w:pStyle w:val="BodyText"/>
        <w:spacing w:before="9"/>
        <w:ind w:left="0"/>
        <w:rPr>
          <w:rFonts w:ascii="黑体"/>
          <w:sz w:val="20"/>
        </w:rPr>
      </w:pPr>
    </w:p>
    <w:p>
      <w:pPr>
        <w:pStyle w:val="BodyText"/>
        <w:spacing w:line="417" w:lineRule="auto"/>
        <w:ind w:right="256" w:firstLine="559"/>
      </w:pPr>
      <w:r>
        <w:rPr>
          <w:rFonts w:ascii="黑体" w:eastAsia="黑体" w:hint="eastAsia"/>
        </w:rPr>
        <w:t>第八条</w:t>
      </w:r>
      <w:r>
        <w:rPr/>
        <w:t> 企业实施预算管理的基础环境包括战略目标、业务计划、组织架构、内部管理制度、信息系统等。 </w:t>
      </w:r>
    </w:p>
    <w:p>
      <w:pPr>
        <w:pStyle w:val="BodyText"/>
        <w:spacing w:line="417" w:lineRule="auto"/>
        <w:ind w:right="257" w:firstLine="559"/>
      </w:pPr>
      <w:r>
        <w:rPr>
          <w:rFonts w:ascii="黑体" w:eastAsia="黑体" w:hint="eastAsia"/>
        </w:rPr>
        <w:t>第九条</w:t>
      </w:r>
      <w:r>
        <w:rPr/>
        <w:t> 企业应按照战略目标，确立预算管理的方向、重点和目标。</w:t>
      </w:r>
      <w:r>
        <w:rPr>
          <w:color w:val="00AFEF"/>
        </w:rPr>
        <w:t> </w:t>
      </w:r>
    </w:p>
    <w:p>
      <w:pPr>
        <w:pStyle w:val="BodyText"/>
        <w:spacing w:line="417" w:lineRule="auto"/>
        <w:ind w:right="256" w:firstLine="559"/>
      </w:pPr>
      <w:r>
        <w:rPr>
          <w:rFonts w:ascii="黑体" w:eastAsia="黑体" w:hint="eastAsia"/>
        </w:rPr>
        <w:t>第十条</w:t>
      </w:r>
      <w:r>
        <w:rPr/>
        <w:t> 企业应将战略目标和业务计划具体化、数量化作为预算目标，促进战略目标落地。 </w:t>
      </w:r>
    </w:p>
    <w:p>
      <w:pPr>
        <w:pStyle w:val="BodyText"/>
        <w:spacing w:line="417" w:lineRule="auto"/>
        <w:ind w:right="261" w:firstLine="559"/>
      </w:pPr>
      <w:r>
        <w:rPr/>
        <w:t>业务计划，是指按照战略目标对业务活动的具体描述和详细计划。 </w:t>
      </w:r>
    </w:p>
    <w:p>
      <w:pPr>
        <w:pStyle w:val="BodyText"/>
        <w:spacing w:line="417" w:lineRule="auto"/>
        <w:ind w:right="119" w:firstLine="559"/>
      </w:pPr>
      <w:r>
        <w:rPr>
          <w:rFonts w:ascii="黑体" w:eastAsia="黑体" w:hint="eastAsia"/>
        </w:rPr>
        <w:t>第十一条</w:t>
      </w:r>
      <w:r>
        <w:rPr/>
        <w:t> 企业可设置预算管理委员会等专门机构组织、监督预</w:t>
      </w:r>
      <w:r>
        <w:rPr>
          <w:spacing w:val="-10"/>
        </w:rPr>
        <w:t>算管理工作。该机构的主要其职责包括：审批公司预算管理制度、政</w:t>
      </w:r>
      <w:r>
        <w:rPr>
          <w:spacing w:val="-17"/>
        </w:rPr>
        <w:t>策，审议年度预算草案或预算调整草案并报董事会等机构审批，监控、</w:t>
      </w:r>
      <w:r>
        <w:rPr>
          <w:spacing w:val="-8"/>
        </w:rPr>
        <w:t>考核本单位的预算执行情况并向董事会报告，协调预算编制、预算调</w:t>
      </w:r>
      <w:r>
        <w:rPr>
          <w:spacing w:val="-5"/>
        </w:rPr>
        <w:t>整及预算执行中的有关问题等。 </w:t>
      </w:r>
    </w:p>
    <w:p>
      <w:pPr>
        <w:pStyle w:val="BodyText"/>
        <w:spacing w:line="417" w:lineRule="auto"/>
        <w:ind w:right="256" w:firstLine="559"/>
      </w:pPr>
      <w:r>
        <w:rPr/>
        <w:t>预算管理的机构设置、职责权限和工作程序应与企业的组织架构和管理体制互相协调，保障预算管理各环节职能衔接，流程顺</w:t>
      </w:r>
    </w:p>
    <w:p>
      <w:pPr>
        <w:spacing w:after="0" w:line="417" w:lineRule="auto"/>
        <w:sectPr>
          <w:pgSz w:w="11910" w:h="16840"/>
          <w:pgMar w:header="0" w:footer="1195" w:top="1520" w:bottom="1380" w:left="1680" w:right="1540"/>
        </w:sectPr>
      </w:pPr>
    </w:p>
    <w:p>
      <w:pPr>
        <w:pStyle w:val="BodyText"/>
        <w:spacing w:before="34"/>
      </w:pPr>
      <w:r>
        <w:rPr/>
        <w:t>畅。 </w:t>
      </w:r>
    </w:p>
    <w:p>
      <w:pPr>
        <w:pStyle w:val="BodyText"/>
        <w:spacing w:before="9"/>
        <w:ind w:left="0"/>
        <w:rPr>
          <w:sz w:val="20"/>
        </w:rPr>
      </w:pPr>
    </w:p>
    <w:p>
      <w:pPr>
        <w:pStyle w:val="BodyText"/>
        <w:spacing w:line="417" w:lineRule="auto" w:before="1"/>
        <w:ind w:right="253" w:firstLine="559"/>
        <w:jc w:val="both"/>
      </w:pPr>
      <w:r>
        <w:rPr>
          <w:rFonts w:ascii="黑体" w:eastAsia="黑体" w:hint="eastAsia"/>
        </w:rPr>
        <w:t>第十二条</w:t>
      </w:r>
      <w:r>
        <w:rPr/>
        <w:t> 企业应建立健全预算管理制度、会计核算制度、定额标准制度、内部控制制度、内部审计制度、绩效考核和激励制度等内部管理制度，夯实预算管理的制度基础。 </w:t>
      </w:r>
    </w:p>
    <w:p>
      <w:pPr>
        <w:pStyle w:val="BodyText"/>
        <w:spacing w:line="417" w:lineRule="auto"/>
        <w:ind w:right="258" w:firstLine="559"/>
      </w:pPr>
      <w:r>
        <w:rPr>
          <w:rFonts w:ascii="黑体" w:eastAsia="黑体" w:hint="eastAsia"/>
        </w:rPr>
        <w:t>第十三条</w:t>
      </w:r>
      <w:r>
        <w:rPr/>
        <w:t> 企业应充分利用现代信息技术，规范预算管理流程， 提高预算管理效率。 </w:t>
      </w:r>
    </w:p>
    <w:p>
      <w:pPr>
        <w:pStyle w:val="BodyText"/>
        <w:ind w:left="0"/>
        <w:rPr>
          <w:sz w:val="20"/>
        </w:rPr>
      </w:pPr>
    </w:p>
    <w:p>
      <w:pPr>
        <w:pStyle w:val="BodyText"/>
        <w:spacing w:before="11"/>
        <w:ind w:left="0"/>
        <w:rPr>
          <w:sz w:val="23"/>
        </w:rPr>
      </w:pPr>
    </w:p>
    <w:p>
      <w:pPr>
        <w:pStyle w:val="BodyText"/>
        <w:spacing w:before="61"/>
        <w:ind w:left="829" w:right="962"/>
        <w:jc w:val="center"/>
        <w:rPr>
          <w:rFonts w:ascii="黑体" w:eastAsia="黑体" w:hint="eastAsia"/>
        </w:rPr>
      </w:pPr>
      <w:r>
        <w:rPr>
          <w:rFonts w:ascii="黑体" w:eastAsia="黑体" w:hint="eastAsia"/>
        </w:rPr>
        <w:t>第三章 预算编制</w:t>
      </w:r>
    </w:p>
    <w:p>
      <w:pPr>
        <w:pStyle w:val="BodyText"/>
        <w:spacing w:before="9"/>
        <w:ind w:left="0"/>
        <w:rPr>
          <w:rFonts w:ascii="黑体"/>
          <w:sz w:val="20"/>
        </w:rPr>
      </w:pPr>
    </w:p>
    <w:p>
      <w:pPr>
        <w:pStyle w:val="BodyText"/>
        <w:spacing w:line="417" w:lineRule="auto"/>
        <w:ind w:right="164" w:firstLine="559"/>
      </w:pPr>
      <w:r>
        <w:rPr>
          <w:rFonts w:ascii="黑体" w:eastAsia="黑体" w:hint="eastAsia"/>
        </w:rPr>
        <w:t>第十四条</w:t>
      </w:r>
      <w:r>
        <w:rPr/>
        <w:t> 企业应建立和完善预算编制的工作制度，明确预算编</w:t>
      </w:r>
      <w:r>
        <w:rPr>
          <w:spacing w:val="-4"/>
        </w:rPr>
        <w:t>制依据、编制内容、编制程序和编制方法，确保预算编制依据合理、</w:t>
      </w:r>
      <w:r>
        <w:rPr>
          <w:spacing w:val="-10"/>
        </w:rPr>
        <w:t>内容全面、程序规范、方法科学，确保形成各层级广泛接受的、符合</w:t>
      </w:r>
      <w:r>
        <w:rPr>
          <w:spacing w:val="-3"/>
        </w:rPr>
        <w:t>业务假设的、可实现的预算控制目标。 </w:t>
      </w:r>
    </w:p>
    <w:p>
      <w:pPr>
        <w:pStyle w:val="BodyText"/>
        <w:spacing w:line="417" w:lineRule="auto"/>
        <w:ind w:right="256" w:firstLine="559"/>
        <w:jc w:val="both"/>
      </w:pPr>
      <w:r>
        <w:rPr>
          <w:rFonts w:ascii="黑体" w:eastAsia="黑体" w:hint="eastAsia"/>
        </w:rPr>
        <w:t>第十五条</w:t>
      </w:r>
      <w:r>
        <w:rPr>
          <w:spacing w:val="-1"/>
        </w:rPr>
        <w:t> 企业一般按照分级编制、逐级汇总的方式，采用自上</w:t>
      </w:r>
      <w:r>
        <w:rPr>
          <w:spacing w:val="-11"/>
        </w:rPr>
        <w:t>而下、自下而上、上下结合或多维度相协调的流程编制预算。预算编</w:t>
      </w:r>
      <w:r>
        <w:rPr>
          <w:spacing w:val="-3"/>
        </w:rPr>
        <w:t>制流程与编制方法的选择应与企业现有管理模式相适应。 </w:t>
      </w:r>
    </w:p>
    <w:p>
      <w:pPr>
        <w:pStyle w:val="BodyText"/>
        <w:spacing w:line="417" w:lineRule="auto"/>
        <w:ind w:right="252" w:firstLine="559"/>
        <w:jc w:val="both"/>
      </w:pPr>
      <w:r>
        <w:rPr>
          <w:rFonts w:ascii="黑体" w:eastAsia="黑体" w:hint="eastAsia"/>
        </w:rPr>
        <w:t>第十六条</w:t>
      </w:r>
      <w:r>
        <w:rPr/>
        <w:t> 预算编制完成后，应按照相关法律法规及企业章程的规定报经企业预算管理决策机构审议批准，以正式文件形式下达执行。 </w:t>
      </w:r>
    </w:p>
    <w:p>
      <w:pPr>
        <w:pStyle w:val="BodyText"/>
        <w:spacing w:line="417" w:lineRule="auto"/>
        <w:ind w:right="251" w:firstLine="559"/>
        <w:jc w:val="both"/>
      </w:pPr>
      <w:r>
        <w:rPr>
          <w:rFonts w:ascii="黑体" w:eastAsia="黑体" w:hint="eastAsia"/>
        </w:rPr>
        <w:t>第十七条</w:t>
      </w:r>
      <w:r>
        <w:rPr/>
        <w:t> 预算审批包括预算内审批、超预算审批、预算外审批</w:t>
      </w:r>
      <w:r>
        <w:rPr>
          <w:spacing w:val="-11"/>
        </w:rPr>
        <w:t>等。预算内审批事项，应简化流程，提高效率；超预算审批事项，应</w:t>
      </w:r>
      <w:r>
        <w:rPr>
          <w:spacing w:val="-3"/>
        </w:rPr>
        <w:t>执行额外的审批流程；预算外审批事项，应严格控制，防范风险。 </w:t>
      </w:r>
    </w:p>
    <w:p>
      <w:pPr>
        <w:pStyle w:val="BodyText"/>
        <w:spacing w:line="358" w:lineRule="exact"/>
        <w:ind w:left="679"/>
      </w:pPr>
      <w:r>
        <w:rPr>
          <w:w w:val="100"/>
        </w:rPr>
        <w:t> </w:t>
      </w:r>
    </w:p>
    <w:p>
      <w:pPr>
        <w:spacing w:after="0" w:line="358" w:lineRule="exact"/>
        <w:sectPr>
          <w:pgSz w:w="11910" w:h="16840"/>
          <w:pgMar w:header="0" w:footer="1195" w:top="1520" w:bottom="1380" w:left="1680" w:right="1540"/>
        </w:sectPr>
      </w:pPr>
    </w:p>
    <w:p>
      <w:pPr>
        <w:pStyle w:val="BodyText"/>
        <w:spacing w:before="34"/>
        <w:ind w:left="827" w:right="962"/>
        <w:jc w:val="center"/>
        <w:rPr>
          <w:rFonts w:ascii="黑体" w:eastAsia="黑体" w:hint="eastAsia"/>
        </w:rPr>
      </w:pPr>
      <w:r>
        <w:rPr>
          <w:rFonts w:ascii="黑体" w:eastAsia="黑体" w:hint="eastAsia"/>
        </w:rPr>
        <w:t>第四章 预算执行</w:t>
      </w:r>
    </w:p>
    <w:p>
      <w:pPr>
        <w:pStyle w:val="BodyText"/>
        <w:spacing w:before="9"/>
        <w:ind w:left="0"/>
        <w:rPr>
          <w:rFonts w:ascii="黑体"/>
          <w:sz w:val="20"/>
        </w:rPr>
      </w:pPr>
    </w:p>
    <w:p>
      <w:pPr>
        <w:pStyle w:val="BodyText"/>
        <w:spacing w:before="1"/>
        <w:ind w:left="679"/>
      </w:pPr>
      <w:r>
        <w:rPr>
          <w:rFonts w:ascii="黑体" w:eastAsia="黑体" w:hint="eastAsia"/>
        </w:rPr>
        <w:t>第十八条 </w:t>
      </w:r>
      <w:r>
        <w:rPr/>
        <w:t>预算执行一般按照预算控制、预算调整等程序进行。 </w:t>
      </w:r>
    </w:p>
    <w:p>
      <w:pPr>
        <w:pStyle w:val="BodyText"/>
        <w:spacing w:before="8"/>
        <w:ind w:left="0"/>
        <w:rPr>
          <w:sz w:val="20"/>
        </w:rPr>
      </w:pPr>
    </w:p>
    <w:p>
      <w:pPr>
        <w:pStyle w:val="BodyText"/>
        <w:spacing w:line="417" w:lineRule="auto" w:before="1"/>
        <w:ind w:right="253" w:firstLine="559"/>
      </w:pPr>
      <w:r>
        <w:rPr>
          <w:rFonts w:ascii="黑体" w:eastAsia="黑体" w:hint="eastAsia"/>
        </w:rPr>
        <w:t>第十九条</w:t>
      </w:r>
      <w:r>
        <w:rPr>
          <w:spacing w:val="-10"/>
        </w:rPr>
        <w:t> 预算控制，是指企业以预算为标准,通过预算分解、过</w:t>
      </w:r>
      <w:r>
        <w:rPr>
          <w:spacing w:val="-3"/>
        </w:rPr>
        <w:t>程监督、差异分析等促使日常经营不偏离预算标准的管理活动。</w:t>
      </w:r>
      <w:r>
        <w:rPr/>
        <w:t> </w:t>
      </w:r>
    </w:p>
    <w:p>
      <w:pPr>
        <w:pStyle w:val="BodyText"/>
        <w:spacing w:line="417" w:lineRule="auto"/>
        <w:ind w:right="257" w:firstLine="559"/>
      </w:pPr>
      <w:r>
        <w:rPr>
          <w:rFonts w:ascii="黑体" w:eastAsia="黑体" w:hint="eastAsia"/>
        </w:rPr>
        <w:t>第二十条</w:t>
      </w:r>
      <w:r>
        <w:rPr/>
        <w:t> 企业应建立预算授权控制制度，强化预算责任，严格预算控制。 </w:t>
      </w:r>
    </w:p>
    <w:p>
      <w:pPr>
        <w:pStyle w:val="BodyText"/>
        <w:spacing w:line="417" w:lineRule="auto"/>
        <w:ind w:right="256" w:firstLine="559"/>
      </w:pPr>
      <w:r>
        <w:rPr>
          <w:rFonts w:ascii="黑体" w:eastAsia="黑体" w:hint="eastAsia"/>
        </w:rPr>
        <w:t>第二十一条</w:t>
      </w:r>
      <w:r>
        <w:rPr/>
        <w:t> 企业应建立预算执行的监督、分析制度，提高预算管理对业务的控制能力。 </w:t>
      </w:r>
    </w:p>
    <w:p>
      <w:pPr>
        <w:pStyle w:val="BodyText"/>
        <w:spacing w:line="417" w:lineRule="auto"/>
        <w:ind w:right="163" w:firstLine="559"/>
      </w:pPr>
      <w:r>
        <w:rPr>
          <w:rFonts w:ascii="黑体" w:eastAsia="黑体" w:hint="eastAsia"/>
        </w:rPr>
        <w:t>第二十二条</w:t>
      </w:r>
      <w:r>
        <w:rPr/>
        <w:t> 企业应将预算目标层层分解至各预算责任中心。预算分解应按各责任中心权、责、利相匹配的原则进行，既公平合理， 又有利于企业实现预算目标。 </w:t>
      </w:r>
    </w:p>
    <w:p>
      <w:pPr>
        <w:pStyle w:val="BodyText"/>
        <w:spacing w:line="417" w:lineRule="auto"/>
        <w:ind w:right="256" w:firstLine="559"/>
        <w:jc w:val="both"/>
      </w:pPr>
      <w:r>
        <w:rPr>
          <w:rFonts w:ascii="黑体" w:eastAsia="黑体" w:hint="eastAsia"/>
        </w:rPr>
        <w:t>第二十三条</w:t>
      </w:r>
      <w:r>
        <w:rPr>
          <w:spacing w:val="-1"/>
        </w:rPr>
        <w:t> 企业应通过信息系统展示、会议、报告、调研等多</w:t>
      </w:r>
      <w:r>
        <w:rPr>
          <w:spacing w:val="-11"/>
        </w:rPr>
        <w:t>种途径及形式，及时监督、分析预算执行情况，分析预算执行差异的</w:t>
      </w:r>
      <w:r>
        <w:rPr>
          <w:spacing w:val="-3"/>
        </w:rPr>
        <w:t>原因，提出对策建议。</w:t>
      </w:r>
    </w:p>
    <w:p>
      <w:pPr>
        <w:pStyle w:val="BodyText"/>
        <w:spacing w:line="417" w:lineRule="auto"/>
        <w:ind w:right="256" w:firstLine="559"/>
        <w:jc w:val="both"/>
      </w:pPr>
      <w:r>
        <w:rPr>
          <w:rFonts w:ascii="黑体" w:eastAsia="黑体" w:hint="eastAsia"/>
          <w:spacing w:val="6"/>
        </w:rPr>
        <w:t>第二十四条 </w:t>
      </w:r>
      <w:r>
        <w:rPr>
          <w:spacing w:val="-1"/>
        </w:rPr>
        <w:t>年度预算经批准后，原则上不作调整。企业应在制</w:t>
      </w:r>
      <w:r>
        <w:rPr>
          <w:spacing w:val="-10"/>
        </w:rPr>
        <w:t>度中严格明确预算调整的条件、主体、权限和程序等事宜，当内外战略环境发生重大变化或突发重大事件等，导致预算编制的基本假设发</w:t>
      </w:r>
      <w:r>
        <w:rPr>
          <w:spacing w:val="-3"/>
        </w:rPr>
        <w:t>生重大变化时，可进行预算调整。</w:t>
      </w:r>
      <w:r>
        <w:rPr/>
        <w:t> </w:t>
      </w:r>
    </w:p>
    <w:p>
      <w:pPr>
        <w:pStyle w:val="BodyText"/>
        <w:ind w:left="0"/>
        <w:rPr>
          <w:sz w:val="20"/>
        </w:rPr>
      </w:pPr>
    </w:p>
    <w:p>
      <w:pPr>
        <w:pStyle w:val="BodyText"/>
        <w:spacing w:before="9"/>
        <w:ind w:left="0"/>
        <w:rPr>
          <w:sz w:val="23"/>
        </w:rPr>
      </w:pPr>
    </w:p>
    <w:p>
      <w:pPr>
        <w:pStyle w:val="BodyText"/>
        <w:spacing w:before="62"/>
        <w:ind w:left="829" w:right="962"/>
        <w:jc w:val="center"/>
        <w:rPr>
          <w:rFonts w:ascii="黑体" w:eastAsia="黑体" w:hint="eastAsia"/>
        </w:rPr>
      </w:pPr>
      <w:r>
        <w:rPr>
          <w:rFonts w:ascii="黑体" w:eastAsia="黑体" w:hint="eastAsia"/>
        </w:rPr>
        <w:t>第五章 预算考核</w:t>
      </w:r>
    </w:p>
    <w:p>
      <w:pPr>
        <w:pStyle w:val="BodyText"/>
        <w:spacing w:before="8"/>
        <w:ind w:left="0"/>
        <w:rPr>
          <w:rFonts w:ascii="黑体"/>
          <w:sz w:val="20"/>
        </w:rPr>
      </w:pPr>
    </w:p>
    <w:p>
      <w:pPr>
        <w:pStyle w:val="BodyText"/>
        <w:spacing w:line="417" w:lineRule="auto" w:before="1"/>
        <w:ind w:right="256" w:firstLine="599"/>
      </w:pPr>
      <w:r>
        <w:rPr>
          <w:rFonts w:ascii="黑体" w:eastAsia="黑体" w:hint="eastAsia"/>
        </w:rPr>
        <w:t>第二十五条</w:t>
      </w:r>
      <w:r>
        <w:rPr/>
        <w:t> 预算考核主要针对定量指标进行考核，是企业绩效考核的重要组成部分。 </w:t>
      </w:r>
    </w:p>
    <w:p>
      <w:pPr>
        <w:spacing w:after="0" w:line="417" w:lineRule="auto"/>
        <w:sectPr>
          <w:pgSz w:w="11910" w:h="16840"/>
          <w:pgMar w:header="0" w:footer="1195" w:top="1520" w:bottom="1380" w:left="1680" w:right="1540"/>
        </w:sectPr>
      </w:pPr>
    </w:p>
    <w:p>
      <w:pPr>
        <w:pStyle w:val="BodyText"/>
        <w:spacing w:line="417" w:lineRule="auto" w:before="34"/>
        <w:ind w:left="720" w:right="115"/>
      </w:pPr>
      <w:r>
        <w:rPr>
          <w:rFonts w:ascii="黑体" w:eastAsia="黑体" w:hint="eastAsia"/>
          <w:spacing w:val="-1"/>
        </w:rPr>
        <w:t>第二十六条</w:t>
      </w:r>
      <w:r>
        <w:rPr>
          <w:spacing w:val="-19"/>
        </w:rPr>
        <w:t> 企业应按照公开、公平、公正的原则实施预算考核。</w:t>
      </w:r>
      <w:r>
        <w:rPr>
          <w:rFonts w:ascii="黑体" w:eastAsia="黑体" w:hint="eastAsia"/>
          <w:spacing w:val="1"/>
        </w:rPr>
        <w:t>第二十七条 </w:t>
      </w:r>
      <w:r>
        <w:rPr>
          <w:spacing w:val="-3"/>
        </w:rPr>
        <w:t>企业应建立健全预算考核制度，并将预算考核结果</w:t>
      </w:r>
    </w:p>
    <w:p>
      <w:pPr>
        <w:pStyle w:val="BodyText"/>
        <w:spacing w:line="358" w:lineRule="exact"/>
      </w:pPr>
      <w:r>
        <w:rPr/>
        <w:t>纳入绩效考核体系，切实做到有奖有惩、奖惩分明。 </w:t>
      </w:r>
    </w:p>
    <w:p>
      <w:pPr>
        <w:pStyle w:val="BodyText"/>
        <w:spacing w:before="9"/>
        <w:ind w:left="0"/>
        <w:rPr>
          <w:sz w:val="20"/>
        </w:rPr>
      </w:pPr>
    </w:p>
    <w:p>
      <w:pPr>
        <w:pStyle w:val="BodyText"/>
        <w:spacing w:line="417" w:lineRule="auto" w:before="1"/>
        <w:ind w:right="257" w:firstLine="599"/>
      </w:pPr>
      <w:r>
        <w:rPr>
          <w:rFonts w:ascii="黑体" w:eastAsia="黑体" w:hint="eastAsia"/>
        </w:rPr>
        <w:t>第二十八条</w:t>
      </w:r>
      <w:r>
        <w:rPr/>
        <w:t> 预算考核主体和考核对象的界定应坚持上级考核下级、逐级考核、预算执行与预算考核职务相分离的原则。 </w:t>
      </w:r>
    </w:p>
    <w:p>
      <w:pPr>
        <w:pStyle w:val="BodyText"/>
        <w:spacing w:line="417" w:lineRule="auto"/>
        <w:ind w:right="256" w:firstLine="599"/>
        <w:jc w:val="both"/>
      </w:pPr>
      <w:r>
        <w:rPr>
          <w:rFonts w:ascii="黑体" w:eastAsia="黑体" w:hint="eastAsia"/>
        </w:rPr>
        <w:t>第二十九条</w:t>
      </w:r>
      <w:r>
        <w:rPr>
          <w:spacing w:val="-4"/>
        </w:rPr>
        <w:t> 预算考核以预算完成情况为考核核心，通过预算执</w:t>
      </w:r>
      <w:r>
        <w:rPr>
          <w:spacing w:val="-9"/>
        </w:rPr>
        <w:t>行情况与预算目标的比较，确定差异并查明产生差异的原因，进而据</w:t>
      </w:r>
      <w:r>
        <w:rPr>
          <w:spacing w:val="-11"/>
        </w:rPr>
        <w:t>以评价各责任中心的工作业绩，并通过与相应的激励制度挂钩，促进</w:t>
      </w:r>
      <w:r>
        <w:rPr>
          <w:spacing w:val="-7"/>
        </w:rPr>
        <w:t>其与预算目标相一致。 </w:t>
      </w:r>
    </w:p>
    <w:p>
      <w:pPr>
        <w:pStyle w:val="BodyText"/>
        <w:ind w:left="0"/>
        <w:rPr>
          <w:sz w:val="20"/>
        </w:rPr>
      </w:pPr>
    </w:p>
    <w:p>
      <w:pPr>
        <w:pStyle w:val="BodyText"/>
        <w:spacing w:before="10"/>
        <w:ind w:left="0"/>
        <w:rPr>
          <w:sz w:val="23"/>
        </w:rPr>
      </w:pPr>
    </w:p>
    <w:p>
      <w:pPr>
        <w:pStyle w:val="BodyText"/>
        <w:spacing w:line="417" w:lineRule="auto" w:before="62"/>
        <w:ind w:left="679" w:right="3243" w:firstLine="2614"/>
        <w:rPr>
          <w:b/>
        </w:rPr>
      </w:pPr>
      <w:r>
        <w:rPr>
          <w:rFonts w:ascii="黑体" w:eastAsia="黑体" w:hint="eastAsia"/>
        </w:rPr>
        <w:t>第六章 附 则第三十条</w:t>
      </w:r>
      <w:r>
        <w:rPr/>
        <w:t> 本指引由财政部负责解释。</w:t>
      </w:r>
      <w:r>
        <w:rPr>
          <w:b/>
          <w:w w:val="99"/>
        </w:rPr>
        <w:t> </w:t>
      </w:r>
    </w:p>
    <w:p>
      <w:pPr>
        <w:pStyle w:val="BodyText"/>
        <w:ind w:left="4272"/>
      </w:pPr>
      <w:r>
        <w:rPr>
          <w:w w:val="100"/>
        </w:rPr>
        <w:t> </w:t>
      </w:r>
    </w:p>
    <w:p>
      <w:pPr>
        <w:spacing w:after="0"/>
        <w:sectPr>
          <w:pgSz w:w="11910" w:h="16840"/>
          <w:pgMar w:header="0" w:footer="1195" w:top="1520" w:bottom="1380" w:left="1680" w:right="1540"/>
        </w:sect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7"/>
        </w:rPr>
      </w:pPr>
    </w:p>
    <w:p>
      <w:pPr>
        <w:pStyle w:val="Heading1"/>
        <w:spacing w:before="50"/>
      </w:pPr>
      <w:r>
        <w:rPr/>
        <w:t>管理会计应用指引第 201 号</w:t>
      </w:r>
      <w:r>
        <w:rPr>
          <w:rFonts w:ascii="黑体" w:hAnsi="黑体" w:eastAsia="黑体" w:hint="eastAsia"/>
          <w:b w:val="0"/>
        </w:rPr>
        <w:t>——</w:t>
      </w:r>
      <w:r>
        <w:rPr/>
        <w:t>滚动预算</w:t>
      </w:r>
      <w:r>
        <w:rPr>
          <w:w w:val="99"/>
        </w:rPr>
        <w:t> </w:t>
      </w:r>
    </w:p>
    <w:p>
      <w:pPr>
        <w:pStyle w:val="BodyText"/>
        <w:ind w:left="0"/>
        <w:rPr>
          <w:b/>
          <w:sz w:val="20"/>
        </w:rPr>
      </w:pPr>
    </w:p>
    <w:p>
      <w:pPr>
        <w:pStyle w:val="BodyText"/>
        <w:ind w:left="0"/>
        <w:rPr>
          <w:b/>
          <w:sz w:val="20"/>
        </w:rPr>
      </w:pPr>
    </w:p>
    <w:p>
      <w:pPr>
        <w:pStyle w:val="BodyText"/>
        <w:spacing w:before="7"/>
        <w:ind w:left="0"/>
        <w:rPr>
          <w:b/>
          <w:sz w:val="20"/>
        </w:rPr>
      </w:pPr>
    </w:p>
    <w:p>
      <w:pPr>
        <w:pStyle w:val="BodyText"/>
        <w:spacing w:before="62"/>
        <w:ind w:left="827" w:right="962"/>
        <w:jc w:val="center"/>
        <w:rPr>
          <w:rFonts w:ascii="黑体" w:eastAsia="黑体" w:hint="eastAsia"/>
        </w:rPr>
      </w:pPr>
      <w:r>
        <w:rPr>
          <w:rFonts w:ascii="黑体" w:eastAsia="黑体" w:hint="eastAsia"/>
        </w:rPr>
        <w:t>第一章 总 则</w:t>
      </w:r>
    </w:p>
    <w:p>
      <w:pPr>
        <w:pStyle w:val="BodyText"/>
        <w:spacing w:before="9"/>
        <w:ind w:left="0"/>
        <w:rPr>
          <w:rFonts w:ascii="黑体"/>
          <w:sz w:val="20"/>
        </w:rPr>
      </w:pPr>
    </w:p>
    <w:p>
      <w:pPr>
        <w:pStyle w:val="BodyText"/>
        <w:spacing w:line="417" w:lineRule="auto"/>
        <w:ind w:right="256" w:firstLine="592"/>
        <w:jc w:val="both"/>
      </w:pPr>
      <w:r>
        <w:rPr>
          <w:rFonts w:ascii="黑体" w:eastAsia="黑体" w:hint="eastAsia"/>
        </w:rPr>
        <w:t>第一条</w:t>
      </w:r>
      <w:r>
        <w:rPr>
          <w:spacing w:val="-3"/>
        </w:rPr>
        <w:t> 滚动预算，是指企业根据上一期预算执行情况和新的预</w:t>
      </w:r>
      <w:r>
        <w:rPr>
          <w:spacing w:val="-12"/>
        </w:rPr>
        <w:t>测结果，按既定的预算编制周期和滚动频率，对原有的预算方案进行</w:t>
      </w:r>
      <w:r>
        <w:rPr>
          <w:spacing w:val="-3"/>
        </w:rPr>
        <w:t>调整和补充，逐期滚动，持续推进的预算编制方法。 </w:t>
      </w:r>
    </w:p>
    <w:p>
      <w:pPr>
        <w:pStyle w:val="BodyText"/>
        <w:spacing w:line="358" w:lineRule="exact"/>
        <w:ind w:left="713"/>
      </w:pPr>
      <w:r>
        <w:rPr/>
        <w:t>预算编制周期，是指每次预算编制所涵盖的时间跨度。 </w:t>
      </w:r>
    </w:p>
    <w:p>
      <w:pPr>
        <w:pStyle w:val="BodyText"/>
        <w:spacing w:before="9"/>
        <w:ind w:left="0"/>
        <w:rPr>
          <w:sz w:val="20"/>
        </w:rPr>
      </w:pPr>
    </w:p>
    <w:p>
      <w:pPr>
        <w:pStyle w:val="BodyText"/>
        <w:spacing w:line="417" w:lineRule="auto"/>
        <w:ind w:right="115" w:firstLine="592"/>
      </w:pPr>
      <w:r>
        <w:rPr>
          <w:spacing w:val="-19"/>
        </w:rPr>
        <w:t>滚动频率，是指调整和补充预算的时间间隔，一般以月度、季度、</w:t>
      </w:r>
      <w:r>
        <w:rPr>
          <w:spacing w:val="-2"/>
        </w:rPr>
        <w:t>年度等为滚动频率。 </w:t>
      </w:r>
    </w:p>
    <w:p>
      <w:pPr>
        <w:pStyle w:val="BodyText"/>
        <w:spacing w:line="417" w:lineRule="auto"/>
        <w:ind w:right="257" w:firstLine="559"/>
      </w:pPr>
      <w:r>
        <w:rPr>
          <w:rFonts w:ascii="黑体" w:eastAsia="黑体" w:hint="eastAsia"/>
        </w:rPr>
        <w:t>第二条</w:t>
      </w:r>
      <w:r>
        <w:rPr/>
        <w:t> </w:t>
      </w:r>
      <w:r>
        <w:rPr>
          <w:spacing w:val="-1"/>
        </w:rPr>
        <w:t>滚动预算一般由中期滚动预算和短期滚动预算组成。中</w:t>
      </w:r>
      <w:r>
        <w:rPr>
          <w:spacing w:val="-7"/>
        </w:rPr>
        <w:t>期滚动预算的预算编制周期通常为 </w:t>
      </w:r>
      <w:r>
        <w:rPr/>
        <w:t>3</w:t>
      </w:r>
      <w:r>
        <w:rPr>
          <w:spacing w:val="-34"/>
        </w:rPr>
        <w:t> 年或 </w:t>
      </w:r>
      <w:r>
        <w:rPr/>
        <w:t>5</w:t>
      </w:r>
      <w:r>
        <w:rPr>
          <w:spacing w:val="-18"/>
        </w:rPr>
        <w:t> 年，以年度作为预算滚动</w:t>
      </w:r>
    </w:p>
    <w:p>
      <w:pPr>
        <w:pStyle w:val="BodyText"/>
        <w:spacing w:line="417" w:lineRule="auto"/>
        <w:ind w:right="257"/>
      </w:pPr>
      <w:r>
        <w:rPr>
          <w:spacing w:val="-12"/>
        </w:rPr>
        <w:t>频率。短期滚动预算通常以 </w:t>
      </w:r>
      <w:r>
        <w:rPr/>
        <w:t>1</w:t>
      </w:r>
      <w:r>
        <w:rPr>
          <w:spacing w:val="-14"/>
        </w:rPr>
        <w:t> 年为预算编制周期，以月度、季度作为</w:t>
      </w:r>
      <w:r>
        <w:rPr>
          <w:spacing w:val="-9"/>
        </w:rPr>
        <w:t>预算滚动频率。</w:t>
      </w:r>
      <w:r>
        <w:rPr/>
        <w:t> </w:t>
      </w:r>
    </w:p>
    <w:p>
      <w:pPr>
        <w:pStyle w:val="BodyText"/>
        <w:ind w:left="0"/>
        <w:rPr>
          <w:sz w:val="20"/>
        </w:rPr>
      </w:pPr>
    </w:p>
    <w:p>
      <w:pPr>
        <w:pStyle w:val="BodyText"/>
        <w:spacing w:before="12"/>
        <w:ind w:left="0"/>
        <w:rPr>
          <w:sz w:val="23"/>
        </w:rPr>
      </w:pPr>
    </w:p>
    <w:p>
      <w:pPr>
        <w:pStyle w:val="BodyText"/>
        <w:spacing w:before="61"/>
        <w:ind w:left="829" w:right="962"/>
        <w:jc w:val="center"/>
        <w:rPr>
          <w:rFonts w:ascii="黑体" w:eastAsia="黑体" w:hint="eastAsia"/>
        </w:rPr>
      </w:pPr>
      <w:r>
        <w:rPr>
          <w:rFonts w:ascii="黑体" w:eastAsia="黑体" w:hint="eastAsia"/>
        </w:rPr>
        <w:t>第二章 应用环境</w:t>
      </w:r>
    </w:p>
    <w:p>
      <w:pPr>
        <w:pStyle w:val="BodyText"/>
        <w:spacing w:before="9"/>
        <w:ind w:left="0"/>
        <w:rPr>
          <w:rFonts w:ascii="黑体"/>
          <w:sz w:val="20"/>
        </w:rPr>
      </w:pPr>
    </w:p>
    <w:p>
      <w:pPr>
        <w:pStyle w:val="BodyText"/>
        <w:spacing w:line="417" w:lineRule="auto"/>
        <w:ind w:right="256" w:firstLine="559"/>
      </w:pPr>
      <w:r>
        <w:rPr>
          <w:rFonts w:ascii="黑体" w:hAnsi="黑体" w:eastAsia="黑体" w:hint="eastAsia"/>
        </w:rPr>
        <w:t>第三条</w:t>
      </w:r>
      <w:r>
        <w:rPr/>
        <w:t> 企业应用滚动预算工具方法，应遵循《管理会计应用指引第200号——预算管理》中对应用环境的一般要求。 </w:t>
      </w:r>
    </w:p>
    <w:p>
      <w:pPr>
        <w:pStyle w:val="BodyText"/>
        <w:spacing w:line="417" w:lineRule="auto"/>
        <w:ind w:right="257" w:firstLine="559"/>
      </w:pPr>
      <w:r>
        <w:rPr>
          <w:rFonts w:ascii="黑体" w:eastAsia="黑体" w:hint="eastAsia"/>
        </w:rPr>
        <w:t>第四条</w:t>
      </w:r>
      <w:r>
        <w:rPr/>
        <w:t> 企业应用滚动预算工具方法，应具备丰富的预算管理经验和能力。 </w:t>
      </w:r>
    </w:p>
    <w:p>
      <w:pPr>
        <w:pStyle w:val="BodyText"/>
        <w:ind w:left="679"/>
      </w:pPr>
      <w:r>
        <w:rPr>
          <w:rFonts w:ascii="黑体" w:eastAsia="黑体" w:hint="eastAsia"/>
        </w:rPr>
        <w:t>第五条</w:t>
      </w:r>
      <w:r>
        <w:rPr/>
        <w:t> 企业应建立先进、科学的信息系统，及时获取充足、可</w:t>
      </w:r>
    </w:p>
    <w:p>
      <w:pPr>
        <w:spacing w:after="0"/>
        <w:sectPr>
          <w:pgSz w:w="11910" w:h="16840"/>
          <w:pgMar w:header="0" w:footer="1195" w:top="1580" w:bottom="1380" w:left="1680" w:right="1540"/>
        </w:sectPr>
      </w:pPr>
    </w:p>
    <w:p>
      <w:pPr>
        <w:pStyle w:val="BodyText"/>
        <w:spacing w:before="34"/>
      </w:pPr>
      <w:r>
        <w:rPr/>
        <w:t>靠的外部市场数据和企业内部数据，以满足编制滚动预算的需要。 </w:t>
      </w:r>
    </w:p>
    <w:p>
      <w:pPr>
        <w:pStyle w:val="BodyText"/>
        <w:spacing w:before="9"/>
        <w:ind w:left="0"/>
        <w:rPr>
          <w:sz w:val="20"/>
        </w:rPr>
      </w:pPr>
    </w:p>
    <w:p>
      <w:pPr>
        <w:pStyle w:val="BodyText"/>
        <w:spacing w:line="417" w:lineRule="auto" w:before="1"/>
        <w:ind w:right="301" w:firstLine="559"/>
      </w:pPr>
      <w:r>
        <w:rPr>
          <w:rFonts w:ascii="黑体" w:eastAsia="黑体" w:hint="eastAsia"/>
        </w:rPr>
        <w:t>第六条</w:t>
      </w:r>
      <w:r>
        <w:rPr/>
        <w:t> 企业应重视预算编制基础数据，统一财务和非财务信息标准，确保预算编制以可靠、翔实、完整的基础数据为依据。 </w:t>
      </w:r>
    </w:p>
    <w:p>
      <w:pPr>
        <w:pStyle w:val="BodyText"/>
        <w:ind w:left="0"/>
        <w:rPr>
          <w:sz w:val="20"/>
        </w:rPr>
      </w:pPr>
    </w:p>
    <w:p>
      <w:pPr>
        <w:pStyle w:val="BodyText"/>
        <w:spacing w:before="11"/>
        <w:ind w:left="0"/>
        <w:rPr>
          <w:sz w:val="23"/>
        </w:rPr>
      </w:pPr>
    </w:p>
    <w:p>
      <w:pPr>
        <w:pStyle w:val="BodyText"/>
        <w:spacing w:before="61"/>
        <w:ind w:left="829" w:right="962"/>
        <w:jc w:val="center"/>
        <w:rPr>
          <w:rFonts w:ascii="黑体" w:eastAsia="黑体" w:hint="eastAsia"/>
        </w:rPr>
      </w:pPr>
      <w:r>
        <w:rPr>
          <w:rFonts w:ascii="黑体" w:eastAsia="黑体" w:hint="eastAsia"/>
        </w:rPr>
        <w:t>第三章 应用程序</w:t>
      </w:r>
    </w:p>
    <w:p>
      <w:pPr>
        <w:pStyle w:val="BodyText"/>
        <w:spacing w:before="10"/>
        <w:ind w:left="0"/>
        <w:rPr>
          <w:rFonts w:ascii="黑体"/>
          <w:sz w:val="20"/>
        </w:rPr>
      </w:pPr>
    </w:p>
    <w:p>
      <w:pPr>
        <w:pStyle w:val="BodyText"/>
        <w:spacing w:line="417" w:lineRule="auto"/>
        <w:ind w:right="114" w:firstLine="559"/>
        <w:jc w:val="both"/>
      </w:pPr>
      <w:r>
        <w:rPr>
          <w:rFonts w:ascii="黑体" w:hAnsi="黑体" w:eastAsia="黑体" w:hint="eastAsia"/>
        </w:rPr>
        <w:t>第七条</w:t>
      </w:r>
      <w:r>
        <w:rPr>
          <w:spacing w:val="-15"/>
        </w:rPr>
        <w:t> 企业应遵循《管理会计应用指引第 </w:t>
      </w:r>
      <w:r>
        <w:rPr/>
        <w:t>200</w:t>
      </w:r>
      <w:r>
        <w:rPr>
          <w:spacing w:val="-11"/>
        </w:rPr>
        <w:t> 号——预算管理》</w:t>
      </w:r>
      <w:r>
        <w:rPr>
          <w:spacing w:val="-3"/>
        </w:rPr>
        <w:t>中的应用程序实施滚动预算管理。</w:t>
      </w:r>
      <w:r>
        <w:rPr/>
        <w:t> </w:t>
      </w:r>
    </w:p>
    <w:p>
      <w:pPr>
        <w:pStyle w:val="BodyText"/>
        <w:spacing w:line="417" w:lineRule="auto"/>
        <w:ind w:right="255" w:firstLine="559"/>
        <w:jc w:val="both"/>
      </w:pPr>
      <w:r>
        <w:rPr>
          <w:rFonts w:ascii="黑体" w:eastAsia="黑体" w:hint="eastAsia"/>
        </w:rPr>
        <w:t>第八条</w:t>
      </w:r>
      <w:r>
        <w:rPr>
          <w:spacing w:val="-1"/>
        </w:rPr>
        <w:t> 企业应研究外部环境变化，分析行业特点、战略目标和</w:t>
      </w:r>
      <w:r>
        <w:rPr>
          <w:spacing w:val="-11"/>
        </w:rPr>
        <w:t>业务性质，结合企业管理基础和信息化水平，确定预算编制的周期和</w:t>
      </w:r>
      <w:r>
        <w:rPr>
          <w:spacing w:val="-2"/>
        </w:rPr>
        <w:t>预算滚动的频率。 </w:t>
      </w:r>
    </w:p>
    <w:p>
      <w:pPr>
        <w:pStyle w:val="BodyText"/>
        <w:spacing w:line="417" w:lineRule="auto"/>
        <w:ind w:right="303" w:firstLine="559"/>
      </w:pPr>
      <w:r>
        <w:rPr>
          <w:rFonts w:ascii="黑体" w:eastAsia="黑体" w:hint="eastAsia"/>
        </w:rPr>
        <w:t>第九条</w:t>
      </w:r>
      <w:r>
        <w:rPr/>
        <w:t> 企业应遵循重要性原则和成本效益原则，结合业务性质和管理要求，确定滚动预算的编制内容。 </w:t>
      </w:r>
    </w:p>
    <w:p>
      <w:pPr>
        <w:pStyle w:val="BodyText"/>
        <w:spacing w:line="417" w:lineRule="auto"/>
        <w:ind w:right="256" w:firstLine="559"/>
      </w:pPr>
      <w:r>
        <w:rPr>
          <w:spacing w:val="-9"/>
        </w:rPr>
        <w:t>企业通常可以选择编制业务滚动预算，对于管理基础好、信息化</w:t>
      </w:r>
      <w:r>
        <w:rPr>
          <w:spacing w:val="-3"/>
        </w:rPr>
        <w:t>程度高的企业，还可选择编制资本滚动预算和财务滚动预算。 </w:t>
      </w:r>
    </w:p>
    <w:p>
      <w:pPr>
        <w:pStyle w:val="BodyText"/>
        <w:spacing w:line="417" w:lineRule="auto"/>
        <w:ind w:right="253" w:firstLine="559"/>
        <w:jc w:val="both"/>
      </w:pPr>
      <w:r>
        <w:rPr>
          <w:rFonts w:ascii="黑体" w:eastAsia="黑体" w:hint="eastAsia"/>
        </w:rPr>
        <w:t>第十条</w:t>
      </w:r>
      <w:r>
        <w:rPr>
          <w:spacing w:val="-3"/>
        </w:rPr>
        <w:t> 企业应以战略目标和业务计划为依据，并根据上一期预</w:t>
      </w:r>
      <w:r>
        <w:rPr>
          <w:spacing w:val="-10"/>
        </w:rPr>
        <w:t>算执行情况和新的预测信息，经综合平衡和结构优化，作为下一期滚</w:t>
      </w:r>
      <w:r>
        <w:rPr>
          <w:spacing w:val="-3"/>
        </w:rPr>
        <w:t>动预算的编制基础。 </w:t>
      </w:r>
    </w:p>
    <w:p>
      <w:pPr>
        <w:pStyle w:val="BodyText"/>
        <w:spacing w:line="417" w:lineRule="auto"/>
        <w:ind w:right="303" w:firstLine="559"/>
      </w:pPr>
      <w:r>
        <w:rPr>
          <w:rFonts w:ascii="黑体" w:eastAsia="黑体" w:hint="eastAsia"/>
        </w:rPr>
        <w:t>第十一条</w:t>
      </w:r>
      <w:r>
        <w:rPr/>
        <w:t> 企业应以战略目标和业务计划为基础，研究滚动预算所涉及的外部环境变化和内部重要事项，测算并提出预算方案。 </w:t>
      </w:r>
    </w:p>
    <w:p>
      <w:pPr>
        <w:pStyle w:val="BodyText"/>
        <w:spacing w:line="417" w:lineRule="auto"/>
        <w:ind w:right="256" w:firstLine="559"/>
        <w:jc w:val="both"/>
      </w:pPr>
      <w:r>
        <w:rPr>
          <w:rFonts w:ascii="黑体" w:eastAsia="黑体" w:hint="eastAsia"/>
        </w:rPr>
        <w:t>第十二条</w:t>
      </w:r>
      <w:r>
        <w:rPr>
          <w:spacing w:val="-3"/>
        </w:rPr>
        <w:t> 企业实行中期滚动预算的，应在中期预算方案的框架</w:t>
      </w:r>
      <w:r>
        <w:rPr>
          <w:spacing w:val="-10"/>
        </w:rPr>
        <w:t>内滚动编制年度预算。第一年的预算约束对应年度的预算，后续期间</w:t>
      </w:r>
      <w:r>
        <w:rPr>
          <w:spacing w:val="-7"/>
        </w:rPr>
        <w:t>的预算指引后续对应年度的预算。</w:t>
      </w:r>
      <w:r>
        <w:rPr/>
        <w:t> </w:t>
      </w:r>
    </w:p>
    <w:p>
      <w:pPr>
        <w:spacing w:after="0" w:line="417" w:lineRule="auto"/>
        <w:jc w:val="both"/>
        <w:sectPr>
          <w:pgSz w:w="11910" w:h="16840"/>
          <w:pgMar w:header="0" w:footer="1195" w:top="1520" w:bottom="1380" w:left="1680" w:right="1540"/>
        </w:sectPr>
      </w:pPr>
    </w:p>
    <w:p>
      <w:pPr>
        <w:pStyle w:val="BodyText"/>
        <w:spacing w:line="417" w:lineRule="auto" w:before="34"/>
        <w:ind w:right="301" w:firstLine="559"/>
        <w:jc w:val="right"/>
      </w:pPr>
      <w:r>
        <w:rPr>
          <w:rFonts w:ascii="黑体" w:eastAsia="黑体" w:hint="eastAsia"/>
        </w:rPr>
        <w:t>第十三条 </w:t>
      </w:r>
      <w:r>
        <w:rPr/>
        <w:t>短期滚动预算服务于年度预算目标的实施。企业实行短期滚动预算的，应以年度预算为基础，分解编制短期滚动预算。</w:t>
      </w:r>
      <w:r>
        <w:rPr>
          <w:rFonts w:ascii="黑体" w:eastAsia="黑体" w:hint="eastAsia"/>
        </w:rPr>
        <w:t>第十四条</w:t>
      </w:r>
      <w:r>
        <w:rPr/>
        <w:t> 企业应分析影响预算目标的各种动因之间的关系，建</w:t>
      </w:r>
    </w:p>
    <w:p>
      <w:pPr>
        <w:pStyle w:val="BodyText"/>
        <w:spacing w:line="358" w:lineRule="exact"/>
      </w:pPr>
      <w:r>
        <w:rPr/>
        <w:t>立预算模型，生成预算编制方案。 </w:t>
      </w:r>
    </w:p>
    <w:p>
      <w:pPr>
        <w:pStyle w:val="BodyText"/>
        <w:spacing w:before="9"/>
        <w:ind w:left="0"/>
        <w:rPr>
          <w:sz w:val="20"/>
        </w:rPr>
      </w:pPr>
    </w:p>
    <w:p>
      <w:pPr>
        <w:pStyle w:val="BodyText"/>
        <w:spacing w:line="417" w:lineRule="auto"/>
        <w:ind w:right="258" w:firstLine="559"/>
        <w:jc w:val="both"/>
      </w:pPr>
      <w:r>
        <w:rPr>
          <w:rFonts w:ascii="黑体" w:eastAsia="黑体" w:hint="eastAsia"/>
        </w:rPr>
        <w:t>第十五条</w:t>
      </w:r>
      <w:r>
        <w:rPr>
          <w:spacing w:val="-3"/>
        </w:rPr>
        <w:t> 企业应对比分析上一期的预算信息和预算执行情况， </w:t>
      </w:r>
      <w:r>
        <w:rPr>
          <w:spacing w:val="-10"/>
        </w:rPr>
        <w:t>结合新的内外部环境预测信息，对下一期预算进行调整和修正，持续</w:t>
      </w:r>
      <w:r>
        <w:rPr>
          <w:spacing w:val="-3"/>
        </w:rPr>
        <w:t>进行预算的滚动编制。 </w:t>
      </w:r>
    </w:p>
    <w:p>
      <w:pPr>
        <w:pStyle w:val="BodyText"/>
        <w:spacing w:line="417" w:lineRule="auto"/>
        <w:ind w:right="303" w:firstLine="559"/>
      </w:pPr>
      <w:r>
        <w:rPr>
          <w:rFonts w:ascii="黑体" w:eastAsia="黑体" w:hint="eastAsia"/>
        </w:rPr>
        <w:t>第十六条</w:t>
      </w:r>
      <w:r>
        <w:rPr/>
        <w:t> 企业可借助数据仓库等信息技术的支撑，实现预算编制方案的快速生成，减少预算滚动编制的工作量。 </w:t>
      </w:r>
    </w:p>
    <w:p>
      <w:pPr>
        <w:pStyle w:val="BodyText"/>
        <w:spacing w:line="417" w:lineRule="auto"/>
        <w:ind w:right="303" w:firstLine="559"/>
      </w:pPr>
      <w:r>
        <w:rPr>
          <w:rFonts w:ascii="黑体" w:eastAsia="黑体" w:hint="eastAsia"/>
        </w:rPr>
        <w:t>第十七条</w:t>
      </w:r>
      <w:r>
        <w:rPr/>
        <w:t> 企业应根据预算滚动编制结果，调整资源配置和管理要求。 </w:t>
      </w:r>
    </w:p>
    <w:p>
      <w:pPr>
        <w:pStyle w:val="BodyText"/>
        <w:ind w:left="0"/>
        <w:rPr>
          <w:sz w:val="20"/>
        </w:rPr>
      </w:pPr>
    </w:p>
    <w:p>
      <w:pPr>
        <w:pStyle w:val="BodyText"/>
        <w:spacing w:before="11"/>
        <w:ind w:left="0"/>
        <w:rPr>
          <w:sz w:val="23"/>
        </w:rPr>
      </w:pPr>
    </w:p>
    <w:p>
      <w:pPr>
        <w:pStyle w:val="BodyText"/>
        <w:spacing w:before="62"/>
        <w:ind w:left="827" w:right="962"/>
        <w:jc w:val="center"/>
        <w:rPr>
          <w:rFonts w:ascii="黑体" w:eastAsia="黑体" w:hint="eastAsia"/>
        </w:rPr>
      </w:pPr>
      <w:r>
        <w:rPr>
          <w:rFonts w:ascii="黑体" w:eastAsia="黑体" w:hint="eastAsia"/>
        </w:rPr>
        <w:t>第四章 工具方法评价</w:t>
      </w:r>
    </w:p>
    <w:p>
      <w:pPr>
        <w:pStyle w:val="BodyText"/>
        <w:spacing w:before="9"/>
        <w:ind w:left="0"/>
        <w:rPr>
          <w:rFonts w:ascii="黑体"/>
          <w:sz w:val="20"/>
        </w:rPr>
      </w:pPr>
    </w:p>
    <w:p>
      <w:pPr>
        <w:pStyle w:val="BodyText"/>
        <w:spacing w:line="417" w:lineRule="auto"/>
        <w:ind w:right="256" w:firstLine="559"/>
        <w:jc w:val="both"/>
      </w:pPr>
      <w:r>
        <w:rPr>
          <w:rFonts w:ascii="黑体" w:eastAsia="黑体" w:hint="eastAsia"/>
        </w:rPr>
        <w:t>第十八条</w:t>
      </w:r>
      <w:r>
        <w:rPr>
          <w:spacing w:val="-3"/>
        </w:rPr>
        <w:t> 滚动预算的主要优点是：通过持续滚动预算编制、逐</w:t>
      </w:r>
      <w:r>
        <w:rPr>
          <w:spacing w:val="-11"/>
        </w:rPr>
        <w:t>期滚动管理，实现动态反映市场、建立跨期综合平衡，从而有效指导</w:t>
      </w:r>
      <w:r>
        <w:rPr>
          <w:spacing w:val="-7"/>
        </w:rPr>
        <w:t>企业营运，强化预算的决策与控制职能。 </w:t>
      </w:r>
    </w:p>
    <w:p>
      <w:pPr>
        <w:pStyle w:val="BodyText"/>
        <w:spacing w:line="417" w:lineRule="auto"/>
        <w:ind w:right="254" w:firstLine="559"/>
        <w:jc w:val="both"/>
      </w:pPr>
      <w:r>
        <w:rPr>
          <w:rFonts w:ascii="黑体" w:eastAsia="黑体" w:hint="eastAsia"/>
        </w:rPr>
        <w:t>第十九条</w:t>
      </w:r>
      <w:r>
        <w:rPr>
          <w:spacing w:val="-3"/>
        </w:rPr>
        <w:t> 滚动预算的主要缺点是：一是预算滚动的频率越高， </w:t>
      </w:r>
      <w:r>
        <w:rPr>
          <w:spacing w:val="-11"/>
        </w:rPr>
        <w:t>对预算沟通的要求越高，预算编制的工作量越大；二是过高的滚动频</w:t>
      </w:r>
      <w:r>
        <w:rPr>
          <w:spacing w:val="-3"/>
        </w:rPr>
        <w:t>率容易增加管理层的不稳定感，导致预算执行者无所适从。 </w:t>
      </w:r>
    </w:p>
    <w:p>
      <w:pPr>
        <w:pStyle w:val="BodyText"/>
        <w:ind w:left="0"/>
      </w:pPr>
    </w:p>
    <w:p>
      <w:pPr>
        <w:pStyle w:val="BodyText"/>
        <w:spacing w:before="8"/>
        <w:ind w:left="0"/>
        <w:rPr>
          <w:sz w:val="20"/>
        </w:rPr>
      </w:pPr>
    </w:p>
    <w:p>
      <w:pPr>
        <w:pStyle w:val="BodyText"/>
        <w:spacing w:line="417" w:lineRule="auto"/>
        <w:ind w:left="679" w:right="3382" w:firstLine="2614"/>
      </w:pPr>
      <w:r>
        <w:rPr>
          <w:rFonts w:ascii="黑体" w:eastAsia="黑体" w:hint="eastAsia"/>
        </w:rPr>
        <w:t>第五章 附  则第二十条</w:t>
      </w:r>
      <w:r>
        <w:rPr/>
        <w:t> 本指引由财政部负责解释。</w:t>
      </w:r>
    </w:p>
    <w:sectPr>
      <w:pgSz w:w="11910" w:h="16840"/>
      <w:pgMar w:header="0" w:footer="1195" w:top="1520" w:bottom="138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9.570007pt;margin-top:771.169983pt;width:19.2pt;height:11pt;mso-position-horizontal-relative:page;mso-position-vertical-relative:page;z-index:-15817728" type="#_x0000_t202" filled="false" stroked="false">
          <v:textbox inset="0,0,0,0">
            <w:txbxContent>
              <w:p>
                <w:pPr>
                  <w:spacing w:line="203" w:lineRule="exact" w:before="0"/>
                  <w:ind w:left="20" w:right="0" w:firstLine="0"/>
                  <w:jc w:val="left"/>
                  <w:rPr>
                    <w:rFonts w:ascii="Calibri"/>
                    <w:sz w:val="18"/>
                  </w:rPr>
                </w:pPr>
                <w:r>
                  <w:rPr>
                    <w:rFonts w:ascii="Calibri"/>
                    <w:sz w:val="18"/>
                  </w:rPr>
                  <w:t>- </w:t>
                </w:r>
                <w:r>
                  <w:rPr/>
                  <w:fldChar w:fldCharType="begin"/>
                </w:r>
                <w:r>
                  <w:rPr>
                    <w:rFonts w:ascii="Calibri"/>
                    <w:sz w:val="18"/>
                  </w:rPr>
                  <w:instrText> PAGE </w:instrText>
                </w:r>
                <w:r>
                  <w:rPr/>
                  <w:fldChar w:fldCharType="separate"/>
                </w:r>
                <w:r>
                  <w:rPr/>
                  <w:t>1</w:t>
                </w:r>
                <w:r>
                  <w:rPr/>
                  <w:fldChar w:fldCharType="end"/>
                </w:r>
                <w:r>
                  <w:rPr>
                    <w:rFonts w:ascii="Calibri"/>
                    <w:sz w:val="18"/>
                  </w:rPr>
                  <w:t>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ind w:left="120"/>
    </w:pPr>
    <w:rPr>
      <w:rFonts w:ascii="宋体" w:hAnsi="宋体" w:eastAsia="宋体" w:cs="宋体"/>
      <w:sz w:val="28"/>
      <w:szCs w:val="28"/>
      <w:lang w:val="en-US" w:eastAsia="zh-CN" w:bidi="ar-SA"/>
    </w:rPr>
  </w:style>
  <w:style w:styleId="Heading1" w:type="paragraph">
    <w:name w:val="Heading 1"/>
    <w:basedOn w:val="Normal"/>
    <w:uiPriority w:val="1"/>
    <w:qFormat/>
    <w:pPr>
      <w:ind w:left="1001" w:right="962"/>
      <w:jc w:val="center"/>
      <w:outlineLvl w:val="1"/>
    </w:pPr>
    <w:rPr>
      <w:rFonts w:ascii="宋体" w:hAnsi="宋体" w:eastAsia="宋体" w:cs="宋体"/>
      <w:b/>
      <w:bCs/>
      <w:sz w:val="36"/>
      <w:szCs w:val="36"/>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xuejie</dc:creator>
  <dc:title>附件2：</dc:title>
  <dcterms:created xsi:type="dcterms:W3CDTF">2022-02-11T13:13:01Z</dcterms:created>
  <dcterms:modified xsi:type="dcterms:W3CDTF">2022-02-11T13:13:01Z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Creator">
    <vt:lpwstr>Microsoft® Word 2010</vt:lpwstr>
  </property>
  <property fmtid="{D5CDD505-2E9C-101B-9397-08002B2CF9AE}" pid="4" name="LastSaved">
    <vt:filetime>2022-02-11T00:00:00Z</vt:filetime>
  </property>
</Properties>
</file>