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34"/>
        <w:ind w:left="120"/>
        <w:rPr>
          <w:rFonts w:ascii="黑体" w:eastAsia="黑体" w:hint="eastAsia"/>
        </w:rPr>
      </w:pPr>
      <w:r>
        <w:rPr>
          <w:rFonts w:ascii="黑体" w:eastAsia="黑体" w:hint="eastAsia"/>
        </w:rPr>
        <w:t>附件 4：</w:t>
      </w:r>
    </w:p>
    <w:p>
      <w:pPr>
        <w:pStyle w:val="BodyText"/>
        <w:rPr>
          <w:rFonts w:ascii="黑体"/>
          <w:sz w:val="20"/>
        </w:rPr>
      </w:pPr>
    </w:p>
    <w:p>
      <w:pPr>
        <w:pStyle w:val="BodyText"/>
        <w:rPr>
          <w:rFonts w:ascii="黑体"/>
          <w:sz w:val="20"/>
        </w:rPr>
      </w:pPr>
    </w:p>
    <w:p>
      <w:pPr>
        <w:pStyle w:val="BodyText"/>
        <w:spacing w:before="7"/>
        <w:rPr>
          <w:rFonts w:ascii="黑体"/>
          <w:sz w:val="21"/>
        </w:rPr>
      </w:pPr>
    </w:p>
    <w:p>
      <w:pPr>
        <w:pStyle w:val="Heading1"/>
        <w:ind w:left="1184"/>
      </w:pPr>
      <w:r>
        <w:rPr/>
        <w:t>管理会计应用指引第400号</w:t>
      </w:r>
      <w:r>
        <w:rPr>
          <w:rFonts w:ascii="黑体" w:hAnsi="黑体" w:eastAsia="黑体" w:hint="eastAsia"/>
          <w:b w:val="0"/>
        </w:rPr>
        <w:t>——</w:t>
      </w:r>
      <w:r>
        <w:rPr/>
        <w:t>营运管理</w:t>
      </w:r>
      <w:r>
        <w:rPr>
          <w:w w:val="99"/>
        </w:rPr>
        <w:t> </w:t>
      </w:r>
    </w:p>
    <w:p>
      <w:pPr>
        <w:pStyle w:val="BodyText"/>
        <w:rPr>
          <w:b/>
          <w:sz w:val="36"/>
        </w:rPr>
      </w:pPr>
    </w:p>
    <w:p>
      <w:pPr>
        <w:pStyle w:val="BodyText"/>
        <w:spacing w:before="5"/>
        <w:rPr>
          <w:b/>
          <w:sz w:val="29"/>
        </w:rPr>
      </w:pPr>
    </w:p>
    <w:p>
      <w:pPr>
        <w:pStyle w:val="BodyText"/>
        <w:ind w:left="1184" w:right="765"/>
        <w:jc w:val="center"/>
        <w:rPr>
          <w:rFonts w:ascii="黑体" w:eastAsia="黑体" w:hint="eastAsia"/>
        </w:rPr>
      </w:pPr>
      <w:r>
        <w:rPr>
          <w:rFonts w:ascii="黑体" w:eastAsia="黑体" w:hint="eastAsia"/>
        </w:rPr>
        <w:t>第一章 总 则</w:t>
      </w:r>
    </w:p>
    <w:p>
      <w:pPr>
        <w:pStyle w:val="BodyText"/>
        <w:spacing w:before="10"/>
        <w:rPr>
          <w:rFonts w:ascii="黑体"/>
          <w:sz w:val="20"/>
        </w:rPr>
      </w:pPr>
    </w:p>
    <w:p>
      <w:pPr>
        <w:pStyle w:val="BodyText"/>
        <w:spacing w:line="417" w:lineRule="auto"/>
        <w:ind w:left="120" w:right="269" w:firstLine="559"/>
      </w:pPr>
      <w:r>
        <w:rPr>
          <w:rFonts w:ascii="黑体" w:eastAsia="黑体" w:hint="eastAsia"/>
        </w:rPr>
        <w:t>第一条</w:t>
      </w:r>
      <w:r>
        <w:rPr/>
        <w:t> </w:t>
      </w:r>
      <w:r>
        <w:rPr/>
        <w:t>为了促进企业加强营运管理，提高营运效率和质量， 实现营运目标，根据《管理会计基本指引》，制定本指引。 </w:t>
      </w:r>
    </w:p>
    <w:p>
      <w:pPr>
        <w:pStyle w:val="BodyText"/>
        <w:spacing w:line="417" w:lineRule="auto"/>
        <w:ind w:left="120" w:right="251" w:firstLine="559"/>
        <w:jc w:val="both"/>
      </w:pPr>
      <w:r>
        <w:rPr>
          <w:rFonts w:ascii="黑体" w:eastAsia="黑体" w:hint="eastAsia"/>
        </w:rPr>
        <w:t>第二条</w:t>
      </w:r>
      <w:r>
        <w:rPr/>
        <w:t> </w:t>
      </w:r>
      <w:r>
        <w:rPr/>
        <w:t>营运管理，是指为了实现企业战略和营运目标，各级管理者通过计划、组织、指挥、协调、控制、激励等活动，实现对企业生产经营过程中的物料供应、产品生产和销售等环节的价值增值管理。 </w:t>
      </w:r>
    </w:p>
    <w:p>
      <w:pPr>
        <w:pStyle w:val="BodyText"/>
        <w:spacing w:line="417" w:lineRule="auto"/>
        <w:ind w:left="120" w:right="172" w:firstLine="559"/>
        <w:jc w:val="both"/>
      </w:pPr>
      <w:r>
        <w:rPr>
          <w:rFonts w:ascii="黑体" w:eastAsia="黑体" w:hint="eastAsia"/>
          <w:w w:val="100"/>
        </w:rPr>
        <w:t>第三条</w:t>
      </w:r>
      <w:r>
        <w:rPr>
          <w:b/>
          <w:w w:val="99"/>
        </w:rPr>
        <w:t> </w:t>
      </w:r>
      <w:r>
        <w:rPr>
          <w:spacing w:val="9"/>
          <w:w w:val="100"/>
        </w:rPr>
        <w:t>企业进行营运管理，应区分计划</w:t>
      </w:r>
      <w:r>
        <w:rPr>
          <w:spacing w:val="12"/>
          <w:w w:val="100"/>
        </w:rPr>
        <w:t>（</w:t>
      </w:r>
      <w:r>
        <w:rPr>
          <w:spacing w:val="6"/>
          <w:w w:val="100"/>
        </w:rPr>
        <w:t>Plan</w:t>
      </w:r>
      <w:r>
        <w:rPr>
          <w:spacing w:val="-137"/>
          <w:w w:val="100"/>
        </w:rPr>
        <w:t>）</w:t>
      </w:r>
      <w:r>
        <w:rPr>
          <w:spacing w:val="9"/>
          <w:w w:val="100"/>
        </w:rPr>
        <w:t>、实施(</w:t>
      </w:r>
      <w:r>
        <w:rPr>
          <w:spacing w:val="6"/>
          <w:w w:val="100"/>
        </w:rPr>
        <w:t>Do)</w:t>
      </w:r>
      <w:r>
        <w:rPr>
          <w:spacing w:val="-11"/>
          <w:w w:val="100"/>
        </w:rPr>
        <w:t>、</w:t>
      </w:r>
      <w:r>
        <w:rPr>
          <w:spacing w:val="9"/>
          <w:w w:val="100"/>
        </w:rPr>
        <w:t>检查(</w:t>
      </w:r>
      <w:r>
        <w:rPr>
          <w:spacing w:val="5"/>
          <w:w w:val="100"/>
        </w:rPr>
        <w:t>Che</w:t>
      </w:r>
      <w:r>
        <w:rPr>
          <w:spacing w:val="3"/>
          <w:w w:val="100"/>
        </w:rPr>
        <w:t>c</w:t>
      </w:r>
      <w:r>
        <w:rPr>
          <w:spacing w:val="7"/>
          <w:w w:val="100"/>
        </w:rPr>
        <w:t>k)、处理</w:t>
      </w:r>
      <w:r>
        <w:rPr>
          <w:spacing w:val="6"/>
          <w:w w:val="100"/>
        </w:rPr>
        <w:t>(Act)</w:t>
      </w:r>
      <w:r>
        <w:rPr>
          <w:spacing w:val="8"/>
          <w:w w:val="100"/>
        </w:rPr>
        <w:t>等四个阶段</w:t>
      </w:r>
      <w:r>
        <w:rPr>
          <w:spacing w:val="12"/>
          <w:w w:val="100"/>
        </w:rPr>
        <w:t>（</w:t>
      </w:r>
      <w:r>
        <w:rPr>
          <w:spacing w:val="10"/>
          <w:w w:val="100"/>
        </w:rPr>
        <w:t>简称</w:t>
      </w:r>
      <w:r>
        <w:rPr>
          <w:spacing w:val="6"/>
          <w:w w:val="100"/>
        </w:rPr>
        <w:t>PDCA</w:t>
      </w:r>
      <w:r>
        <w:rPr>
          <w:spacing w:val="10"/>
          <w:w w:val="100"/>
        </w:rPr>
        <w:t>管理原则</w:t>
      </w:r>
      <w:r>
        <w:rPr>
          <w:spacing w:val="-135"/>
          <w:w w:val="100"/>
        </w:rPr>
        <w:t>）</w:t>
      </w:r>
      <w:r>
        <w:rPr>
          <w:spacing w:val="9"/>
          <w:w w:val="100"/>
        </w:rPr>
        <w:t>，形成</w:t>
      </w:r>
      <w:r>
        <w:rPr>
          <w:spacing w:val="9"/>
        </w:rPr>
        <w:t>闭环管理，使营运管理工作更加条理化、系统化、科学化。</w:t>
      </w:r>
      <w:r>
        <w:rPr/>
        <w:t> </w:t>
      </w:r>
    </w:p>
    <w:p>
      <w:pPr>
        <w:pStyle w:val="BodyText"/>
        <w:spacing w:line="417" w:lineRule="auto"/>
        <w:ind w:left="120" w:right="256" w:firstLine="559"/>
      </w:pPr>
      <w:r>
        <w:rPr>
          <w:rFonts w:ascii="黑体" w:eastAsia="黑体" w:hint="eastAsia"/>
        </w:rPr>
        <w:t>第四条</w:t>
      </w:r>
      <w:r>
        <w:rPr>
          <w:spacing w:val="37"/>
        </w:rPr>
        <w:t> </w:t>
      </w:r>
      <w:r>
        <w:rPr>
          <w:spacing w:val="-1"/>
        </w:rPr>
        <w:t>营运管理领域应用的管理会计工具方法，一般包括本量</w:t>
      </w:r>
      <w:r>
        <w:rPr>
          <w:spacing w:val="-3"/>
        </w:rPr>
        <w:t>利分析、敏感性分析、边际分析和标杆管理等。</w:t>
      </w:r>
      <w:r>
        <w:rPr/>
        <w:t> </w:t>
      </w:r>
    </w:p>
    <w:p>
      <w:pPr>
        <w:pStyle w:val="BodyText"/>
        <w:spacing w:line="417" w:lineRule="auto"/>
        <w:ind w:left="120" w:right="256" w:firstLine="559"/>
      </w:pPr>
      <w:r>
        <w:rPr>
          <w:spacing w:val="-9"/>
        </w:rPr>
        <w:t>企业应根据自身业务特点和管理需要等，选择单独或综合运用营</w:t>
      </w:r>
      <w:r>
        <w:rPr>
          <w:spacing w:val="-3"/>
        </w:rPr>
        <w:t>运管理工具方法，以更好地实现营运管理目标。 </w:t>
      </w:r>
    </w:p>
    <w:p>
      <w:pPr>
        <w:pStyle w:val="BodyText"/>
        <w:spacing w:line="417" w:lineRule="auto"/>
        <w:ind w:left="120" w:right="251" w:firstLine="549"/>
        <w:jc w:val="both"/>
      </w:pPr>
      <w:r>
        <w:rPr>
          <w:rFonts w:ascii="黑体" w:eastAsia="黑体" w:hint="eastAsia"/>
        </w:rPr>
        <w:t>第五条</w:t>
      </w:r>
      <w:r>
        <w:rPr/>
        <w:t> </w:t>
      </w:r>
      <w:r>
        <w:rPr/>
        <w:t>企业应用营运管理工具方法，一般按照营运计划的制定、营运计划的执行、营运计划的调整、营运监控分析与报告、营运绩效管理等程序进行。 </w:t>
      </w:r>
    </w:p>
    <w:p>
      <w:pPr>
        <w:pStyle w:val="BodyText"/>
        <w:spacing w:line="358" w:lineRule="exact"/>
        <w:ind w:left="542"/>
      </w:pPr>
      <w:r>
        <w:rPr>
          <w:w w:val="100"/>
        </w:rPr>
        <w:t> </w:t>
      </w:r>
    </w:p>
    <w:p>
      <w:pPr>
        <w:spacing w:after="0" w:line="358" w:lineRule="exact"/>
        <w:sectPr>
          <w:footerReference w:type="default" r:id="rId5"/>
          <w:type w:val="continuous"/>
          <w:pgSz w:w="11910" w:h="16840"/>
          <w:pgMar w:footer="977" w:top="1520" w:bottom="1160" w:left="1680" w:right="1540"/>
          <w:pgNumType w:start="1"/>
        </w:sectPr>
      </w:pPr>
    </w:p>
    <w:p>
      <w:pPr>
        <w:pStyle w:val="BodyText"/>
        <w:spacing w:before="34"/>
        <w:ind w:left="1009" w:right="1142"/>
        <w:jc w:val="center"/>
        <w:rPr>
          <w:rFonts w:ascii="黑体" w:eastAsia="黑体" w:hint="eastAsia"/>
        </w:rPr>
      </w:pPr>
      <w:r>
        <w:rPr>
          <w:rFonts w:ascii="黑体" w:eastAsia="黑体" w:hint="eastAsia"/>
        </w:rPr>
        <w:t>第二章 应用环境</w:t>
      </w:r>
    </w:p>
    <w:p>
      <w:pPr>
        <w:pStyle w:val="BodyText"/>
        <w:spacing w:before="9"/>
        <w:rPr>
          <w:rFonts w:ascii="黑体"/>
          <w:sz w:val="20"/>
        </w:rPr>
      </w:pPr>
    </w:p>
    <w:p>
      <w:pPr>
        <w:pStyle w:val="BodyText"/>
        <w:spacing w:line="417" w:lineRule="auto" w:before="1"/>
        <w:ind w:left="120" w:right="258" w:firstLine="559"/>
        <w:jc w:val="both"/>
      </w:pPr>
      <w:r>
        <w:rPr>
          <w:rFonts w:ascii="黑体" w:eastAsia="黑体" w:hint="eastAsia"/>
        </w:rPr>
        <w:t>第六条 </w:t>
      </w:r>
      <w:r>
        <w:rPr/>
        <w:t>企业营运管理的应用环境包括组织架构、管理制度和流程、信息系统以及相关外部环境等。 </w:t>
      </w:r>
    </w:p>
    <w:p>
      <w:pPr>
        <w:pStyle w:val="BodyText"/>
        <w:spacing w:line="417" w:lineRule="auto"/>
        <w:ind w:left="120" w:right="268" w:firstLine="559"/>
        <w:jc w:val="both"/>
      </w:pPr>
      <w:r>
        <w:rPr>
          <w:rFonts w:ascii="黑体" w:eastAsia="黑体" w:hint="eastAsia"/>
        </w:rPr>
        <w:t>第七条</w:t>
      </w:r>
      <w:r>
        <w:rPr/>
        <w:t> </w:t>
      </w:r>
      <w:r>
        <w:rPr/>
        <w:t>为确保营运管理的有序开展，企业应建立健全营运管理组织架构，明确各管理层级或管理部门在营运管理中的职责， 有效组织开展营运计划的制定审批、分解下达、执行监控、分析报告、绩效管理等日常营运管理工作。 </w:t>
      </w:r>
    </w:p>
    <w:p>
      <w:pPr>
        <w:pStyle w:val="BodyText"/>
        <w:spacing w:line="417" w:lineRule="auto"/>
        <w:ind w:left="120" w:right="115" w:firstLine="559"/>
      </w:pPr>
      <w:r>
        <w:rPr>
          <w:rFonts w:ascii="黑体" w:eastAsia="黑体" w:hint="eastAsia"/>
        </w:rPr>
        <w:t>第八条</w:t>
      </w:r>
      <w:r>
        <w:rPr/>
        <w:t> </w:t>
      </w:r>
      <w:r>
        <w:rPr/>
        <w:t>企业应建立健全营运管理的制度体系，明确营运管理各</w:t>
      </w:r>
      <w:r>
        <w:rPr>
          <w:spacing w:val="-22"/>
        </w:rPr>
        <w:t>环节的工作目标、职责分工、工作程序、工具方法、信息报告等内容。</w:t>
      </w:r>
      <w:r>
        <w:rPr/>
        <w:t> </w:t>
      </w:r>
    </w:p>
    <w:p>
      <w:pPr>
        <w:pStyle w:val="BodyText"/>
        <w:spacing w:line="417" w:lineRule="auto"/>
        <w:ind w:left="120" w:right="256" w:firstLine="559"/>
      </w:pPr>
      <w:r>
        <w:rPr>
          <w:rFonts w:ascii="黑体" w:eastAsia="黑体" w:hint="eastAsia"/>
        </w:rPr>
        <w:t>第九条 </w:t>
      </w:r>
      <w:r>
        <w:rPr/>
        <w:t>企业应建立完整的业务信息系统，规范信息的收集、整理、传递和使用等，有效支持管理者决策。 </w:t>
      </w:r>
    </w:p>
    <w:p>
      <w:pPr>
        <w:pStyle w:val="BodyText"/>
        <w:rPr>
          <w:sz w:val="20"/>
        </w:rPr>
      </w:pPr>
    </w:p>
    <w:p>
      <w:pPr>
        <w:pStyle w:val="BodyText"/>
        <w:spacing w:before="10"/>
        <w:rPr>
          <w:sz w:val="23"/>
        </w:rPr>
      </w:pPr>
    </w:p>
    <w:p>
      <w:pPr>
        <w:pStyle w:val="BodyText"/>
        <w:spacing w:before="61"/>
        <w:ind w:left="1009" w:right="1142"/>
        <w:jc w:val="center"/>
        <w:rPr>
          <w:rFonts w:ascii="黑体" w:eastAsia="黑体" w:hint="eastAsia"/>
        </w:rPr>
      </w:pPr>
      <w:r>
        <w:rPr>
          <w:rFonts w:ascii="黑体" w:eastAsia="黑体" w:hint="eastAsia"/>
        </w:rPr>
        <w:t>第三章 营运计划的制定</w:t>
      </w:r>
    </w:p>
    <w:p>
      <w:pPr>
        <w:pStyle w:val="BodyText"/>
        <w:spacing w:before="9"/>
        <w:rPr>
          <w:rFonts w:ascii="黑体"/>
          <w:sz w:val="20"/>
        </w:rPr>
      </w:pPr>
    </w:p>
    <w:p>
      <w:pPr>
        <w:pStyle w:val="BodyText"/>
        <w:spacing w:line="417" w:lineRule="auto"/>
        <w:ind w:left="120" w:right="122" w:firstLine="559"/>
      </w:pPr>
      <w:r>
        <w:rPr>
          <w:rFonts w:ascii="黑体" w:eastAsia="黑体" w:hint="eastAsia"/>
        </w:rPr>
        <w:t>第十条</w:t>
      </w:r>
      <w:r>
        <w:rPr>
          <w:spacing w:val="29"/>
        </w:rPr>
        <w:t> </w:t>
      </w:r>
      <w:r>
        <w:rPr>
          <w:spacing w:val="-1"/>
        </w:rPr>
        <w:t>营运计划，是指企业根据战略决策和营运目标的要求， </w:t>
      </w:r>
      <w:r>
        <w:rPr>
          <w:spacing w:val="14"/>
        </w:rPr>
        <w:t>从时间和空间上对营运过程中各种资源所做出的统筹安排，主要</w:t>
      </w:r>
      <w:r>
        <w:rPr>
          <w:spacing w:val="13"/>
        </w:rPr>
        <w:t>作用是分解营运目标，分配企业资源，安排营运过程中的各项活</w:t>
      </w:r>
      <w:r>
        <w:rPr>
          <w:spacing w:val="10"/>
        </w:rPr>
        <w:t>动。</w:t>
      </w:r>
      <w:r>
        <w:rPr/>
        <w:t> </w:t>
      </w:r>
    </w:p>
    <w:p>
      <w:pPr>
        <w:pStyle w:val="BodyText"/>
        <w:spacing w:line="417" w:lineRule="auto"/>
        <w:ind w:left="120" w:right="248" w:firstLine="559"/>
        <w:jc w:val="both"/>
      </w:pPr>
      <w:r>
        <w:rPr>
          <w:rFonts w:ascii="黑体" w:eastAsia="黑体" w:hint="eastAsia"/>
        </w:rPr>
        <w:t>第十一条</w:t>
      </w:r>
      <w:r>
        <w:rPr>
          <w:spacing w:val="37"/>
        </w:rPr>
        <w:t> </w:t>
      </w:r>
      <w:r>
        <w:rPr>
          <w:spacing w:val="11"/>
        </w:rPr>
        <w:t>营运计划按计划的时间可分为长期营运计划、中期</w:t>
      </w:r>
      <w:r>
        <w:rPr>
          <w:spacing w:val="14"/>
        </w:rPr>
        <w:t>营运计划和短期营运计划；按计划的内容可分为销售、生产、供应、财务、人力资源、产品开发、技术改造和设备投资等营运计</w:t>
      </w:r>
      <w:r>
        <w:rPr>
          <w:spacing w:val="10"/>
        </w:rPr>
        <w:t>划。</w:t>
      </w:r>
      <w:r>
        <w:rPr/>
        <w:t> </w:t>
      </w:r>
    </w:p>
    <w:p>
      <w:pPr>
        <w:pStyle w:val="BodyText"/>
        <w:spacing w:line="358" w:lineRule="exact"/>
        <w:ind w:left="679"/>
      </w:pPr>
      <w:r>
        <w:rPr>
          <w:rFonts w:ascii="黑体" w:eastAsia="黑体" w:hint="eastAsia"/>
        </w:rPr>
        <w:t>第十二条</w:t>
      </w:r>
      <w:r>
        <w:rPr/>
        <w:t> </w:t>
      </w:r>
      <w:r>
        <w:rPr/>
        <w:t>制定营运计划应当遵循以下原则： </w:t>
      </w:r>
    </w:p>
    <w:p>
      <w:pPr>
        <w:spacing w:after="0" w:line="358" w:lineRule="exact"/>
        <w:sectPr>
          <w:pgSz w:w="11910" w:h="16840"/>
          <w:pgMar w:header="0" w:footer="977" w:top="1520" w:bottom="1160" w:left="1680" w:right="1540"/>
        </w:sectPr>
      </w:pPr>
    </w:p>
    <w:p>
      <w:pPr>
        <w:pStyle w:val="BodyText"/>
        <w:spacing w:line="417" w:lineRule="auto" w:before="34"/>
        <w:ind w:left="120" w:right="270" w:firstLine="583"/>
        <w:jc w:val="both"/>
      </w:pPr>
      <w:r>
        <w:rPr/>
        <w:t>（一）系统性原则。企业在制定计划时不仅应考虑营运的各个环节，还要从整个系统的角度出发，既要考虑大系统的利益， 也要兼顾各个环节的利益。 </w:t>
      </w:r>
    </w:p>
    <w:p>
      <w:pPr>
        <w:pStyle w:val="BodyText"/>
        <w:spacing w:line="417" w:lineRule="auto"/>
        <w:ind w:left="120" w:right="251" w:firstLine="583"/>
        <w:jc w:val="both"/>
      </w:pPr>
      <w:r>
        <w:rPr/>
        <w:t>（二）平衡性原则。企业应考虑内外部环境之间的矛盾，有效平衡可能对营运过程中的研发、生产、供应、销售等存在影响的各个方面，使其保持合理的比例关系。 </w:t>
      </w:r>
    </w:p>
    <w:p>
      <w:pPr>
        <w:pStyle w:val="BodyText"/>
        <w:spacing w:line="417" w:lineRule="auto"/>
        <w:ind w:left="120" w:right="265" w:firstLine="583"/>
        <w:jc w:val="both"/>
      </w:pPr>
      <w:r>
        <w:rPr/>
        <w:t>（三）灵活性原则。企业应当充分考虑未来的不确定性，在制定计划时保持一定的灵活性和弹性。 </w:t>
      </w:r>
    </w:p>
    <w:p>
      <w:pPr>
        <w:pStyle w:val="BodyText"/>
        <w:spacing w:line="417" w:lineRule="auto"/>
        <w:ind w:left="120" w:right="251" w:firstLine="549"/>
        <w:jc w:val="both"/>
      </w:pPr>
      <w:r>
        <w:rPr>
          <w:rFonts w:ascii="黑体" w:eastAsia="黑体" w:hint="eastAsia"/>
        </w:rPr>
        <w:t>第十三条</w:t>
      </w:r>
      <w:r>
        <w:rPr/>
        <w:t> </w:t>
      </w:r>
      <w:r>
        <w:rPr/>
        <w:t>企业在制定营运计划时，应以战略目标和年度营运目标为指引，充分分析宏观经济形势、行业发展规律以及竞争对手情况等内外部环境变化，同时还应评估企业自身研发、生产、供应、销售等环节的营运能力，客观评估自身的优势和劣势以及面临的风险和机会等。 </w:t>
      </w:r>
    </w:p>
    <w:p>
      <w:pPr>
        <w:pStyle w:val="BodyText"/>
        <w:spacing w:line="417" w:lineRule="auto"/>
        <w:ind w:left="120" w:right="266" w:firstLine="549"/>
      </w:pPr>
      <w:r>
        <w:rPr>
          <w:rFonts w:ascii="黑体" w:eastAsia="黑体" w:hint="eastAsia"/>
        </w:rPr>
        <w:t>第十四条</w:t>
      </w:r>
      <w:r>
        <w:rPr/>
        <w:t> </w:t>
      </w:r>
      <w:r>
        <w:rPr/>
        <w:t>企业在制定营运计划时，应开展营运预测，将其作为营运计划制定的基础和依据。  </w:t>
      </w:r>
    </w:p>
    <w:p>
      <w:pPr>
        <w:pStyle w:val="BodyText"/>
        <w:spacing w:line="417" w:lineRule="auto"/>
        <w:ind w:left="120" w:right="107" w:firstLine="549"/>
      </w:pPr>
      <w:r>
        <w:rPr>
          <w:rFonts w:ascii="黑体" w:eastAsia="黑体" w:hint="eastAsia"/>
        </w:rPr>
        <w:t>第十五条</w:t>
      </w:r>
      <w:r>
        <w:rPr/>
        <w:t> </w:t>
      </w:r>
      <w:r>
        <w:rPr/>
        <w:t>营运预测，是指通过收集整理历史信息和实时信息， 恰当运用科学预测方法，对未来经济活动可能产生的经济效益和发展趋势做出科学合理的预计和推测的过程。 </w:t>
      </w:r>
    </w:p>
    <w:p>
      <w:pPr>
        <w:pStyle w:val="BodyText"/>
        <w:spacing w:line="417" w:lineRule="auto"/>
        <w:ind w:left="120" w:right="251" w:firstLine="549"/>
        <w:jc w:val="both"/>
      </w:pPr>
      <w:r>
        <w:rPr>
          <w:rFonts w:ascii="黑体" w:eastAsia="黑体" w:hint="eastAsia"/>
        </w:rPr>
        <w:t>第十六条</w:t>
      </w:r>
      <w:r>
        <w:rPr/>
        <w:t> </w:t>
      </w:r>
      <w:r>
        <w:rPr/>
        <w:t>企业应用多种工具方法制定营运计划的，应根据自身实际情况，选择单独或综合应用预算管理领域、平衡计分卡、标杆管理等管理会计工具方法；同时，应充分应用本量利分析、敏感性分析、边际分析等管理会计工具方法，为营运计划的制定</w:t>
      </w:r>
    </w:p>
    <w:p>
      <w:pPr>
        <w:spacing w:after="0" w:line="417" w:lineRule="auto"/>
        <w:jc w:val="both"/>
        <w:sectPr>
          <w:pgSz w:w="11910" w:h="16840"/>
          <w:pgMar w:header="0" w:footer="977" w:top="1520" w:bottom="1160" w:left="1680" w:right="1540"/>
        </w:sectPr>
      </w:pPr>
    </w:p>
    <w:p>
      <w:pPr>
        <w:pStyle w:val="BodyText"/>
        <w:spacing w:before="34"/>
        <w:ind w:left="120"/>
      </w:pPr>
      <w:r>
        <w:rPr>
          <w:spacing w:val="9"/>
        </w:rPr>
        <w:t>提供具体量化的数据分析，有效支持决策。</w:t>
      </w:r>
      <w:r>
        <w:rPr/>
        <w:t> </w:t>
      </w:r>
    </w:p>
    <w:p>
      <w:pPr>
        <w:pStyle w:val="BodyText"/>
        <w:spacing w:before="9"/>
        <w:rPr>
          <w:sz w:val="20"/>
        </w:rPr>
      </w:pPr>
    </w:p>
    <w:p>
      <w:pPr>
        <w:pStyle w:val="BodyText"/>
        <w:spacing w:line="417" w:lineRule="auto" w:before="1"/>
        <w:ind w:left="120" w:right="119" w:firstLine="549"/>
      </w:pPr>
      <w:r>
        <w:rPr>
          <w:rFonts w:ascii="黑体" w:eastAsia="黑体" w:hint="eastAsia"/>
        </w:rPr>
        <w:t>第十七条</w:t>
      </w:r>
      <w:r>
        <w:rPr>
          <w:spacing w:val="10"/>
        </w:rPr>
        <w:t> 企业应当科学合理地制定营运计划，充分考虑各层</w:t>
      </w:r>
      <w:r>
        <w:rPr>
          <w:spacing w:val="14"/>
        </w:rPr>
        <w:t>次营运目标、业务计划、管理指标等方面的内在逻辑联系，形成</w:t>
      </w:r>
      <w:r>
        <w:rPr>
          <w:spacing w:val="6"/>
        </w:rPr>
        <w:t>涵盖各价值链的、不同层次和不同领域的、业务与财务相结合的、</w:t>
      </w:r>
      <w:r>
        <w:rPr>
          <w:spacing w:val="9"/>
        </w:rPr>
        <w:t>短期与长期相结合的目标体系和行动计划。</w:t>
      </w:r>
      <w:r>
        <w:rPr/>
        <w:t> </w:t>
      </w:r>
    </w:p>
    <w:p>
      <w:pPr>
        <w:pStyle w:val="BodyText"/>
        <w:spacing w:line="417" w:lineRule="auto"/>
        <w:ind w:left="120" w:right="115" w:firstLine="549"/>
      </w:pPr>
      <w:r>
        <w:rPr>
          <w:rFonts w:ascii="黑体" w:eastAsia="黑体" w:hint="eastAsia"/>
        </w:rPr>
        <w:t>第十八条</w:t>
      </w:r>
      <w:r>
        <w:rPr/>
        <w:t> 企业应采取自上而下、自下而上或上下结合的方式制定营运计划，充分调动全员积极性，通过沟通、讨论达成共识。 </w:t>
      </w:r>
    </w:p>
    <w:p>
      <w:pPr>
        <w:pStyle w:val="BodyText"/>
        <w:spacing w:line="417" w:lineRule="auto"/>
        <w:ind w:left="120" w:right="265" w:firstLine="549"/>
        <w:jc w:val="both"/>
      </w:pPr>
      <w:r>
        <w:rPr>
          <w:rFonts w:ascii="黑体" w:eastAsia="黑体" w:hint="eastAsia"/>
        </w:rPr>
        <w:t>第十九条</w:t>
      </w:r>
      <w:r>
        <w:rPr/>
        <w:t> </w:t>
      </w:r>
      <w:r>
        <w:rPr/>
        <w:t>企业应根据营运管理流程，对营运计划进行逐级审批。企业各部门应在已经审批通过的营运计划基础上，进一步制定各自的业务计划，并按流程履行审批程序。 </w:t>
      </w:r>
    </w:p>
    <w:p>
      <w:pPr>
        <w:pStyle w:val="BodyText"/>
        <w:spacing w:line="417" w:lineRule="auto"/>
        <w:ind w:left="120" w:right="251" w:firstLine="549"/>
        <w:jc w:val="both"/>
      </w:pPr>
      <w:r>
        <w:rPr>
          <w:rFonts w:ascii="黑体" w:eastAsia="黑体" w:hint="eastAsia"/>
        </w:rPr>
        <w:t>第二十条</w:t>
      </w:r>
      <w:r>
        <w:rPr/>
        <w:t> 企业应对未来的不确定性进行充分的预估，在科学营运预测的基础上，制定多方案的备选营运计划，以应对未来不确定性带来的风险与挑战。 </w:t>
      </w:r>
    </w:p>
    <w:p>
      <w:pPr>
        <w:pStyle w:val="BodyText"/>
        <w:rPr>
          <w:sz w:val="20"/>
        </w:rPr>
      </w:pPr>
    </w:p>
    <w:p>
      <w:pPr>
        <w:pStyle w:val="BodyText"/>
        <w:spacing w:before="9"/>
        <w:rPr>
          <w:sz w:val="23"/>
        </w:rPr>
      </w:pPr>
    </w:p>
    <w:p>
      <w:pPr>
        <w:pStyle w:val="BodyText"/>
        <w:spacing w:before="62"/>
        <w:ind w:left="1009" w:right="1142"/>
        <w:jc w:val="center"/>
        <w:rPr>
          <w:rFonts w:ascii="黑体" w:eastAsia="黑体" w:hint="eastAsia"/>
        </w:rPr>
      </w:pPr>
      <w:r>
        <w:rPr>
          <w:rFonts w:ascii="黑体" w:eastAsia="黑体" w:hint="eastAsia"/>
        </w:rPr>
        <w:t>第四章 营运计划的执行</w:t>
      </w:r>
    </w:p>
    <w:p>
      <w:pPr>
        <w:pStyle w:val="BodyText"/>
        <w:spacing w:before="9"/>
        <w:rPr>
          <w:rFonts w:ascii="黑体"/>
          <w:sz w:val="20"/>
        </w:rPr>
      </w:pPr>
    </w:p>
    <w:p>
      <w:pPr>
        <w:pStyle w:val="BodyText"/>
        <w:spacing w:line="417" w:lineRule="auto"/>
        <w:ind w:left="120" w:right="251" w:firstLine="559"/>
        <w:jc w:val="both"/>
      </w:pPr>
      <w:r>
        <w:rPr>
          <w:rFonts w:ascii="黑体" w:eastAsia="黑体" w:hint="eastAsia"/>
        </w:rPr>
        <w:t>第二十一条</w:t>
      </w:r>
      <w:r>
        <w:rPr/>
        <w:t> </w:t>
      </w:r>
      <w:r>
        <w:rPr/>
        <w:t>经审批的营运计划应以正式文件的形式下达执行。企业应逐级分解营运计划，按照横向到边、纵向到底的要求分解落实到各所属企业、部门、岗位或员工，确保营运计划得到充分落实。 </w:t>
      </w:r>
    </w:p>
    <w:p>
      <w:pPr>
        <w:pStyle w:val="BodyText"/>
        <w:spacing w:line="417" w:lineRule="auto"/>
        <w:ind w:left="120" w:right="251" w:firstLine="559"/>
        <w:jc w:val="both"/>
      </w:pPr>
      <w:r>
        <w:rPr>
          <w:rFonts w:ascii="黑体" w:eastAsia="黑体" w:hint="eastAsia"/>
        </w:rPr>
        <w:t>第二十二条</w:t>
      </w:r>
      <w:r>
        <w:rPr/>
        <w:t> </w:t>
      </w:r>
      <w:r>
        <w:rPr/>
        <w:t>经审批的营运计划应分解到季度、月度，形成月度的营运计划，逐月下达、执行。各企业应根据月度的营运计划组织开展各项营运活动。 </w:t>
      </w:r>
    </w:p>
    <w:p>
      <w:pPr>
        <w:spacing w:after="0" w:line="417" w:lineRule="auto"/>
        <w:jc w:val="both"/>
        <w:sectPr>
          <w:pgSz w:w="11910" w:h="16840"/>
          <w:pgMar w:header="0" w:footer="977" w:top="1520" w:bottom="1160" w:left="1680" w:right="1540"/>
        </w:sectPr>
      </w:pPr>
    </w:p>
    <w:p>
      <w:pPr>
        <w:pStyle w:val="BodyText"/>
        <w:spacing w:line="417" w:lineRule="auto" w:before="34"/>
        <w:ind w:left="120" w:right="256" w:firstLine="559"/>
        <w:jc w:val="both"/>
      </w:pPr>
      <w:r>
        <w:rPr>
          <w:rFonts w:ascii="黑体" w:eastAsia="黑体" w:hint="eastAsia"/>
          <w:spacing w:val="-1"/>
        </w:rPr>
        <w:t>第二十三条</w:t>
      </w:r>
      <w:r>
        <w:rPr>
          <w:spacing w:val="-1"/>
        </w:rPr>
        <w:t> </w:t>
      </w:r>
      <w:r>
        <w:rPr>
          <w:spacing w:val="-4"/>
        </w:rPr>
        <w:t>企业应建立配套的监督控制机制，及时记录营运计</w:t>
      </w:r>
      <w:r>
        <w:rPr>
          <w:spacing w:val="-9"/>
        </w:rPr>
        <w:t>划执行情况，进行差异分析与纠偏，持续优化业务流程，确保营运计</w:t>
      </w:r>
      <w:r>
        <w:rPr>
          <w:spacing w:val="-7"/>
        </w:rPr>
        <w:t>划有效执行。</w:t>
      </w:r>
      <w:r>
        <w:rPr/>
        <w:t> </w:t>
      </w:r>
    </w:p>
    <w:p>
      <w:pPr>
        <w:pStyle w:val="BodyText"/>
        <w:spacing w:line="417" w:lineRule="auto"/>
        <w:ind w:left="120" w:right="251" w:firstLine="559"/>
        <w:jc w:val="both"/>
      </w:pPr>
      <w:r>
        <w:rPr>
          <w:rFonts w:ascii="黑体" w:eastAsia="黑体" w:hint="eastAsia"/>
        </w:rPr>
        <w:t>第二十四条</w:t>
      </w:r>
      <w:r>
        <w:rPr/>
        <w:t> </w:t>
      </w:r>
      <w:r>
        <w:rPr/>
        <w:t>企业应在月度营运计划的基础上，开展月度、季度滚动预测，及时反映滚动营运计划所对应的实际营运状况，为企业资源配置的决策提供有效支持。 </w:t>
      </w:r>
    </w:p>
    <w:p>
      <w:pPr>
        <w:pStyle w:val="BodyText"/>
        <w:rPr>
          <w:sz w:val="20"/>
        </w:rPr>
      </w:pPr>
    </w:p>
    <w:p>
      <w:pPr>
        <w:pStyle w:val="BodyText"/>
        <w:spacing w:before="11"/>
        <w:rPr>
          <w:sz w:val="23"/>
        </w:rPr>
      </w:pPr>
    </w:p>
    <w:p>
      <w:pPr>
        <w:pStyle w:val="BodyText"/>
        <w:spacing w:before="62"/>
        <w:ind w:left="1009" w:right="1142"/>
        <w:jc w:val="center"/>
        <w:rPr>
          <w:rFonts w:ascii="黑体" w:eastAsia="黑体" w:hint="eastAsia"/>
        </w:rPr>
      </w:pPr>
      <w:r>
        <w:rPr>
          <w:rFonts w:ascii="黑体" w:eastAsia="黑体" w:hint="eastAsia"/>
        </w:rPr>
        <w:t>第五章 营运计划的调整</w:t>
      </w:r>
    </w:p>
    <w:p>
      <w:pPr>
        <w:pStyle w:val="BodyText"/>
        <w:spacing w:before="9"/>
        <w:rPr>
          <w:rFonts w:ascii="黑体"/>
          <w:sz w:val="20"/>
        </w:rPr>
      </w:pPr>
    </w:p>
    <w:p>
      <w:pPr>
        <w:pStyle w:val="BodyText"/>
        <w:spacing w:line="417" w:lineRule="auto"/>
        <w:ind w:left="120" w:right="251" w:firstLine="549"/>
        <w:jc w:val="both"/>
      </w:pPr>
      <w:r>
        <w:rPr>
          <w:rFonts w:ascii="黑体" w:eastAsia="黑体" w:hint="eastAsia"/>
        </w:rPr>
        <w:t>第二十五条</w:t>
      </w:r>
      <w:r>
        <w:rPr>
          <w:spacing w:val="45"/>
        </w:rPr>
        <w:t> </w:t>
      </w:r>
      <w:r>
        <w:rPr>
          <w:spacing w:val="-1"/>
        </w:rPr>
        <w:t>营运计划一旦批准下达，一般不予调整。宏观经济</w:t>
      </w:r>
      <w:r>
        <w:rPr>
          <w:spacing w:val="-11"/>
        </w:rPr>
        <w:t>形势、市场竞争形势等发生重大变化，导致企业营运状况与预期出现</w:t>
      </w:r>
      <w:r>
        <w:rPr>
          <w:spacing w:val="-12"/>
        </w:rPr>
        <w:t>较大偏差的，企业可以适时对营运计划做出调整，使营运目标更加切</w:t>
      </w:r>
      <w:r>
        <w:rPr>
          <w:spacing w:val="-10"/>
        </w:rPr>
        <w:t>合实际。</w:t>
      </w:r>
      <w:r>
        <w:rPr/>
        <w:t> </w:t>
      </w:r>
    </w:p>
    <w:p>
      <w:pPr>
        <w:pStyle w:val="BodyText"/>
        <w:spacing w:line="417" w:lineRule="auto"/>
        <w:ind w:left="120" w:right="251" w:firstLine="549"/>
        <w:jc w:val="both"/>
      </w:pPr>
      <w:r>
        <w:rPr>
          <w:rFonts w:ascii="黑体" w:eastAsia="黑体" w:hint="eastAsia"/>
        </w:rPr>
        <w:t>第二十六条</w:t>
      </w:r>
      <w:r>
        <w:rPr>
          <w:spacing w:val="51"/>
        </w:rPr>
        <w:t> </w:t>
      </w:r>
      <w:r>
        <w:rPr/>
        <w:t>企业在营运计划执行过程中，应关注和识别存在的</w:t>
      </w:r>
      <w:r>
        <w:rPr>
          <w:spacing w:val="-10"/>
        </w:rPr>
        <w:t>各种不确定因素，分析和评估其对企业营运的影响，适时启动调整原</w:t>
      </w:r>
      <w:r>
        <w:rPr>
          <w:spacing w:val="-12"/>
        </w:rPr>
        <w:t>计划的有关工作，确保企业营运目标更加切合实际，更合理地进行资</w:t>
      </w:r>
      <w:r>
        <w:rPr>
          <w:spacing w:val="-10"/>
        </w:rPr>
        <w:t>源配置。</w:t>
      </w:r>
      <w:r>
        <w:rPr/>
        <w:t> </w:t>
      </w:r>
    </w:p>
    <w:p>
      <w:pPr>
        <w:pStyle w:val="BodyText"/>
        <w:spacing w:line="417" w:lineRule="auto"/>
        <w:ind w:left="120" w:right="253" w:firstLine="549"/>
        <w:jc w:val="both"/>
      </w:pPr>
      <w:r>
        <w:rPr>
          <w:rFonts w:ascii="黑体" w:eastAsia="黑体" w:hint="eastAsia"/>
        </w:rPr>
        <w:t>第二十七条</w:t>
      </w:r>
      <w:r>
        <w:rPr/>
        <w:t> </w:t>
      </w:r>
      <w:r>
        <w:rPr/>
        <w:t>企业在做出营运计划调整决策时，应分析和评估营</w:t>
      </w:r>
      <w:r>
        <w:rPr>
          <w:spacing w:val="-8"/>
        </w:rPr>
        <w:t>运计划调整方案对企业营运的影响，包括对短期的资源配置、营运成</w:t>
      </w:r>
      <w:r>
        <w:rPr>
          <w:spacing w:val="-5"/>
        </w:rPr>
        <w:t>本、营运效益等的影响以及对长期战略的影响。</w:t>
      </w:r>
      <w:r>
        <w:rPr/>
        <w:t> </w:t>
      </w:r>
    </w:p>
    <w:p>
      <w:pPr>
        <w:pStyle w:val="BodyText"/>
        <w:spacing w:line="417" w:lineRule="auto"/>
        <w:ind w:left="120" w:right="251" w:firstLine="549"/>
        <w:jc w:val="both"/>
      </w:pPr>
      <w:r>
        <w:rPr>
          <w:rFonts w:ascii="黑体" w:eastAsia="黑体" w:hint="eastAsia"/>
        </w:rPr>
        <w:t>第二十八条</w:t>
      </w:r>
      <w:r>
        <w:rPr/>
        <w:t> </w:t>
      </w:r>
      <w:r>
        <w:rPr>
          <w:spacing w:val="-1"/>
        </w:rPr>
        <w:t>企业应建立营运计划调整的流程和机制，规范营运</w:t>
      </w:r>
      <w:r>
        <w:rPr>
          <w:spacing w:val="-11"/>
        </w:rPr>
        <w:t>计划的调整。营运计划的调整应由具体执行的所属企业或部门提出调</w:t>
      </w:r>
      <w:r>
        <w:rPr>
          <w:spacing w:val="-7"/>
        </w:rPr>
        <w:t>整申请，经批准后下达正式文件。</w:t>
      </w:r>
      <w:r>
        <w:rPr/>
        <w:t> </w:t>
      </w:r>
    </w:p>
    <w:p>
      <w:pPr>
        <w:spacing w:after="0" w:line="417" w:lineRule="auto"/>
        <w:jc w:val="both"/>
        <w:sectPr>
          <w:pgSz w:w="11910" w:h="16840"/>
          <w:pgMar w:header="0" w:footer="977" w:top="1520" w:bottom="1160" w:left="1680" w:right="1540"/>
        </w:sectPr>
      </w:pPr>
    </w:p>
    <w:p>
      <w:pPr>
        <w:pStyle w:val="BodyText"/>
        <w:rPr>
          <w:sz w:val="20"/>
        </w:rPr>
      </w:pPr>
    </w:p>
    <w:p>
      <w:pPr>
        <w:pStyle w:val="BodyText"/>
        <w:spacing w:before="12"/>
        <w:rPr>
          <w:sz w:val="21"/>
        </w:rPr>
      </w:pPr>
    </w:p>
    <w:p>
      <w:pPr>
        <w:pStyle w:val="BodyText"/>
        <w:spacing w:before="61"/>
        <w:ind w:left="1004" w:right="1142"/>
        <w:jc w:val="center"/>
        <w:rPr>
          <w:rFonts w:ascii="黑体" w:eastAsia="黑体" w:hint="eastAsia"/>
        </w:rPr>
      </w:pPr>
      <w:r>
        <w:rPr>
          <w:rFonts w:ascii="黑体" w:eastAsia="黑体" w:hint="eastAsia"/>
        </w:rPr>
        <w:t>第六章 营运监控分析与报告</w:t>
      </w:r>
    </w:p>
    <w:p>
      <w:pPr>
        <w:pStyle w:val="BodyText"/>
        <w:spacing w:before="9"/>
        <w:rPr>
          <w:rFonts w:ascii="黑体"/>
          <w:sz w:val="20"/>
        </w:rPr>
      </w:pPr>
    </w:p>
    <w:p>
      <w:pPr>
        <w:pStyle w:val="BodyText"/>
        <w:spacing w:line="417" w:lineRule="auto"/>
        <w:ind w:left="120" w:right="115" w:firstLine="549"/>
      </w:pPr>
      <w:r>
        <w:rPr>
          <w:rFonts w:ascii="黑体" w:eastAsia="黑体" w:hint="eastAsia"/>
          <w:spacing w:val="-1"/>
        </w:rPr>
        <w:t>第二十九条</w:t>
      </w:r>
      <w:r>
        <w:rPr>
          <w:spacing w:val="-11"/>
        </w:rPr>
        <w:t> 为了强化营运监控，确保企业营运目标的顺利完成， </w:t>
      </w:r>
      <w:r>
        <w:rPr>
          <w:spacing w:val="-10"/>
        </w:rPr>
        <w:t>企业应结合自身实际情况，按照日、周、月、季、年等频率建立营运</w:t>
      </w:r>
      <w:r>
        <w:rPr>
          <w:spacing w:val="-21"/>
        </w:rPr>
        <w:t>监控体系；并按照</w:t>
      </w:r>
      <w:r>
        <w:rPr/>
        <w:t>PDCA</w:t>
      </w:r>
      <w:r>
        <w:rPr>
          <w:spacing w:val="-13"/>
        </w:rPr>
        <w:t>管理原则，不断优化营运监控体系的各项机制， </w:t>
      </w:r>
      <w:r>
        <w:rPr>
          <w:spacing w:val="-7"/>
        </w:rPr>
        <w:t>做好营运监控分析工作。</w:t>
      </w:r>
      <w:r>
        <w:rPr/>
        <w:t> </w:t>
      </w:r>
    </w:p>
    <w:p>
      <w:pPr>
        <w:pStyle w:val="BodyText"/>
        <w:spacing w:line="417" w:lineRule="auto"/>
        <w:ind w:left="120" w:right="115" w:firstLine="559"/>
      </w:pPr>
      <w:r>
        <w:rPr>
          <w:rFonts w:ascii="黑体" w:eastAsia="黑体" w:hint="eastAsia"/>
        </w:rPr>
        <w:t>第三十条</w:t>
      </w:r>
      <w:r>
        <w:rPr>
          <w:spacing w:val="21"/>
        </w:rPr>
        <w:t> </w:t>
      </w:r>
      <w:r>
        <w:rPr/>
        <w:t>企业的营运监控分析，是指以本期财务和管理指标为</w:t>
      </w:r>
      <w:r>
        <w:rPr>
          <w:spacing w:val="-17"/>
        </w:rPr>
        <w:t>起点，通过指标分析查找异常，并进一步揭示差异所反映的营运缺陷， </w:t>
      </w:r>
      <w:r>
        <w:rPr>
          <w:spacing w:val="-11"/>
        </w:rPr>
        <w:t>追踪缺陷成因，提出并落实改进措施，不断提高企业营运管理水平。</w:t>
      </w:r>
      <w:r>
        <w:rPr/>
        <w:t> </w:t>
      </w:r>
    </w:p>
    <w:p>
      <w:pPr>
        <w:pStyle w:val="BodyText"/>
        <w:spacing w:line="417" w:lineRule="auto"/>
        <w:ind w:left="120" w:right="270" w:firstLine="559"/>
      </w:pPr>
      <w:r>
        <w:rPr>
          <w:rFonts w:ascii="黑体" w:eastAsia="黑体" w:hint="eastAsia"/>
        </w:rPr>
        <w:t>第三十一条</w:t>
      </w:r>
      <w:r>
        <w:rPr/>
        <w:t> </w:t>
      </w:r>
      <w:r>
        <w:rPr/>
        <w:t>营运管理监控的基本任务是发现偏差、分析偏差和纠正偏差。 </w:t>
      </w:r>
    </w:p>
    <w:p>
      <w:pPr>
        <w:pStyle w:val="BodyText"/>
        <w:spacing w:line="417" w:lineRule="auto"/>
        <w:ind w:left="120" w:right="268" w:firstLine="559"/>
      </w:pPr>
      <w:r>
        <w:rPr/>
        <w:t>（一）发现偏差。企业通过各类手段和方法，分析营运计划的执行情况，发现计划执行中的问题。 </w:t>
      </w:r>
    </w:p>
    <w:p>
      <w:pPr>
        <w:pStyle w:val="BodyText"/>
        <w:spacing w:line="417" w:lineRule="auto"/>
        <w:ind w:left="120" w:right="271" w:firstLine="559"/>
      </w:pPr>
      <w:r>
        <w:rPr/>
        <w:t>（二）分析偏差。企业对营运计划执行过程中出现的问题和偏差原因进行研究，采取针对性的措施。 </w:t>
      </w:r>
    </w:p>
    <w:p>
      <w:pPr>
        <w:pStyle w:val="BodyText"/>
        <w:spacing w:line="417" w:lineRule="auto"/>
        <w:ind w:left="120" w:right="251" w:firstLine="559"/>
        <w:jc w:val="both"/>
      </w:pPr>
      <w:r>
        <w:rPr/>
        <w:t>（三）纠正偏差。企业根据偏差产生的原因采取针对性的纠偏对策，使企业营运过程中的活动按既定的营运计划进行，或者按照本指引第五章对营运计划进行必要的调整。 </w:t>
      </w:r>
    </w:p>
    <w:p>
      <w:pPr>
        <w:pStyle w:val="BodyText"/>
        <w:spacing w:line="417" w:lineRule="auto"/>
        <w:ind w:left="120" w:right="115" w:firstLine="559"/>
      </w:pPr>
      <w:r>
        <w:rPr>
          <w:rFonts w:ascii="黑体" w:eastAsia="黑体" w:hint="eastAsia"/>
          <w:spacing w:val="-1"/>
        </w:rPr>
        <w:t>第三十二条</w:t>
      </w:r>
      <w:r>
        <w:rPr>
          <w:spacing w:val="-9"/>
        </w:rPr>
        <w:t> 企业营运监控分析应至少包括发展能力、盈利能力、偿债能力等方面的财务指标，以及生产能力、管理能力等方面的非财</w:t>
      </w:r>
      <w:r>
        <w:rPr>
          <w:spacing w:val="-12"/>
        </w:rPr>
        <w:t>务内容，并根据所处行业的营运特点，通过趋势分析、对标分析等工</w:t>
      </w:r>
      <w:r>
        <w:rPr>
          <w:spacing w:val="-7"/>
        </w:rPr>
        <w:t>具方法，建立完善营运监控分析指标体系。</w:t>
      </w:r>
      <w:r>
        <w:rPr/>
        <w:t> </w:t>
      </w:r>
    </w:p>
    <w:p>
      <w:pPr>
        <w:spacing w:after="0" w:line="417" w:lineRule="auto"/>
        <w:sectPr>
          <w:pgSz w:w="11910" w:h="16840"/>
          <w:pgMar w:header="0" w:footer="977" w:top="1580" w:bottom="1160" w:left="1680" w:right="1540"/>
        </w:sectPr>
      </w:pPr>
    </w:p>
    <w:p>
      <w:pPr>
        <w:pStyle w:val="BodyText"/>
        <w:spacing w:before="34"/>
        <w:ind w:left="679"/>
      </w:pPr>
      <w:r>
        <w:rPr>
          <w:rFonts w:ascii="黑体" w:eastAsia="黑体" w:hint="eastAsia"/>
        </w:rPr>
        <w:t>第三十三条</w:t>
      </w:r>
      <w:r>
        <w:rPr/>
        <w:t> </w:t>
      </w:r>
      <w:r>
        <w:rPr/>
        <w:t>企业营运分析的一般步骤包括： </w:t>
      </w:r>
    </w:p>
    <w:p>
      <w:pPr>
        <w:pStyle w:val="BodyText"/>
        <w:spacing w:before="9"/>
        <w:rPr>
          <w:sz w:val="20"/>
        </w:rPr>
      </w:pPr>
    </w:p>
    <w:p>
      <w:pPr>
        <w:pStyle w:val="BodyText"/>
        <w:spacing w:before="1"/>
        <w:ind w:left="679"/>
      </w:pPr>
      <w:r>
        <w:rPr/>
        <w:t>（一）明确营运目的，确定有关营运活动的范围； </w:t>
      </w:r>
    </w:p>
    <w:p>
      <w:pPr>
        <w:pStyle w:val="BodyText"/>
        <w:spacing w:before="8"/>
        <w:rPr>
          <w:sz w:val="20"/>
        </w:rPr>
      </w:pPr>
    </w:p>
    <w:p>
      <w:pPr>
        <w:pStyle w:val="BodyText"/>
        <w:spacing w:before="1"/>
        <w:ind w:left="679"/>
      </w:pPr>
      <w:r>
        <w:rPr/>
        <w:t>（二）全面收集有关营运活动的资料，进行分类整理； </w:t>
      </w:r>
    </w:p>
    <w:p>
      <w:pPr>
        <w:pStyle w:val="BodyText"/>
        <w:spacing w:before="8"/>
        <w:rPr>
          <w:sz w:val="20"/>
        </w:rPr>
      </w:pPr>
    </w:p>
    <w:p>
      <w:pPr>
        <w:pStyle w:val="BodyText"/>
        <w:spacing w:before="1"/>
        <w:ind w:left="679"/>
      </w:pPr>
      <w:r>
        <w:rPr/>
        <w:t>（三）分析营运计划与执行的差异，追溯原因； </w:t>
      </w:r>
    </w:p>
    <w:p>
      <w:pPr>
        <w:pStyle w:val="BodyText"/>
        <w:spacing w:before="8"/>
        <w:rPr>
          <w:sz w:val="20"/>
        </w:rPr>
      </w:pPr>
    </w:p>
    <w:p>
      <w:pPr>
        <w:pStyle w:val="BodyText"/>
        <w:ind w:left="679"/>
      </w:pPr>
      <w:r>
        <w:rPr/>
        <w:t>（四）根据差异分析采取恰当的措施，并进行分析和报告。 </w:t>
      </w:r>
    </w:p>
    <w:p>
      <w:pPr>
        <w:pStyle w:val="BodyText"/>
        <w:spacing w:before="10"/>
        <w:rPr>
          <w:sz w:val="20"/>
        </w:rPr>
      </w:pPr>
    </w:p>
    <w:p>
      <w:pPr>
        <w:pStyle w:val="BodyText"/>
        <w:spacing w:line="417" w:lineRule="auto"/>
        <w:ind w:left="120" w:right="256" w:firstLine="559"/>
        <w:jc w:val="both"/>
      </w:pPr>
      <w:r>
        <w:rPr>
          <w:rFonts w:ascii="黑体" w:eastAsia="黑体" w:hint="eastAsia"/>
        </w:rPr>
        <w:t>第三十四条</w:t>
      </w:r>
      <w:r>
        <w:rPr/>
        <w:t> </w:t>
      </w:r>
      <w:r>
        <w:rPr>
          <w:spacing w:val="-1"/>
        </w:rPr>
        <w:t>企业应将营运监控分析的对象、目的、程序、评价</w:t>
      </w:r>
      <w:r>
        <w:rPr>
          <w:spacing w:val="-10"/>
        </w:rPr>
        <w:t>及改进建议形成书面分析报告。分析报告按照分析的范围及内容可以</w:t>
      </w:r>
      <w:r>
        <w:rPr>
          <w:spacing w:val="-12"/>
        </w:rPr>
        <w:t>分为综合分析报告、专题分析报告和简要分析报告；按照分析的时间</w:t>
      </w:r>
      <w:r>
        <w:rPr>
          <w:spacing w:val="-3"/>
        </w:rPr>
        <w:t>分为定期分析报告和不定期分析报告。 </w:t>
      </w:r>
    </w:p>
    <w:p>
      <w:pPr>
        <w:pStyle w:val="BodyText"/>
        <w:spacing w:line="417" w:lineRule="auto"/>
        <w:ind w:left="120" w:right="256" w:firstLine="559"/>
        <w:jc w:val="both"/>
      </w:pPr>
      <w:r>
        <w:rPr>
          <w:rFonts w:ascii="黑体" w:eastAsia="黑体" w:hint="eastAsia"/>
        </w:rPr>
        <w:t>第三十五条</w:t>
      </w:r>
      <w:r>
        <w:rPr/>
        <w:t> </w:t>
      </w:r>
      <w:r>
        <w:rPr>
          <w:spacing w:val="-1"/>
        </w:rPr>
        <w:t>企业应建立预警、督办、跟踪等营运监控机制，及</w:t>
      </w:r>
      <w:r>
        <w:rPr>
          <w:spacing w:val="-8"/>
        </w:rPr>
        <w:t>时对营运监控过程中发现的异常情况进行通报、预警，按照</w:t>
      </w:r>
      <w:r>
        <w:rPr/>
        <w:t>PDCA</w:t>
      </w:r>
      <w:r>
        <w:rPr>
          <w:spacing w:val="-3"/>
        </w:rPr>
        <w:t>管理原则督促相关责任人将工作举措落实到位。 </w:t>
      </w:r>
    </w:p>
    <w:p>
      <w:pPr>
        <w:pStyle w:val="BodyText"/>
        <w:spacing w:line="417" w:lineRule="auto"/>
        <w:ind w:left="120" w:right="252" w:firstLine="559"/>
        <w:jc w:val="both"/>
      </w:pPr>
      <w:r>
        <w:rPr>
          <w:rFonts w:ascii="黑体" w:eastAsia="黑体" w:hint="eastAsia"/>
        </w:rPr>
        <w:t>第三十六条</w:t>
      </w:r>
      <w:r>
        <w:rPr/>
        <w:t> </w:t>
      </w:r>
      <w:r>
        <w:rPr>
          <w:spacing w:val="-1"/>
        </w:rPr>
        <w:t>企业可以建立信息报送、收集、整理、分析、报告</w:t>
      </w:r>
      <w:r>
        <w:rPr>
          <w:spacing w:val="-10"/>
        </w:rPr>
        <w:t>等日常管理机制，保证信息传递的及时性和可靠性；建立营运监控管</w:t>
      </w:r>
      <w:r>
        <w:rPr>
          <w:spacing w:val="-13"/>
        </w:rPr>
        <w:t>理信息系统、营运监控信息报告体系等，保证营运监控分析工作的顺</w:t>
      </w:r>
      <w:r>
        <w:rPr>
          <w:spacing w:val="-1"/>
        </w:rPr>
        <w:t>利开展。</w:t>
      </w:r>
      <w:r>
        <w:rPr>
          <w:spacing w:val="-2"/>
        </w:rPr>
        <w:t> </w:t>
      </w:r>
      <w:r>
        <w:rPr/>
        <w:t> </w:t>
      </w:r>
    </w:p>
    <w:p>
      <w:pPr>
        <w:pStyle w:val="BodyText"/>
        <w:rPr>
          <w:sz w:val="20"/>
        </w:rPr>
      </w:pPr>
    </w:p>
    <w:p>
      <w:pPr>
        <w:pStyle w:val="BodyText"/>
        <w:spacing w:before="10"/>
        <w:rPr>
          <w:sz w:val="23"/>
        </w:rPr>
      </w:pPr>
    </w:p>
    <w:p>
      <w:pPr>
        <w:pStyle w:val="BodyText"/>
        <w:spacing w:before="62"/>
        <w:ind w:left="1007" w:right="1142"/>
        <w:jc w:val="center"/>
        <w:rPr>
          <w:rFonts w:ascii="黑体" w:eastAsia="黑体" w:hint="eastAsia"/>
        </w:rPr>
      </w:pPr>
      <w:r>
        <w:rPr>
          <w:rFonts w:ascii="黑体" w:eastAsia="黑体" w:hint="eastAsia"/>
        </w:rPr>
        <w:t>第七章 营运绩效管理</w:t>
      </w:r>
    </w:p>
    <w:p>
      <w:pPr>
        <w:pStyle w:val="BodyText"/>
        <w:spacing w:before="8"/>
        <w:rPr>
          <w:rFonts w:ascii="黑体"/>
          <w:sz w:val="20"/>
        </w:rPr>
      </w:pPr>
    </w:p>
    <w:p>
      <w:pPr>
        <w:pStyle w:val="BodyText"/>
        <w:spacing w:line="417" w:lineRule="auto" w:before="1"/>
        <w:ind w:left="120" w:right="268" w:firstLine="549"/>
      </w:pPr>
      <w:r>
        <w:rPr>
          <w:rFonts w:ascii="黑体" w:eastAsia="黑体" w:hint="eastAsia"/>
        </w:rPr>
        <w:t>第三十七条</w:t>
      </w:r>
      <w:r>
        <w:rPr/>
        <w:t> </w:t>
      </w:r>
      <w:r>
        <w:rPr/>
        <w:t>企业可以开展营运绩效管理，激励员工为实现营运管理目标做出贡献。 </w:t>
      </w:r>
    </w:p>
    <w:p>
      <w:pPr>
        <w:pStyle w:val="BodyText"/>
        <w:spacing w:line="417" w:lineRule="auto"/>
        <w:ind w:left="120" w:right="251" w:firstLine="549"/>
      </w:pPr>
      <w:r>
        <w:rPr>
          <w:rFonts w:ascii="黑体" w:eastAsia="黑体" w:hint="eastAsia"/>
        </w:rPr>
        <w:t>第三十八条</w:t>
      </w:r>
      <w:r>
        <w:rPr/>
        <w:t> 企业可以建立营运绩效管理委员会、营运绩效管理办公室等不同层级的绩效管理组织，明确绩效管理流程和审批</w:t>
      </w:r>
    </w:p>
    <w:p>
      <w:pPr>
        <w:spacing w:after="0" w:line="417" w:lineRule="auto"/>
        <w:sectPr>
          <w:pgSz w:w="11910" w:h="16840"/>
          <w:pgMar w:header="0" w:footer="977" w:top="1520" w:bottom="1160" w:left="1680" w:right="1540"/>
        </w:sectPr>
      </w:pPr>
    </w:p>
    <w:p>
      <w:pPr>
        <w:pStyle w:val="BodyText"/>
        <w:spacing w:before="34"/>
        <w:ind w:left="120"/>
      </w:pPr>
      <w:r>
        <w:rPr/>
        <w:t>权限，制定绩效管理制度。 </w:t>
      </w:r>
    </w:p>
    <w:p>
      <w:pPr>
        <w:pStyle w:val="BodyText"/>
        <w:spacing w:before="9"/>
        <w:rPr>
          <w:sz w:val="20"/>
        </w:rPr>
      </w:pPr>
    </w:p>
    <w:p>
      <w:pPr>
        <w:pStyle w:val="BodyText"/>
        <w:spacing w:line="417" w:lineRule="auto" w:before="1"/>
        <w:ind w:left="120" w:right="251" w:firstLine="549"/>
        <w:jc w:val="both"/>
      </w:pPr>
      <w:r>
        <w:rPr>
          <w:rFonts w:ascii="黑体" w:eastAsia="黑体" w:hint="eastAsia"/>
        </w:rPr>
        <w:t>第三十九条</w:t>
      </w:r>
      <w:r>
        <w:rPr/>
        <w:t> 企业可以以营运计划为基础，制定绩效管理指标体系，明确绩效指标的定义、计算口径、统计范围、绩效目标、评价标准、评价周期、评价流程等内容，确保绩效指标具体、可衡量、可实现、相关以及具有明确期限。  </w:t>
      </w:r>
    </w:p>
    <w:p>
      <w:pPr>
        <w:pStyle w:val="BodyText"/>
        <w:spacing w:line="417" w:lineRule="auto"/>
        <w:ind w:left="120" w:right="253" w:firstLine="559"/>
      </w:pPr>
      <w:r>
        <w:rPr>
          <w:rFonts w:ascii="黑体" w:eastAsia="黑体" w:hint="eastAsia"/>
        </w:rPr>
        <w:t>第四十条</w:t>
      </w:r>
      <w:r>
        <w:rPr/>
        <w:t> 绩效管理指标应以企业营运管理指标为基础，做到无缝衔接、层层分解，确保企业营运目标的落实。 </w:t>
      </w:r>
    </w:p>
    <w:p>
      <w:pPr>
        <w:pStyle w:val="BodyText"/>
        <w:rPr>
          <w:sz w:val="20"/>
        </w:rPr>
      </w:pPr>
    </w:p>
    <w:p>
      <w:pPr>
        <w:pStyle w:val="BodyText"/>
        <w:spacing w:before="10"/>
        <w:rPr>
          <w:sz w:val="23"/>
        </w:rPr>
      </w:pPr>
    </w:p>
    <w:p>
      <w:pPr>
        <w:pStyle w:val="BodyText"/>
        <w:spacing w:line="417" w:lineRule="auto" w:before="62"/>
        <w:ind w:left="679" w:right="3104" w:firstLine="2614"/>
      </w:pPr>
      <w:r>
        <w:rPr>
          <w:rFonts w:ascii="黑体" w:eastAsia="黑体" w:hint="eastAsia"/>
        </w:rPr>
        <w:t>第八章  附  则第四十一条</w:t>
      </w:r>
      <w:r>
        <w:rPr/>
        <w:t> </w:t>
      </w:r>
      <w:r>
        <w:rPr/>
        <w:t>本指引由财政部负责解释。</w:t>
      </w:r>
    </w:p>
    <w:p>
      <w:pPr>
        <w:spacing w:after="0" w:line="417" w:lineRule="auto"/>
        <w:sectPr>
          <w:pgSz w:w="11910" w:h="16840"/>
          <w:pgMar w:header="0" w:footer="977" w:top="1520" w:bottom="1160" w:left="1680" w:right="1540"/>
        </w:sectPr>
      </w:pPr>
    </w:p>
    <w:p>
      <w:pPr>
        <w:pStyle w:val="BodyText"/>
        <w:rPr>
          <w:sz w:val="20"/>
        </w:rPr>
      </w:pPr>
    </w:p>
    <w:p>
      <w:pPr>
        <w:pStyle w:val="BodyText"/>
        <w:rPr>
          <w:sz w:val="20"/>
        </w:rPr>
      </w:pPr>
    </w:p>
    <w:p>
      <w:pPr>
        <w:pStyle w:val="BodyText"/>
        <w:rPr>
          <w:sz w:val="20"/>
        </w:rPr>
      </w:pPr>
    </w:p>
    <w:p>
      <w:pPr>
        <w:pStyle w:val="BodyText"/>
        <w:spacing w:before="7"/>
        <w:rPr>
          <w:sz w:val="27"/>
        </w:rPr>
      </w:pPr>
    </w:p>
    <w:p>
      <w:pPr>
        <w:pStyle w:val="Heading1"/>
        <w:ind w:right="0"/>
        <w:jc w:val="left"/>
      </w:pPr>
      <w:r>
        <w:rPr/>
        <w:t>管理会计应用指引第401号</w:t>
      </w:r>
      <w:r>
        <w:rPr>
          <w:rFonts w:ascii="黑体" w:hAnsi="黑体" w:eastAsia="黑体" w:hint="eastAsia"/>
          <w:b w:val="0"/>
        </w:rPr>
        <w:t>——</w:t>
      </w:r>
      <w:r>
        <w:rPr/>
        <w:t>本量利分析</w:t>
      </w:r>
      <w:r>
        <w:rPr>
          <w:w w:val="99"/>
        </w:rPr>
        <w:t> </w:t>
      </w:r>
    </w:p>
    <w:p>
      <w:pPr>
        <w:pStyle w:val="BodyText"/>
        <w:rPr>
          <w:b/>
          <w:sz w:val="20"/>
        </w:rPr>
      </w:pPr>
    </w:p>
    <w:p>
      <w:pPr>
        <w:pStyle w:val="BodyText"/>
        <w:rPr>
          <w:b/>
          <w:sz w:val="20"/>
        </w:rPr>
      </w:pPr>
    </w:p>
    <w:p>
      <w:pPr>
        <w:pStyle w:val="BodyText"/>
        <w:spacing w:before="7"/>
        <w:rPr>
          <w:b/>
          <w:sz w:val="20"/>
        </w:rPr>
      </w:pPr>
    </w:p>
    <w:p>
      <w:pPr>
        <w:pStyle w:val="BodyText"/>
        <w:spacing w:before="62"/>
        <w:ind w:left="1184" w:right="765"/>
        <w:jc w:val="center"/>
        <w:rPr>
          <w:rFonts w:ascii="黑体" w:eastAsia="黑体" w:hint="eastAsia"/>
        </w:rPr>
      </w:pPr>
      <w:r>
        <w:rPr>
          <w:rFonts w:ascii="黑体" w:eastAsia="黑体" w:hint="eastAsia"/>
        </w:rPr>
        <w:t>第一章 总 则</w:t>
      </w:r>
    </w:p>
    <w:p>
      <w:pPr>
        <w:pStyle w:val="BodyText"/>
        <w:spacing w:before="9"/>
        <w:rPr>
          <w:rFonts w:ascii="黑体"/>
          <w:sz w:val="20"/>
        </w:rPr>
      </w:pPr>
    </w:p>
    <w:p>
      <w:pPr>
        <w:pStyle w:val="BodyText"/>
        <w:spacing w:line="417" w:lineRule="auto"/>
        <w:ind w:left="120" w:right="117" w:firstLine="559"/>
      </w:pPr>
      <w:r>
        <w:rPr>
          <w:rFonts w:ascii="黑体" w:hAnsi="黑体" w:eastAsia="黑体" w:hint="eastAsia"/>
        </w:rPr>
        <w:t>第一条</w:t>
      </w:r>
      <w:r>
        <w:rPr/>
        <w:t> </w:t>
      </w:r>
      <w:r>
        <w:rPr>
          <w:spacing w:val="-13"/>
        </w:rPr>
        <w:t>本量利分析，是指以成本性态分析和变动成本法为基础， </w:t>
      </w:r>
      <w:r>
        <w:rPr>
          <w:spacing w:val="-10"/>
        </w:rPr>
        <w:t>运用数学模型和图式，对成本、利润、业务量与单价等因素之间的依</w:t>
      </w:r>
      <w:r>
        <w:rPr>
          <w:spacing w:val="-11"/>
        </w:rPr>
        <w:t>存关系进行分析，发现变动的规律性，为企业进行预测、决策、计划</w:t>
      </w:r>
      <w:r>
        <w:rPr>
          <w:spacing w:val="-8"/>
          <w:w w:val="100"/>
        </w:rPr>
        <w:t>和控制等活动提供支持的一种方法。其中，“本”是指成本，包括固</w:t>
      </w:r>
      <w:r>
        <w:rPr>
          <w:spacing w:val="-23"/>
          <w:w w:val="100"/>
        </w:rPr>
        <w:t>定成本和变动成本；“量”是指业务量，一般指销售量；“利”一般指</w:t>
      </w:r>
      <w:r>
        <w:rPr>
          <w:spacing w:val="-15"/>
        </w:rPr>
        <w:t>营业利润。</w:t>
      </w:r>
      <w:r>
        <w:rPr/>
        <w:t> </w:t>
      </w:r>
    </w:p>
    <w:p>
      <w:pPr>
        <w:pStyle w:val="BodyText"/>
        <w:spacing w:line="358" w:lineRule="exact"/>
        <w:ind w:left="679"/>
      </w:pPr>
      <w:r>
        <w:rPr>
          <w:rFonts w:ascii="黑体" w:eastAsia="黑体" w:hint="eastAsia"/>
        </w:rPr>
        <w:t>第二条</w:t>
      </w:r>
      <w:r>
        <w:rPr/>
        <w:t> </w:t>
      </w:r>
      <w:r>
        <w:rPr/>
        <w:t>本量利分析的基本公式如下: </w:t>
      </w:r>
    </w:p>
    <w:p>
      <w:pPr>
        <w:pStyle w:val="BodyText"/>
        <w:spacing w:before="9"/>
        <w:rPr>
          <w:sz w:val="20"/>
        </w:rPr>
      </w:pPr>
    </w:p>
    <w:p>
      <w:pPr>
        <w:pStyle w:val="BodyText"/>
        <w:ind w:left="679"/>
      </w:pPr>
      <w:r>
        <w:rPr/>
        <w:t>营业利润＝（单价－单位变动成本）×业务量－固定成本 </w:t>
      </w:r>
    </w:p>
    <w:p>
      <w:pPr>
        <w:pStyle w:val="BodyText"/>
        <w:spacing w:before="9"/>
        <w:rPr>
          <w:sz w:val="20"/>
        </w:rPr>
      </w:pPr>
    </w:p>
    <w:p>
      <w:pPr>
        <w:pStyle w:val="BodyText"/>
        <w:spacing w:line="417" w:lineRule="auto"/>
        <w:ind w:left="120" w:right="257" w:firstLine="559"/>
      </w:pPr>
      <w:r>
        <w:rPr>
          <w:rFonts w:ascii="黑体" w:eastAsia="黑体" w:hint="eastAsia"/>
        </w:rPr>
        <w:t>第三条</w:t>
      </w:r>
      <w:r>
        <w:rPr/>
        <w:t> 本量利分析主要用于企业生产决策、成本决策和定价决策，也可以广泛地用于投融资决策等。 </w:t>
      </w:r>
    </w:p>
    <w:p>
      <w:pPr>
        <w:pStyle w:val="BodyText"/>
        <w:spacing w:line="417" w:lineRule="auto"/>
        <w:ind w:left="120" w:right="258" w:firstLine="559"/>
      </w:pPr>
      <w:r>
        <w:rPr>
          <w:rFonts w:ascii="黑体" w:eastAsia="黑体" w:hint="eastAsia"/>
        </w:rPr>
        <w:t>第四条 </w:t>
      </w:r>
      <w:r>
        <w:rPr/>
        <w:t>企业在营运计划的制定、调整以及营运监控分析等程序中通常会应用到本量利分析。 </w:t>
      </w:r>
    </w:p>
    <w:p>
      <w:pPr>
        <w:pStyle w:val="BodyText"/>
        <w:spacing w:line="417" w:lineRule="auto"/>
        <w:ind w:left="120" w:right="255" w:firstLine="559"/>
      </w:pPr>
      <w:r>
        <w:rPr>
          <w:rFonts w:ascii="黑体" w:hAnsi="黑体" w:eastAsia="黑体" w:hint="eastAsia"/>
        </w:rPr>
        <w:t>第五条</w:t>
      </w:r>
      <w:r>
        <w:rPr>
          <w:spacing w:val="-17"/>
        </w:rPr>
        <w:t> 企业应用本量利分析，应遵循《管理会计应用指引第 </w:t>
      </w:r>
      <w:r>
        <w:rPr/>
        <w:t>400 </w:t>
      </w:r>
      <w:r>
        <w:rPr>
          <w:spacing w:val="-3"/>
        </w:rPr>
        <w:t>号——营运管理》中对应用环境的一般要求。 </w:t>
      </w:r>
    </w:p>
    <w:p>
      <w:pPr>
        <w:pStyle w:val="BodyText"/>
        <w:rPr>
          <w:sz w:val="20"/>
        </w:rPr>
      </w:pPr>
    </w:p>
    <w:p>
      <w:pPr>
        <w:pStyle w:val="BodyText"/>
        <w:spacing w:before="11"/>
        <w:rPr>
          <w:sz w:val="23"/>
        </w:rPr>
      </w:pPr>
    </w:p>
    <w:p>
      <w:pPr>
        <w:pStyle w:val="BodyText"/>
        <w:spacing w:before="62"/>
        <w:ind w:left="1184" w:right="765"/>
        <w:jc w:val="center"/>
        <w:rPr>
          <w:rFonts w:ascii="黑体" w:eastAsia="黑体" w:hint="eastAsia"/>
        </w:rPr>
      </w:pPr>
      <w:r>
        <w:rPr>
          <w:rFonts w:ascii="黑体" w:eastAsia="黑体" w:hint="eastAsia"/>
        </w:rPr>
        <w:t>第二章 应用程序</w:t>
      </w:r>
    </w:p>
    <w:p>
      <w:pPr>
        <w:pStyle w:val="BodyText"/>
        <w:spacing w:before="9"/>
        <w:rPr>
          <w:rFonts w:ascii="黑体"/>
          <w:sz w:val="20"/>
        </w:rPr>
      </w:pPr>
    </w:p>
    <w:p>
      <w:pPr>
        <w:pStyle w:val="BodyText"/>
        <w:ind w:left="679"/>
      </w:pPr>
      <w:r>
        <w:rPr>
          <w:rFonts w:ascii="黑体" w:eastAsia="黑体" w:hint="eastAsia"/>
        </w:rPr>
        <w:t>第六条</w:t>
      </w:r>
      <w:r>
        <w:rPr/>
        <w:t> </w:t>
      </w:r>
      <w:r>
        <w:rPr/>
        <w:t>本量利分析方法通常包括盈亏平衡分析、目标利润分</w:t>
      </w:r>
    </w:p>
    <w:p>
      <w:pPr>
        <w:spacing w:after="0"/>
        <w:sectPr>
          <w:pgSz w:w="11910" w:h="16840"/>
          <w:pgMar w:header="0" w:footer="977" w:top="1580" w:bottom="1160" w:left="1680" w:right="1540"/>
        </w:sectPr>
      </w:pPr>
    </w:p>
    <w:p>
      <w:pPr>
        <w:pStyle w:val="BodyText"/>
        <w:spacing w:before="34"/>
        <w:ind w:left="120"/>
      </w:pPr>
      <w:r>
        <w:rPr/>
        <w:t>析、敏感性分析、边际分析等。 </w:t>
      </w:r>
    </w:p>
    <w:p>
      <w:pPr>
        <w:pStyle w:val="BodyText"/>
        <w:spacing w:before="9"/>
        <w:rPr>
          <w:sz w:val="20"/>
        </w:rPr>
      </w:pPr>
    </w:p>
    <w:p>
      <w:pPr>
        <w:pStyle w:val="BodyText"/>
        <w:spacing w:line="417" w:lineRule="auto" w:before="1"/>
        <w:ind w:left="120" w:right="258" w:firstLine="559"/>
      </w:pPr>
      <w:r>
        <w:rPr>
          <w:rFonts w:ascii="黑体" w:eastAsia="黑体" w:hint="eastAsia"/>
          <w:spacing w:val="2"/>
        </w:rPr>
        <w:t>第七条 </w:t>
      </w:r>
      <w:r>
        <w:rPr>
          <w:spacing w:val="-3"/>
        </w:rPr>
        <w:t>盈亏平衡分析</w:t>
      </w:r>
      <w:r>
        <w:rPr/>
        <w:t>（</w:t>
      </w:r>
      <w:r>
        <w:rPr>
          <w:spacing w:val="-3"/>
        </w:rPr>
        <w:t>也称保本分析</w:t>
      </w:r>
      <w:r>
        <w:rPr/>
        <w:t>），</w:t>
      </w:r>
      <w:r>
        <w:rPr>
          <w:spacing w:val="-3"/>
        </w:rPr>
        <w:t>是指分析、测定盈亏</w:t>
      </w:r>
      <w:r>
        <w:rPr>
          <w:spacing w:val="-12"/>
        </w:rPr>
        <w:t>平衡点，以及有关因素变动对盈亏平衡点的影响等，是本量利分析的</w:t>
      </w:r>
      <w:r>
        <w:rPr>
          <w:spacing w:val="-3"/>
        </w:rPr>
        <w:t>核心内容。盈亏平衡分析的原理是，通过计算企业在利润为零时处于盈亏平衡的业务量，分析项目对市场需求变化的适应能力等。 </w:t>
      </w:r>
    </w:p>
    <w:p>
      <w:pPr>
        <w:pStyle w:val="BodyText"/>
        <w:spacing w:line="417" w:lineRule="auto"/>
        <w:ind w:left="120" w:right="445" w:firstLine="559"/>
      </w:pPr>
      <w:r>
        <w:rPr/>
        <w:t>盈亏平衡分析包括单一产品的盈亏平衡分析和产品组合的盈亏平衡分析。</w:t>
      </w:r>
    </w:p>
    <w:p>
      <w:pPr>
        <w:pStyle w:val="BodyText"/>
        <w:spacing w:line="358" w:lineRule="exact"/>
        <w:ind w:left="679"/>
      </w:pPr>
      <w:r>
        <w:rPr>
          <w:rFonts w:ascii="黑体" w:eastAsia="黑体" w:hint="eastAsia"/>
        </w:rPr>
        <w:t>第八条</w:t>
      </w:r>
      <w:r>
        <w:rPr/>
        <w:t> </w:t>
      </w:r>
      <w:r>
        <w:rPr/>
        <w:t>单一产品的盈亏平衡分析通常采用以下方法： </w:t>
      </w:r>
    </w:p>
    <w:p>
      <w:pPr>
        <w:pStyle w:val="BodyText"/>
        <w:spacing w:before="8"/>
        <w:rPr>
          <w:sz w:val="20"/>
        </w:rPr>
      </w:pPr>
    </w:p>
    <w:p>
      <w:pPr>
        <w:pStyle w:val="BodyText"/>
        <w:ind w:left="679"/>
      </w:pPr>
      <w:r>
        <w:rPr/>
        <w:t>（一）公式法 </w:t>
      </w:r>
    </w:p>
    <w:p>
      <w:pPr>
        <w:pStyle w:val="BodyText"/>
        <w:spacing w:before="9"/>
        <w:rPr>
          <w:sz w:val="20"/>
        </w:rPr>
      </w:pPr>
    </w:p>
    <w:p>
      <w:pPr>
        <w:pStyle w:val="BodyText"/>
        <w:spacing w:line="417" w:lineRule="auto"/>
        <w:ind w:left="679" w:right="586"/>
      </w:pPr>
      <w:r>
        <w:rPr/>
        <w:t>盈亏平衡点的业务量＝固定成本÷（单价－单位变动成本） 盈亏平衡点的销售额＝单价×盈亏平衡点的业务量 </w:t>
      </w:r>
    </w:p>
    <w:p>
      <w:pPr>
        <w:pStyle w:val="BodyText"/>
        <w:spacing w:line="417" w:lineRule="auto"/>
        <w:ind w:left="679" w:right="862"/>
      </w:pPr>
      <w:r>
        <w:rPr/>
        <w:t>或 盈亏平衡点的销售额＝固定成本÷（1－变动成本率） 或 盈亏平衡点的销售额＝固定成本÷边际贡献率 </w:t>
      </w:r>
    </w:p>
    <w:p>
      <w:pPr>
        <w:pStyle w:val="BodyText"/>
        <w:spacing w:line="358" w:lineRule="exact"/>
        <w:ind w:left="679"/>
      </w:pPr>
      <w:r>
        <w:rPr/>
        <w:t>边际贡献率＝1－变动成本率 </w:t>
      </w:r>
    </w:p>
    <w:p>
      <w:pPr>
        <w:pStyle w:val="BodyText"/>
        <w:spacing w:before="9"/>
        <w:rPr>
          <w:sz w:val="20"/>
        </w:rPr>
      </w:pPr>
    </w:p>
    <w:p>
      <w:pPr>
        <w:pStyle w:val="BodyText"/>
        <w:spacing w:line="417" w:lineRule="auto"/>
        <w:ind w:left="120" w:right="163" w:firstLine="559"/>
      </w:pPr>
      <w:r>
        <w:rPr/>
        <w:t>企业的业务量等于盈亏平衡点的业务量时，企业处于保本状态； 企业的业务量高于盈亏平衡点的业务量时，企业处于盈利状态，企业的业务量低于盈亏平衡点的业务量时，企业处于亏损状态。 </w:t>
      </w:r>
    </w:p>
    <w:p>
      <w:pPr>
        <w:pStyle w:val="BodyText"/>
        <w:ind w:left="679"/>
      </w:pPr>
      <w:r>
        <w:rPr/>
        <w:t>（二）图示法 </w:t>
      </w:r>
    </w:p>
    <w:p>
      <w:pPr>
        <w:pStyle w:val="BodyText"/>
        <w:spacing w:before="9"/>
        <w:rPr>
          <w:sz w:val="20"/>
        </w:rPr>
      </w:pPr>
    </w:p>
    <w:p>
      <w:pPr>
        <w:pStyle w:val="BodyText"/>
        <w:spacing w:line="417" w:lineRule="auto"/>
        <w:ind w:left="120" w:right="258" w:firstLine="559"/>
        <w:jc w:val="both"/>
      </w:pPr>
      <w:r>
        <w:rPr>
          <w:spacing w:val="-10"/>
        </w:rPr>
        <w:t>企业可以使用本量利关系图进行分析。本量利关系图按照数据的</w:t>
      </w:r>
      <w:r>
        <w:rPr>
          <w:spacing w:val="-23"/>
        </w:rPr>
        <w:t>特征和目的分类，可以分为传统式、贡献毛益式和利量式三种图形</w:t>
      </w:r>
      <w:r>
        <w:rPr>
          <w:spacing w:val="-3"/>
        </w:rPr>
        <w:t>（</w:t>
      </w:r>
      <w:r>
        <w:rPr>
          <w:spacing w:val="-12"/>
        </w:rPr>
        <w:t>具</w:t>
      </w:r>
      <w:r>
        <w:rPr>
          <w:spacing w:val="-3"/>
        </w:rPr>
        <w:t>体的图示法分析见附录</w:t>
      </w:r>
      <w:r>
        <w:rPr>
          <w:spacing w:val="-142"/>
        </w:rPr>
        <w:t>）</w:t>
      </w:r>
      <w:r>
        <w:rPr/>
        <w:t>。 </w:t>
      </w:r>
    </w:p>
    <w:p>
      <w:pPr>
        <w:pStyle w:val="BodyText"/>
        <w:spacing w:line="358" w:lineRule="exact"/>
        <w:ind w:left="679"/>
        <w:rPr>
          <w:b/>
        </w:rPr>
      </w:pPr>
      <w:r>
        <w:rPr>
          <w:rFonts w:ascii="黑体" w:eastAsia="黑体" w:hint="eastAsia"/>
        </w:rPr>
        <w:t>第九条</w:t>
      </w:r>
      <w:r>
        <w:rPr/>
        <w:t> </w:t>
      </w:r>
      <w:r>
        <w:rPr/>
        <w:t>产品组合的盈亏平衡分析通常采用以下方法：</w:t>
      </w:r>
      <w:r>
        <w:rPr>
          <w:b/>
          <w:w w:val="99"/>
        </w:rPr>
        <w:t> </w:t>
      </w:r>
    </w:p>
    <w:p>
      <w:pPr>
        <w:spacing w:after="0" w:line="358" w:lineRule="exact"/>
        <w:sectPr>
          <w:pgSz w:w="11910" w:h="16840"/>
          <w:pgMar w:header="0" w:footer="977" w:top="1520" w:bottom="1160" w:left="1680" w:right="1540"/>
        </w:sectPr>
      </w:pPr>
    </w:p>
    <w:p>
      <w:pPr>
        <w:pStyle w:val="BodyText"/>
        <w:spacing w:line="417" w:lineRule="auto" w:before="34"/>
        <w:ind w:left="120" w:right="255" w:firstLine="559"/>
        <w:jc w:val="both"/>
        <w:rPr>
          <w:b/>
        </w:rPr>
      </w:pPr>
      <w:r>
        <w:rPr>
          <w:spacing w:val="3"/>
        </w:rPr>
        <w:t>产品组合的盈亏平衡分析是在掌握每种单一产品的边际贡献率</w:t>
      </w:r>
      <w:r>
        <w:rPr>
          <w:spacing w:val="-9"/>
        </w:rPr>
        <w:t>的基础上，按各种产品销售额的比重进行加权平均，据以计算综合边</w:t>
      </w:r>
      <w:r>
        <w:rPr>
          <w:spacing w:val="-3"/>
        </w:rPr>
        <w:t>际贡献率，从而确定多产品组合的盈亏平衡点。</w:t>
      </w:r>
      <w:r>
        <w:rPr>
          <w:b/>
          <w:spacing w:val="-3"/>
          <w:w w:val="99"/>
        </w:rPr>
        <w:t> </w:t>
      </w:r>
    </w:p>
    <w:p>
      <w:pPr>
        <w:pStyle w:val="BodyText"/>
        <w:spacing w:line="358" w:lineRule="exact"/>
        <w:ind w:left="681"/>
      </w:pPr>
      <w:r>
        <w:rPr/>
        <w:t>某种产品的销售额权重＝该产品的销售额÷各种产品的销售额</w:t>
      </w:r>
    </w:p>
    <w:p>
      <w:pPr>
        <w:pStyle w:val="BodyText"/>
        <w:spacing w:before="9"/>
        <w:rPr>
          <w:sz w:val="20"/>
        </w:rPr>
      </w:pPr>
    </w:p>
    <w:p>
      <w:pPr>
        <w:pStyle w:val="BodyText"/>
        <w:ind w:left="3721"/>
      </w:pPr>
      <w:r>
        <w:rPr/>
        <w:t>合计 </w:t>
      </w:r>
    </w:p>
    <w:p>
      <w:pPr>
        <w:pStyle w:val="BodyText"/>
        <w:spacing w:before="10"/>
        <w:rPr>
          <w:sz w:val="20"/>
        </w:rPr>
      </w:pPr>
    </w:p>
    <w:p>
      <w:pPr>
        <w:pStyle w:val="BodyText"/>
        <w:spacing w:line="417" w:lineRule="auto"/>
        <w:ind w:left="679" w:right="722"/>
      </w:pPr>
      <w:r>
        <w:rPr/>
        <w:t>盈亏平衡点的销售额＝固定成本÷（1－综合变动成本率） 或 盈亏平衡点的销售额＝固定成本÷综合边际贡献率 </w:t>
      </w:r>
    </w:p>
    <w:p>
      <w:pPr>
        <w:pStyle w:val="BodyText"/>
        <w:spacing w:line="358" w:lineRule="exact"/>
        <w:ind w:left="679"/>
      </w:pPr>
      <w:r>
        <w:rPr/>
        <w:t>综合边际贡献率＝1－综合变动成本率 </w:t>
      </w:r>
    </w:p>
    <w:p>
      <w:pPr>
        <w:pStyle w:val="BodyText"/>
        <w:spacing w:before="9"/>
        <w:rPr>
          <w:sz w:val="20"/>
        </w:rPr>
      </w:pPr>
    </w:p>
    <w:p>
      <w:pPr>
        <w:pStyle w:val="BodyText"/>
        <w:spacing w:line="417" w:lineRule="auto"/>
        <w:ind w:left="120" w:right="253" w:firstLine="559"/>
        <w:jc w:val="both"/>
      </w:pPr>
      <w:r>
        <w:rPr>
          <w:spacing w:val="-10"/>
        </w:rPr>
        <w:t>企业销售额高于盈亏平衡点时，企业处于盈利状态；企业销售额</w:t>
      </w:r>
      <w:r>
        <w:rPr>
          <w:spacing w:val="-11"/>
        </w:rPr>
        <w:t>低于盈亏平衡点时，企业处于亏损状态。企业通常运用产品组合的盈</w:t>
      </w:r>
      <w:r>
        <w:rPr>
          <w:spacing w:val="-3"/>
        </w:rPr>
        <w:t>亏平衡点分析优化产品组合，提高获利水平。 </w:t>
      </w:r>
    </w:p>
    <w:p>
      <w:pPr>
        <w:pStyle w:val="BodyText"/>
        <w:spacing w:line="417" w:lineRule="auto"/>
        <w:ind w:left="120" w:right="115" w:firstLine="559"/>
        <w:jc w:val="both"/>
        <w:rPr>
          <w:b/>
        </w:rPr>
      </w:pPr>
      <w:r>
        <w:rPr>
          <w:rFonts w:ascii="黑体" w:eastAsia="黑体" w:hint="eastAsia"/>
        </w:rPr>
        <w:t>第十条</w:t>
      </w:r>
      <w:r>
        <w:rPr/>
        <w:t> </w:t>
      </w:r>
      <w:r>
        <w:rPr/>
        <w:t>目标利润分析是在本量利分析方法的基础上，计算为达</w:t>
      </w:r>
      <w:r>
        <w:rPr>
          <w:spacing w:val="-9"/>
        </w:rPr>
        <w:t>到目标利润所需达到的业务量、收入和成本的一种利润规划方法，该方法应反映市场的变化趋势、企业战略规划目标以及管理层需求等。</w:t>
      </w:r>
      <w:r>
        <w:rPr>
          <w:b/>
          <w:w w:val="99"/>
        </w:rPr>
        <w:t> </w:t>
      </w:r>
    </w:p>
    <w:p>
      <w:pPr>
        <w:pStyle w:val="BodyText"/>
        <w:spacing w:line="417" w:lineRule="auto"/>
        <w:ind w:left="120" w:right="258" w:firstLine="559"/>
        <w:jc w:val="both"/>
      </w:pPr>
      <w:r>
        <w:rPr>
          <w:spacing w:val="3"/>
        </w:rPr>
        <w:t>目标利润分析包括单一产品的目标利润分析和产品组合的目标</w:t>
      </w:r>
      <w:r>
        <w:rPr>
          <w:spacing w:val="-9"/>
        </w:rPr>
        <w:t>利润分析。单一产品的目标利润分析重在分析每个要素的重要性。产</w:t>
      </w:r>
      <w:r>
        <w:rPr>
          <w:spacing w:val="-3"/>
        </w:rPr>
        <w:t>品组合的目标利润分析重在优化企业产品组合。 </w:t>
      </w:r>
    </w:p>
    <w:p>
      <w:pPr>
        <w:pStyle w:val="BodyText"/>
        <w:spacing w:line="417" w:lineRule="auto"/>
        <w:ind w:left="120" w:right="258" w:firstLine="559"/>
      </w:pPr>
      <w:r>
        <w:rPr>
          <w:rFonts w:ascii="黑体" w:eastAsia="黑体" w:hint="eastAsia"/>
        </w:rPr>
        <w:t>第十一条</w:t>
      </w:r>
      <w:r>
        <w:rPr/>
        <w:t> 企业应结合市场情况、宏观经济背景、行业发展规划以及企业的战略发展规划等确定目标利润。 </w:t>
      </w:r>
    </w:p>
    <w:p>
      <w:pPr>
        <w:pStyle w:val="BodyText"/>
        <w:spacing w:line="417" w:lineRule="auto"/>
        <w:ind w:left="120" w:right="258" w:firstLine="559"/>
        <w:jc w:val="both"/>
      </w:pPr>
      <w:r>
        <w:rPr>
          <w:rFonts w:ascii="黑体" w:eastAsia="黑体" w:hint="eastAsia"/>
        </w:rPr>
        <w:t>第十二条</w:t>
      </w:r>
      <w:r>
        <w:rPr/>
        <w:t> </w:t>
      </w:r>
      <w:r>
        <w:rPr>
          <w:spacing w:val="-1"/>
        </w:rPr>
        <w:t>企业要实现目标利润，在假定其他因素不变时，通常</w:t>
      </w:r>
      <w:r>
        <w:rPr>
          <w:spacing w:val="-10"/>
        </w:rPr>
        <w:t>应提高销售数量或销售价格，降低固定成本或单位变动成本。单一产</w:t>
      </w:r>
      <w:r>
        <w:rPr>
          <w:spacing w:val="-3"/>
        </w:rPr>
        <w:t>品的目标利润分析公式如下： </w:t>
      </w:r>
    </w:p>
    <w:p>
      <w:pPr>
        <w:spacing w:after="0" w:line="417" w:lineRule="auto"/>
        <w:jc w:val="both"/>
        <w:sectPr>
          <w:pgSz w:w="11910" w:h="16840"/>
          <w:pgMar w:header="0" w:footer="977" w:top="1520" w:bottom="1160" w:left="1680" w:right="1540"/>
        </w:sectPr>
      </w:pPr>
    </w:p>
    <w:p>
      <w:pPr>
        <w:pStyle w:val="BodyText"/>
        <w:spacing w:line="417" w:lineRule="auto" w:before="34"/>
        <w:ind w:left="3721" w:right="253" w:hanging="3039"/>
      </w:pPr>
      <w:r>
        <w:rPr>
          <w:spacing w:val="-3"/>
        </w:rPr>
        <w:t>实现目标利润的业务量</w:t>
      </w:r>
      <w:r>
        <w:rPr>
          <w:spacing w:val="-18"/>
        </w:rPr>
        <w:t>＝（</w:t>
      </w:r>
      <w:r>
        <w:rPr>
          <w:spacing w:val="-2"/>
        </w:rPr>
        <w:t>目标利润＋固定成本</w:t>
      </w:r>
      <w:r>
        <w:rPr>
          <w:spacing w:val="-23"/>
        </w:rPr>
        <w:t>）÷（</w:t>
      </w:r>
      <w:r>
        <w:rPr>
          <w:spacing w:val="-3"/>
        </w:rPr>
        <w:t>单价－单</w:t>
      </w:r>
      <w:r>
        <w:rPr>
          <w:spacing w:val="-1"/>
        </w:rPr>
        <w:t>位变动成本</w:t>
      </w:r>
      <w:r>
        <w:rPr/>
        <w:t>） </w:t>
      </w:r>
    </w:p>
    <w:p>
      <w:pPr>
        <w:pStyle w:val="BodyText"/>
        <w:spacing w:line="358" w:lineRule="exact"/>
        <w:ind w:left="679"/>
      </w:pPr>
      <w:r>
        <w:rPr/>
        <w:t>实现目标利润的销售额＝单价×实现目标利润的业务量 </w:t>
      </w:r>
    </w:p>
    <w:p>
      <w:pPr>
        <w:pStyle w:val="BodyText"/>
        <w:spacing w:before="9"/>
        <w:rPr>
          <w:sz w:val="20"/>
        </w:rPr>
      </w:pPr>
    </w:p>
    <w:p>
      <w:pPr>
        <w:pStyle w:val="BodyText"/>
        <w:spacing w:before="1"/>
        <w:ind w:left="679"/>
      </w:pPr>
      <w:r>
        <w:rPr/>
        <w:t>或 实现目标利润的销售额＝（目标利润＋固定成本）÷边际贡</w:t>
      </w:r>
    </w:p>
    <w:p>
      <w:pPr>
        <w:pStyle w:val="BodyText"/>
        <w:spacing w:before="8"/>
        <w:rPr>
          <w:sz w:val="20"/>
        </w:rPr>
      </w:pPr>
    </w:p>
    <w:p>
      <w:pPr>
        <w:pStyle w:val="BodyText"/>
        <w:ind w:left="4078"/>
      </w:pPr>
      <w:r>
        <w:rPr/>
        <w:t>献率 </w:t>
      </w:r>
    </w:p>
    <w:p>
      <w:pPr>
        <w:pStyle w:val="BodyText"/>
        <w:spacing w:before="10"/>
        <w:rPr>
          <w:sz w:val="20"/>
        </w:rPr>
      </w:pPr>
    </w:p>
    <w:p>
      <w:pPr>
        <w:pStyle w:val="BodyText"/>
        <w:spacing w:line="417" w:lineRule="auto"/>
        <w:ind w:left="120" w:right="116" w:firstLine="559"/>
      </w:pPr>
      <w:r>
        <w:rPr>
          <w:spacing w:val="-7"/>
        </w:rPr>
        <w:t>企业在应用该工具方法进行如何提高销售量的策略分析时，可以</w:t>
      </w:r>
      <w:r>
        <w:rPr>
          <w:spacing w:val="-10"/>
        </w:rPr>
        <w:t>根据市场情况的变化对销售价格进行调整，降价通常可能促进销售量</w:t>
      </w:r>
      <w:r>
        <w:rPr>
          <w:spacing w:val="-19"/>
        </w:rPr>
        <w:t>的增加，提价通常可能使销售量下降；在市场需求极为旺盛的情况下， </w:t>
      </w:r>
      <w:r>
        <w:rPr/>
        <w:t>可以通过增加固定成本支出（如广告费、租赁设备等</w:t>
      </w:r>
      <w:r>
        <w:rPr>
          <w:spacing w:val="-139"/>
        </w:rPr>
        <w:t>）</w:t>
      </w:r>
      <w:r>
        <w:rPr/>
        <w:t>、扩大生产能</w:t>
      </w:r>
      <w:r>
        <w:rPr>
          <w:spacing w:val="-2"/>
        </w:rPr>
        <w:t>力来扩大销售量。 </w:t>
      </w:r>
    </w:p>
    <w:p>
      <w:pPr>
        <w:pStyle w:val="BodyText"/>
        <w:spacing w:line="358" w:lineRule="exact"/>
        <w:ind w:left="679"/>
        <w:rPr>
          <w:b/>
        </w:rPr>
      </w:pPr>
      <w:r>
        <w:rPr>
          <w:rFonts w:ascii="黑体" w:eastAsia="黑体" w:hint="eastAsia"/>
        </w:rPr>
        <w:t>第十三条</w:t>
      </w:r>
      <w:r>
        <w:rPr/>
        <w:t> 产品组合的目标利润分析通常采用以下方法：</w:t>
      </w:r>
      <w:r>
        <w:rPr>
          <w:b/>
          <w:w w:val="99"/>
        </w:rPr>
        <w:t> </w:t>
      </w:r>
    </w:p>
    <w:p>
      <w:pPr>
        <w:pStyle w:val="BodyText"/>
        <w:spacing w:before="9"/>
        <w:rPr>
          <w:b/>
          <w:sz w:val="20"/>
        </w:rPr>
      </w:pPr>
    </w:p>
    <w:p>
      <w:pPr>
        <w:pStyle w:val="BodyText"/>
        <w:spacing w:line="417" w:lineRule="auto"/>
        <w:ind w:left="120" w:right="260" w:firstLine="559"/>
      </w:pPr>
      <w:r>
        <w:rPr/>
        <w:t>在单一产品的目标利润分析基础上，依据分析结果进行优化调整，寻找最优的产品组合。基本分析公式如下： </w:t>
      </w:r>
    </w:p>
    <w:p>
      <w:pPr>
        <w:pStyle w:val="BodyText"/>
        <w:spacing w:line="358" w:lineRule="exact"/>
        <w:ind w:left="681"/>
      </w:pPr>
      <w:r>
        <w:rPr/>
        <w:t>实现目标利润的销售额＝（综合目标利润＋固定成本）÷（1－</w:t>
      </w:r>
    </w:p>
    <w:p>
      <w:pPr>
        <w:pStyle w:val="BodyText"/>
        <w:spacing w:before="9"/>
        <w:rPr>
          <w:sz w:val="20"/>
        </w:rPr>
      </w:pPr>
    </w:p>
    <w:p>
      <w:pPr>
        <w:pStyle w:val="BodyText"/>
        <w:ind w:left="3898"/>
      </w:pPr>
      <w:r>
        <w:rPr/>
        <w:t>综合变动成本率） </w:t>
      </w:r>
    </w:p>
    <w:p>
      <w:pPr>
        <w:pStyle w:val="BodyText"/>
        <w:spacing w:before="9"/>
        <w:rPr>
          <w:sz w:val="20"/>
        </w:rPr>
      </w:pPr>
    </w:p>
    <w:p>
      <w:pPr>
        <w:pStyle w:val="BodyText"/>
        <w:ind w:left="681"/>
      </w:pPr>
      <w:r>
        <w:rPr/>
        <w:t>实现目标利润率的销售额＝固定成本÷（1－综合变动成本率－</w:t>
      </w:r>
    </w:p>
    <w:p>
      <w:pPr>
        <w:pStyle w:val="BodyText"/>
        <w:spacing w:before="10"/>
        <w:rPr>
          <w:sz w:val="20"/>
        </w:rPr>
      </w:pPr>
    </w:p>
    <w:p>
      <w:pPr>
        <w:pStyle w:val="BodyText"/>
        <w:ind w:left="4078"/>
      </w:pPr>
      <w:r>
        <w:rPr/>
        <w:t>综合目标利润率） </w:t>
      </w:r>
    </w:p>
    <w:p>
      <w:pPr>
        <w:pStyle w:val="BodyText"/>
        <w:spacing w:before="9"/>
        <w:rPr>
          <w:sz w:val="20"/>
        </w:rPr>
      </w:pPr>
    </w:p>
    <w:p>
      <w:pPr>
        <w:pStyle w:val="BodyText"/>
        <w:spacing w:line="417" w:lineRule="auto"/>
        <w:ind w:left="120" w:right="445" w:firstLine="559"/>
        <w:jc w:val="both"/>
      </w:pPr>
      <w:r>
        <w:rPr/>
        <w:t>企业在应用该工具方法进行优化产品产量结构的策略分析时， 在既定的生产能力基础上，可以提高具有较高边际贡献率的产品的产量。 </w:t>
      </w:r>
    </w:p>
    <w:p>
      <w:pPr>
        <w:pStyle w:val="BodyText"/>
        <w:spacing w:line="417" w:lineRule="auto"/>
        <w:ind w:left="120" w:right="301" w:firstLine="559"/>
        <w:jc w:val="both"/>
        <w:rPr>
          <w:b/>
        </w:rPr>
      </w:pPr>
      <w:r>
        <w:rPr>
          <w:rFonts w:ascii="黑体" w:hAnsi="黑体" w:eastAsia="黑体" w:hint="eastAsia"/>
          <w:spacing w:val="-1"/>
        </w:rPr>
        <w:t>第十四条</w:t>
      </w:r>
      <w:r>
        <w:rPr>
          <w:spacing w:val="-1"/>
        </w:rPr>
        <w:t> </w:t>
      </w:r>
      <w:r>
        <w:rPr>
          <w:spacing w:val="-7"/>
        </w:rPr>
        <w:t>敏感性分析参见《管理会计应用指引第 </w:t>
      </w:r>
      <w:r>
        <w:rPr/>
        <w:t>402</w:t>
      </w:r>
      <w:r>
        <w:rPr>
          <w:spacing w:val="-17"/>
        </w:rPr>
        <w:t> 号——敏</w:t>
      </w:r>
      <w:r>
        <w:rPr>
          <w:spacing w:val="-2"/>
        </w:rPr>
        <w:t>感性分析》。</w:t>
      </w:r>
      <w:r>
        <w:rPr/>
        <w:t>   </w:t>
      </w:r>
      <w:r>
        <w:rPr>
          <w:b/>
          <w:w w:val="99"/>
        </w:rPr>
        <w:t> </w:t>
      </w:r>
    </w:p>
    <w:p>
      <w:pPr>
        <w:spacing w:after="0" w:line="417" w:lineRule="auto"/>
        <w:jc w:val="both"/>
        <w:sectPr>
          <w:pgSz w:w="11910" w:h="16840"/>
          <w:pgMar w:header="0" w:footer="977" w:top="1520" w:bottom="1160" w:left="1680" w:right="1540"/>
        </w:sectPr>
      </w:pPr>
    </w:p>
    <w:p>
      <w:pPr>
        <w:pStyle w:val="BodyText"/>
        <w:spacing w:line="417" w:lineRule="auto" w:before="34"/>
        <w:ind w:left="120" w:right="301" w:firstLine="559"/>
      </w:pPr>
      <w:r>
        <w:rPr>
          <w:rFonts w:ascii="黑体" w:hAnsi="黑体" w:eastAsia="黑体" w:hint="eastAsia"/>
          <w:spacing w:val="-1"/>
        </w:rPr>
        <w:t>第十五条</w:t>
      </w:r>
      <w:r>
        <w:rPr>
          <w:spacing w:val="-1"/>
        </w:rPr>
        <w:t> </w:t>
      </w:r>
      <w:r>
        <w:rPr>
          <w:spacing w:val="-7"/>
        </w:rPr>
        <w:t>边际分析参见《管理会计应用指引第 </w:t>
      </w:r>
      <w:r>
        <w:rPr/>
        <w:t>403</w:t>
      </w:r>
      <w:r>
        <w:rPr>
          <w:spacing w:val="-14"/>
        </w:rPr>
        <w:t> 号——边际</w:t>
      </w:r>
      <w:r>
        <w:rPr>
          <w:spacing w:val="-1"/>
        </w:rPr>
        <w:t>分析》。</w:t>
      </w:r>
      <w:r>
        <w:rPr/>
        <w:t> </w:t>
      </w:r>
    </w:p>
    <w:p>
      <w:pPr>
        <w:pStyle w:val="BodyText"/>
        <w:rPr>
          <w:sz w:val="20"/>
        </w:rPr>
      </w:pPr>
    </w:p>
    <w:p>
      <w:pPr>
        <w:pStyle w:val="BodyText"/>
        <w:spacing w:before="12"/>
        <w:rPr>
          <w:sz w:val="23"/>
        </w:rPr>
      </w:pPr>
    </w:p>
    <w:p>
      <w:pPr>
        <w:pStyle w:val="BodyText"/>
        <w:spacing w:before="61"/>
        <w:ind w:left="1184" w:right="761"/>
        <w:jc w:val="center"/>
        <w:rPr>
          <w:rFonts w:ascii="黑体" w:eastAsia="黑体" w:hint="eastAsia"/>
        </w:rPr>
      </w:pPr>
      <w:r>
        <w:rPr>
          <w:rFonts w:ascii="黑体" w:eastAsia="黑体" w:hint="eastAsia"/>
        </w:rPr>
        <w:t>第三章 工具方法评价</w:t>
      </w:r>
    </w:p>
    <w:p>
      <w:pPr>
        <w:pStyle w:val="BodyText"/>
        <w:spacing w:before="9"/>
        <w:rPr>
          <w:rFonts w:ascii="黑体"/>
          <w:sz w:val="20"/>
        </w:rPr>
      </w:pPr>
    </w:p>
    <w:p>
      <w:pPr>
        <w:pStyle w:val="BodyText"/>
        <w:spacing w:line="417" w:lineRule="auto"/>
        <w:ind w:left="120" w:right="256" w:firstLine="559"/>
      </w:pPr>
      <w:r>
        <w:rPr>
          <w:rFonts w:ascii="黑体" w:eastAsia="黑体" w:hint="eastAsia"/>
        </w:rPr>
        <w:t>第十六条</w:t>
      </w:r>
      <w:r>
        <w:rPr/>
        <w:t> </w:t>
      </w:r>
      <w:r>
        <w:rPr/>
        <w:t>本量利分析的主要优点是：可以广泛应用于规划企业经济活动和营运决策等方面，简便易行、通俗易懂和容易掌握。 </w:t>
      </w:r>
    </w:p>
    <w:p>
      <w:pPr>
        <w:pStyle w:val="BodyText"/>
        <w:spacing w:line="417" w:lineRule="auto"/>
        <w:ind w:left="120" w:right="115" w:firstLine="559"/>
      </w:pPr>
      <w:r>
        <w:rPr>
          <w:rFonts w:ascii="黑体" w:eastAsia="黑体" w:hint="eastAsia"/>
          <w:spacing w:val="-1"/>
        </w:rPr>
        <w:t>第十七条</w:t>
      </w:r>
      <w:r>
        <w:rPr>
          <w:spacing w:val="-1"/>
        </w:rPr>
        <w:t> </w:t>
      </w:r>
      <w:r>
        <w:rPr>
          <w:spacing w:val="-12"/>
        </w:rPr>
        <w:t>本量利分析的主要缺点是：仅考虑单因素变化的影响， </w:t>
      </w:r>
      <w:r>
        <w:rPr>
          <w:spacing w:val="-3"/>
        </w:rPr>
        <w:t>是一种静态分析方法，且对成本性态较为依赖。 </w:t>
      </w:r>
    </w:p>
    <w:p>
      <w:pPr>
        <w:pStyle w:val="BodyText"/>
        <w:rPr>
          <w:sz w:val="20"/>
        </w:rPr>
      </w:pPr>
    </w:p>
    <w:p>
      <w:pPr>
        <w:pStyle w:val="BodyText"/>
        <w:spacing w:before="11"/>
        <w:rPr>
          <w:sz w:val="23"/>
        </w:rPr>
      </w:pPr>
    </w:p>
    <w:p>
      <w:pPr>
        <w:pStyle w:val="BodyText"/>
        <w:spacing w:line="417" w:lineRule="auto" w:before="62"/>
        <w:ind w:left="679" w:right="3151" w:firstLine="2892"/>
      </w:pPr>
      <w:r>
        <w:rPr>
          <w:rFonts w:ascii="黑体" w:eastAsia="黑体" w:hint="eastAsia"/>
        </w:rPr>
        <w:t>第四章 附  则第十八条</w:t>
      </w:r>
      <w:r>
        <w:rPr/>
        <w:t> </w:t>
      </w:r>
      <w:r>
        <w:rPr/>
        <w:t>本指引由财政部负责解释。 </w:t>
      </w:r>
    </w:p>
    <w:p>
      <w:pPr>
        <w:spacing w:after="0" w:line="417" w:lineRule="auto"/>
        <w:sectPr>
          <w:pgSz w:w="11910" w:h="16840"/>
          <w:pgMar w:header="0" w:footer="977" w:top="1520" w:bottom="1160" w:left="1680" w:right="1540"/>
        </w:sectPr>
      </w:pPr>
    </w:p>
    <w:p>
      <w:pPr>
        <w:pStyle w:val="BodyText"/>
        <w:rPr>
          <w:sz w:val="20"/>
        </w:rPr>
      </w:pPr>
    </w:p>
    <w:p>
      <w:pPr>
        <w:pStyle w:val="BodyText"/>
        <w:rPr>
          <w:sz w:val="20"/>
        </w:rPr>
      </w:pPr>
    </w:p>
    <w:p>
      <w:pPr>
        <w:pStyle w:val="BodyText"/>
        <w:rPr>
          <w:sz w:val="20"/>
        </w:rPr>
      </w:pPr>
    </w:p>
    <w:p>
      <w:pPr>
        <w:pStyle w:val="BodyText"/>
        <w:spacing w:before="7"/>
        <w:rPr>
          <w:sz w:val="27"/>
        </w:rPr>
      </w:pPr>
    </w:p>
    <w:p>
      <w:pPr>
        <w:pStyle w:val="Heading1"/>
        <w:ind w:right="0"/>
        <w:jc w:val="left"/>
      </w:pPr>
      <w:r>
        <w:rPr/>
        <w:t>管理会计应用指引第402号</w:t>
      </w:r>
      <w:r>
        <w:rPr>
          <w:rFonts w:ascii="黑体" w:hAnsi="黑体" w:eastAsia="黑体" w:hint="eastAsia"/>
          <w:b w:val="0"/>
        </w:rPr>
        <w:t>——</w:t>
      </w:r>
      <w:r>
        <w:rPr/>
        <w:t>敏感性分析</w:t>
      </w:r>
      <w:r>
        <w:rPr>
          <w:w w:val="99"/>
        </w:rPr>
        <w:t> </w:t>
      </w:r>
    </w:p>
    <w:p>
      <w:pPr>
        <w:pStyle w:val="BodyText"/>
        <w:rPr>
          <w:b/>
          <w:sz w:val="20"/>
        </w:rPr>
      </w:pPr>
    </w:p>
    <w:p>
      <w:pPr>
        <w:pStyle w:val="BodyText"/>
        <w:rPr>
          <w:b/>
          <w:sz w:val="20"/>
        </w:rPr>
      </w:pPr>
    </w:p>
    <w:p>
      <w:pPr>
        <w:pStyle w:val="BodyText"/>
        <w:spacing w:before="7"/>
        <w:rPr>
          <w:b/>
          <w:sz w:val="20"/>
        </w:rPr>
      </w:pPr>
    </w:p>
    <w:p>
      <w:pPr>
        <w:pStyle w:val="BodyText"/>
        <w:spacing w:before="62"/>
        <w:ind w:left="1007" w:right="1142"/>
        <w:jc w:val="center"/>
        <w:rPr>
          <w:rFonts w:ascii="黑体" w:eastAsia="黑体" w:hint="eastAsia"/>
        </w:rPr>
      </w:pPr>
      <w:r>
        <w:rPr>
          <w:rFonts w:ascii="黑体" w:eastAsia="黑体" w:hint="eastAsia"/>
        </w:rPr>
        <w:t>第一章 总 则</w:t>
      </w:r>
    </w:p>
    <w:p>
      <w:pPr>
        <w:pStyle w:val="BodyText"/>
        <w:spacing w:before="9"/>
        <w:rPr>
          <w:rFonts w:ascii="黑体"/>
          <w:sz w:val="20"/>
        </w:rPr>
      </w:pPr>
    </w:p>
    <w:p>
      <w:pPr>
        <w:pStyle w:val="BodyText"/>
        <w:spacing w:line="417" w:lineRule="auto"/>
        <w:ind w:left="120" w:right="258" w:firstLine="559"/>
      </w:pPr>
      <w:r>
        <w:rPr>
          <w:rFonts w:ascii="黑体" w:eastAsia="黑体" w:hint="eastAsia"/>
        </w:rPr>
        <w:t>第一条 </w:t>
      </w:r>
      <w:r>
        <w:rPr/>
        <w:t>敏感性分析，是指对影响目标实现的因素变化进行量化分析，以确定各因素变化对实现目标的影响及其敏感程度。</w:t>
      </w:r>
    </w:p>
    <w:p>
      <w:pPr>
        <w:pStyle w:val="BodyText"/>
        <w:spacing w:line="358" w:lineRule="exact"/>
        <w:ind w:left="679"/>
      </w:pPr>
      <w:r>
        <w:rPr/>
        <w:t>敏感性分析可以分为单因素敏感性分析和多因素敏感性分析。</w:t>
      </w:r>
    </w:p>
    <w:p>
      <w:pPr>
        <w:pStyle w:val="BodyText"/>
        <w:spacing w:before="9"/>
        <w:rPr>
          <w:sz w:val="20"/>
        </w:rPr>
      </w:pPr>
    </w:p>
    <w:p>
      <w:pPr>
        <w:pStyle w:val="BodyText"/>
        <w:spacing w:line="417" w:lineRule="auto"/>
        <w:ind w:left="120" w:right="116" w:firstLine="559"/>
      </w:pPr>
      <w:r>
        <w:rPr>
          <w:rFonts w:ascii="黑体" w:eastAsia="黑体" w:hint="eastAsia"/>
          <w:spacing w:val="5"/>
        </w:rPr>
        <w:t>第二条 </w:t>
      </w:r>
      <w:r>
        <w:rPr/>
        <w:t>敏感性分析具有广泛适用性，有助于识别、控制和防范</w:t>
      </w:r>
      <w:r>
        <w:rPr>
          <w:spacing w:val="-19"/>
        </w:rPr>
        <w:t>短期营运决策、长期投资决策等相关风险，也可以用于一般经营分析。</w:t>
      </w:r>
    </w:p>
    <w:p>
      <w:pPr>
        <w:pStyle w:val="BodyText"/>
        <w:spacing w:line="417" w:lineRule="auto"/>
        <w:ind w:left="120" w:right="115" w:firstLine="559"/>
      </w:pPr>
      <w:r>
        <w:rPr>
          <w:rFonts w:ascii="黑体" w:eastAsia="黑体" w:hint="eastAsia"/>
          <w:spacing w:val="5"/>
        </w:rPr>
        <w:t>第三条 </w:t>
      </w:r>
      <w:r>
        <w:rPr/>
        <w:t>企业在营运计划的制定、调整以及营运监控分析等程序</w:t>
      </w:r>
      <w:r>
        <w:rPr>
          <w:spacing w:val="-6"/>
        </w:rPr>
        <w:t>中通常会应用到敏感性分析，敏感性分析也常用于长期投资决策等。</w:t>
      </w:r>
      <w:r>
        <w:rPr/>
        <w:t> </w:t>
      </w:r>
    </w:p>
    <w:p>
      <w:pPr>
        <w:pStyle w:val="BodyText"/>
        <w:spacing w:line="417" w:lineRule="auto"/>
        <w:ind w:left="120" w:right="255" w:firstLine="559"/>
      </w:pPr>
      <w:r>
        <w:rPr>
          <w:rFonts w:ascii="黑体" w:hAnsi="黑体" w:eastAsia="黑体" w:hint="eastAsia"/>
          <w:spacing w:val="2"/>
        </w:rPr>
        <w:t>第四条 </w:t>
      </w:r>
      <w:r>
        <w:rPr>
          <w:spacing w:val="-17"/>
        </w:rPr>
        <w:t>企业应用敏感性分析，应遵循《管理会计应用指引第 </w:t>
      </w:r>
      <w:r>
        <w:rPr/>
        <w:t>400 </w:t>
      </w:r>
      <w:r>
        <w:rPr>
          <w:spacing w:val="-3"/>
        </w:rPr>
        <w:t>号——营运管理》中对应用环境的一般要求。</w:t>
      </w:r>
    </w:p>
    <w:p>
      <w:pPr>
        <w:pStyle w:val="BodyText"/>
      </w:pPr>
    </w:p>
    <w:p>
      <w:pPr>
        <w:pStyle w:val="BodyText"/>
        <w:spacing w:before="8"/>
        <w:rPr>
          <w:sz w:val="20"/>
        </w:rPr>
      </w:pPr>
    </w:p>
    <w:p>
      <w:pPr>
        <w:pStyle w:val="BodyText"/>
        <w:ind w:left="1184" w:right="768"/>
        <w:jc w:val="center"/>
        <w:rPr>
          <w:rFonts w:ascii="黑体" w:eastAsia="黑体" w:hint="eastAsia"/>
        </w:rPr>
      </w:pPr>
      <w:r>
        <w:rPr>
          <w:rFonts w:ascii="黑体" w:eastAsia="黑体" w:hint="eastAsia"/>
        </w:rPr>
        <w:t>第二章 在短期营运决策中的应用程序</w:t>
      </w:r>
    </w:p>
    <w:p>
      <w:pPr>
        <w:pStyle w:val="BodyText"/>
        <w:spacing w:before="10"/>
        <w:rPr>
          <w:rFonts w:ascii="黑体"/>
          <w:sz w:val="20"/>
        </w:rPr>
      </w:pPr>
    </w:p>
    <w:p>
      <w:pPr>
        <w:pStyle w:val="BodyText"/>
        <w:spacing w:line="417" w:lineRule="auto"/>
        <w:ind w:left="120" w:right="260" w:firstLine="559"/>
        <w:jc w:val="both"/>
      </w:pPr>
      <w:r>
        <w:rPr>
          <w:rFonts w:ascii="黑体" w:eastAsia="黑体" w:hint="eastAsia"/>
        </w:rPr>
        <w:t>第五条 </w:t>
      </w:r>
      <w:r>
        <w:rPr/>
        <w:t>短期营运决策中的敏感性分析主要应用于目标利润规划。 </w:t>
      </w:r>
    </w:p>
    <w:p>
      <w:pPr>
        <w:pStyle w:val="BodyText"/>
        <w:spacing w:line="417" w:lineRule="auto"/>
        <w:ind w:left="120" w:right="256" w:firstLine="559"/>
        <w:jc w:val="both"/>
      </w:pPr>
      <w:r>
        <w:rPr>
          <w:rFonts w:ascii="黑体" w:eastAsia="黑体" w:hint="eastAsia"/>
          <w:spacing w:val="9"/>
        </w:rPr>
        <w:t>第六条 </w:t>
      </w:r>
      <w:r>
        <w:rPr>
          <w:spacing w:val="-1"/>
        </w:rPr>
        <w:t>短期营运决策中的敏感性分析的应用程序一般包括确定</w:t>
      </w:r>
      <w:r>
        <w:rPr>
          <w:spacing w:val="-11"/>
        </w:rPr>
        <w:t>短期营运决策目标、根据决策环境确定决策目标的基准值、分析确定</w:t>
      </w:r>
      <w:r>
        <w:rPr>
          <w:spacing w:val="-13"/>
        </w:rPr>
        <w:t>影响决策目标的各种因素、计算敏感系数、根据敏感系数对各因素进</w:t>
      </w:r>
      <w:r>
        <w:rPr>
          <w:spacing w:val="-2"/>
        </w:rPr>
        <w:t>行排序等程序。</w:t>
      </w:r>
      <w:r>
        <w:rPr/>
        <w:t> </w:t>
      </w:r>
    </w:p>
    <w:p>
      <w:pPr>
        <w:spacing w:after="0" w:line="417" w:lineRule="auto"/>
        <w:jc w:val="both"/>
        <w:sectPr>
          <w:pgSz w:w="11910" w:h="16840"/>
          <w:pgMar w:header="0" w:footer="977" w:top="1580" w:bottom="1160" w:left="1680" w:right="1540"/>
        </w:sectPr>
      </w:pPr>
    </w:p>
    <w:p>
      <w:pPr>
        <w:pStyle w:val="BodyText"/>
        <w:spacing w:line="417" w:lineRule="auto" w:before="34"/>
        <w:ind w:left="120" w:right="258" w:firstLine="559"/>
      </w:pPr>
      <w:r>
        <w:rPr>
          <w:rFonts w:ascii="黑体" w:eastAsia="黑体" w:hint="eastAsia"/>
        </w:rPr>
        <w:t>第七条</w:t>
      </w:r>
      <w:r>
        <w:rPr/>
        <w:t> 在利润规划敏感性分析中，利润规划的决策目标是利润最大化，有关公式如下： </w:t>
      </w:r>
    </w:p>
    <w:p>
      <w:pPr>
        <w:pStyle w:val="BodyText"/>
        <w:spacing w:line="358" w:lineRule="exact"/>
        <w:ind w:left="679"/>
      </w:pPr>
      <w:r>
        <w:rPr/>
        <w:t>利润＝销售量×（单价－单位变动成本）－固定成本总额 </w:t>
      </w:r>
    </w:p>
    <w:p>
      <w:pPr>
        <w:pStyle w:val="BodyText"/>
        <w:spacing w:before="9"/>
        <w:rPr>
          <w:sz w:val="20"/>
        </w:rPr>
      </w:pPr>
    </w:p>
    <w:p>
      <w:pPr>
        <w:pStyle w:val="BodyText"/>
        <w:spacing w:line="417" w:lineRule="auto" w:before="1"/>
        <w:ind w:left="120" w:right="257" w:firstLine="559"/>
        <w:jc w:val="right"/>
      </w:pPr>
      <w:r>
        <w:rPr>
          <w:rFonts w:ascii="黑体" w:eastAsia="黑体" w:hint="eastAsia"/>
        </w:rPr>
        <w:t>第八条</w:t>
      </w:r>
      <w:r>
        <w:rPr/>
        <w:t> </w:t>
      </w:r>
      <w:r>
        <w:rPr/>
        <w:t>在确定利润基准值时，企业通常根据正常状态下的产品销售量、定价和成本状况，使用本量利公式测算目标利润基准值。</w:t>
      </w:r>
      <w:r>
        <w:rPr>
          <w:rFonts w:ascii="黑体" w:eastAsia="黑体" w:hint="eastAsia"/>
        </w:rPr>
        <w:t>第九条</w:t>
      </w:r>
      <w:r>
        <w:rPr/>
        <w:t> </w:t>
      </w:r>
      <w:r>
        <w:rPr/>
        <w:t>企业根据本量利公式分析和识别影响利润基准值的因</w:t>
      </w:r>
    </w:p>
    <w:p>
      <w:pPr>
        <w:pStyle w:val="BodyText"/>
        <w:ind w:left="120"/>
      </w:pPr>
      <w:r>
        <w:rPr/>
        <w:t>素，包括销售量、单价、单位变动成本和固定成本。 </w:t>
      </w:r>
    </w:p>
    <w:p>
      <w:pPr>
        <w:pStyle w:val="BodyText"/>
        <w:spacing w:before="8"/>
        <w:rPr>
          <w:sz w:val="20"/>
        </w:rPr>
      </w:pPr>
    </w:p>
    <w:p>
      <w:pPr>
        <w:pStyle w:val="BodyText"/>
        <w:spacing w:line="417" w:lineRule="auto"/>
        <w:ind w:left="120" w:right="256" w:firstLine="559"/>
      </w:pPr>
      <w:r>
        <w:rPr>
          <w:spacing w:val="-12"/>
        </w:rPr>
        <w:t>企业在进行敏感性分析时，可视具体情况和以往经验选取对利润</w:t>
      </w:r>
      <w:r>
        <w:rPr>
          <w:spacing w:val="-3"/>
        </w:rPr>
        <w:t>基准值影响较大的因素进行分析。 </w:t>
      </w:r>
    </w:p>
    <w:p>
      <w:pPr>
        <w:pStyle w:val="BodyText"/>
        <w:spacing w:line="417" w:lineRule="auto"/>
        <w:ind w:left="120" w:right="256" w:firstLine="559"/>
        <w:jc w:val="both"/>
      </w:pPr>
      <w:r>
        <w:rPr>
          <w:rFonts w:ascii="黑体" w:eastAsia="黑体" w:hint="eastAsia"/>
          <w:spacing w:val="9"/>
        </w:rPr>
        <w:t>第十条 </w:t>
      </w:r>
      <w:r>
        <w:rPr>
          <w:spacing w:val="-1"/>
        </w:rPr>
        <w:t>企业在进行因素分析时，通过计算各因素的敏感系数， </w:t>
      </w:r>
      <w:r>
        <w:rPr>
          <w:spacing w:val="-9"/>
        </w:rPr>
        <w:t>衡量因素变动对决策目标基准值的影响程度。企业可以进行单因素敏</w:t>
      </w:r>
      <w:r>
        <w:rPr>
          <w:spacing w:val="-3"/>
        </w:rPr>
        <w:t>感性分析或多因素敏感性分析。 </w:t>
      </w:r>
    </w:p>
    <w:p>
      <w:pPr>
        <w:pStyle w:val="BodyText"/>
        <w:spacing w:line="417" w:lineRule="auto"/>
        <w:ind w:left="120" w:right="257" w:firstLine="559"/>
        <w:jc w:val="both"/>
      </w:pPr>
      <w:r>
        <w:rPr>
          <w:rFonts w:ascii="黑体" w:eastAsia="黑体" w:hint="eastAsia"/>
          <w:spacing w:val="7"/>
        </w:rPr>
        <w:t>第十一条 </w:t>
      </w:r>
      <w:r>
        <w:rPr>
          <w:spacing w:val="-1"/>
        </w:rPr>
        <w:t>单因素敏感性分析，是指每次只变动一个因素而其他</w:t>
      </w:r>
      <w:r>
        <w:rPr>
          <w:spacing w:val="-10"/>
        </w:rPr>
        <w:t>因素保持不变时所做的敏感性分析。敏感系数反映的是某一因素值变</w:t>
      </w:r>
      <w:r>
        <w:rPr>
          <w:spacing w:val="-3"/>
        </w:rPr>
        <w:t>动对目标值变动的影响程度，有关公式如下： </w:t>
      </w:r>
    </w:p>
    <w:p>
      <w:pPr>
        <w:pStyle w:val="BodyText"/>
        <w:spacing w:line="358" w:lineRule="exact"/>
        <w:ind w:left="679"/>
      </w:pPr>
      <w:r>
        <w:rPr/>
        <w:t>某因素敏感系数＝目标值变动百分比÷因素值变动百分比 </w:t>
      </w:r>
    </w:p>
    <w:p>
      <w:pPr>
        <w:pStyle w:val="BodyText"/>
        <w:spacing w:before="9"/>
        <w:rPr>
          <w:sz w:val="20"/>
        </w:rPr>
      </w:pPr>
    </w:p>
    <w:p>
      <w:pPr>
        <w:pStyle w:val="BodyText"/>
        <w:spacing w:line="417" w:lineRule="auto"/>
        <w:ind w:left="120" w:right="256" w:firstLine="559"/>
        <w:jc w:val="both"/>
      </w:pPr>
      <w:r>
        <w:rPr>
          <w:spacing w:val="-10"/>
        </w:rPr>
        <w:t>在目标利润规划中，目标值为目标利润，变动因素为销售量、单</w:t>
      </w:r>
      <w:r>
        <w:rPr>
          <w:spacing w:val="-11"/>
        </w:rPr>
        <w:t>价、单位变动成本和固定成本。敏感系数的绝对值越大，该因素越敏</w:t>
      </w:r>
      <w:r>
        <w:rPr>
          <w:spacing w:val="-8"/>
        </w:rPr>
        <w:t>感。</w:t>
      </w:r>
      <w:r>
        <w:rPr/>
        <w:t> </w:t>
      </w:r>
    </w:p>
    <w:p>
      <w:pPr>
        <w:pStyle w:val="BodyText"/>
        <w:spacing w:line="417" w:lineRule="auto"/>
        <w:ind w:left="120" w:right="255" w:firstLine="559"/>
        <w:jc w:val="both"/>
      </w:pPr>
      <w:r>
        <w:rPr>
          <w:rFonts w:ascii="黑体" w:eastAsia="黑体" w:hint="eastAsia"/>
        </w:rPr>
        <w:t>第十二条 </w:t>
      </w:r>
      <w:r>
        <w:rPr/>
        <w:t>多因素敏感性分析，是指假定其它因素不变时，分析两种或两种以上不确定性因素同时变化对目标的影响程度所做的敏感性分析。 </w:t>
      </w:r>
    </w:p>
    <w:p>
      <w:pPr>
        <w:spacing w:after="0" w:line="417" w:lineRule="auto"/>
        <w:jc w:val="both"/>
        <w:sectPr>
          <w:pgSz w:w="11910" w:h="16840"/>
          <w:pgMar w:header="0" w:footer="977" w:top="1520" w:bottom="1160" w:left="1680" w:right="1540"/>
        </w:sectPr>
      </w:pPr>
    </w:p>
    <w:p>
      <w:pPr>
        <w:pStyle w:val="BodyText"/>
        <w:spacing w:line="417" w:lineRule="auto" w:before="34"/>
        <w:ind w:left="120" w:right="258" w:firstLine="559"/>
        <w:jc w:val="both"/>
      </w:pPr>
      <w:r>
        <w:rPr>
          <w:spacing w:val="-10"/>
        </w:rPr>
        <w:t>企业在进行目标利润规划时，通常以利润基准值为基础，测算销</w:t>
      </w:r>
      <w:r>
        <w:rPr>
          <w:spacing w:val="-11"/>
        </w:rPr>
        <w:t>售量、单价、单位变动成本和固定成本中两个或两个以上的因素同时</w:t>
      </w:r>
      <w:r>
        <w:rPr>
          <w:spacing w:val="-3"/>
        </w:rPr>
        <w:t>发生变动时，对利润基准值的影响程度。 </w:t>
      </w:r>
    </w:p>
    <w:p>
      <w:pPr>
        <w:pStyle w:val="BodyText"/>
        <w:spacing w:line="417" w:lineRule="auto"/>
        <w:ind w:left="120" w:right="258" w:firstLine="559"/>
      </w:pPr>
      <w:r>
        <w:rPr>
          <w:rFonts w:ascii="黑体" w:eastAsia="黑体" w:hint="eastAsia"/>
        </w:rPr>
        <w:t>第十三条</w:t>
      </w:r>
      <w:r>
        <w:rPr>
          <w:spacing w:val="-1"/>
        </w:rPr>
        <w:t> 企业应根据敏感系数绝对值的大小对其进行排序，按</w:t>
      </w:r>
      <w:r>
        <w:rPr>
          <w:spacing w:val="-3"/>
        </w:rPr>
        <w:t>照有关因素的敏感程度优化规划和决策。 </w:t>
      </w:r>
    </w:p>
    <w:p>
      <w:pPr>
        <w:pStyle w:val="BodyText"/>
        <w:spacing w:line="417" w:lineRule="auto"/>
        <w:ind w:left="120" w:right="257" w:firstLine="479"/>
        <w:jc w:val="both"/>
      </w:pPr>
      <w:r>
        <w:rPr>
          <w:spacing w:val="-5"/>
        </w:rPr>
        <w:t>有关因素只要有较小幅度变动就会引起利润较大幅度变动的，属</w:t>
      </w:r>
      <w:r>
        <w:rPr>
          <w:spacing w:val="-10"/>
        </w:rPr>
        <w:t>于敏感性因素；有关因素虽有较大幅度变动但对利润影响不大的，属</w:t>
      </w:r>
      <w:r>
        <w:rPr>
          <w:spacing w:val="-2"/>
        </w:rPr>
        <w:t>于弱敏感性因素。 </w:t>
      </w:r>
    </w:p>
    <w:p>
      <w:pPr>
        <w:pStyle w:val="BodyText"/>
        <w:spacing w:line="417" w:lineRule="auto"/>
        <w:ind w:left="120" w:right="256" w:firstLine="559"/>
        <w:jc w:val="both"/>
      </w:pPr>
      <w:r>
        <w:rPr>
          <w:spacing w:val="-11"/>
        </w:rPr>
        <w:t>在短期利润规划决策中，销售量、单价、单位变动成本和固定成</w:t>
      </w:r>
      <w:r>
        <w:rPr>
          <w:spacing w:val="-9"/>
        </w:rPr>
        <w:t>本都会对利润产生影响，应重点关注敏感性因素，及时采取措施，加</w:t>
      </w:r>
      <w:r>
        <w:rPr>
          <w:spacing w:val="-6"/>
        </w:rPr>
        <w:t>强控制敏感性因素，确保利润规划的完成。 </w:t>
      </w:r>
    </w:p>
    <w:p>
      <w:pPr>
        <w:pStyle w:val="BodyText"/>
        <w:spacing w:line="417" w:lineRule="auto"/>
        <w:ind w:left="120" w:right="256" w:firstLine="559"/>
        <w:jc w:val="both"/>
      </w:pPr>
      <w:r>
        <w:rPr>
          <w:rFonts w:ascii="黑体" w:eastAsia="黑体" w:hint="eastAsia"/>
        </w:rPr>
        <w:t>第十四条 </w:t>
      </w:r>
      <w:r>
        <w:rPr/>
        <w:t>在对利润规划进行敏感性分析时，企业应确定导致盈利转为亏损的有关变量的临界值，即确定销售量和单价的最小允许值、单位变动成本和固定成本的最大允许值，有关公式如下： </w:t>
      </w:r>
    </w:p>
    <w:p>
      <w:pPr>
        <w:pStyle w:val="BodyText"/>
        <w:spacing w:line="417" w:lineRule="auto"/>
        <w:ind w:left="681" w:right="253" w:hanging="3"/>
      </w:pPr>
      <w:r>
        <w:rPr>
          <w:spacing w:val="-3"/>
        </w:rPr>
        <w:t>销售量的最小允许值</w:t>
      </w:r>
      <w:r>
        <w:rPr/>
        <w:t>＝</w:t>
      </w:r>
      <w:r>
        <w:rPr>
          <w:spacing w:val="-3"/>
        </w:rPr>
        <w:t>固定成本÷（单价－单位变动成本</w:t>
      </w:r>
      <w:r>
        <w:rPr/>
        <w:t>）  </w:t>
      </w:r>
      <w:r>
        <w:rPr>
          <w:spacing w:val="-2"/>
        </w:rPr>
        <w:t>单价的最小允许值</w:t>
      </w:r>
      <w:r>
        <w:rPr>
          <w:spacing w:val="-24"/>
        </w:rPr>
        <w:t>＝（</w:t>
      </w:r>
      <w:r>
        <w:rPr>
          <w:spacing w:val="-3"/>
        </w:rPr>
        <w:t>单位变动成本×销售量＋固定成本</w:t>
      </w:r>
      <w:r>
        <w:rPr>
          <w:spacing w:val="-24"/>
        </w:rPr>
        <w:t>）</w:t>
      </w:r>
      <w:r>
        <w:rPr>
          <w:spacing w:val="-19"/>
        </w:rPr>
        <w:t>÷销</w:t>
      </w:r>
    </w:p>
    <w:p>
      <w:pPr>
        <w:pStyle w:val="BodyText"/>
        <w:ind w:left="3181"/>
      </w:pPr>
      <w:r>
        <w:rPr/>
        <w:t>售量 </w:t>
      </w:r>
    </w:p>
    <w:p>
      <w:pPr>
        <w:pStyle w:val="BodyText"/>
        <w:spacing w:before="7"/>
        <w:rPr>
          <w:sz w:val="20"/>
        </w:rPr>
      </w:pPr>
    </w:p>
    <w:p>
      <w:pPr>
        <w:pStyle w:val="BodyText"/>
        <w:spacing w:before="1"/>
        <w:ind w:left="681"/>
      </w:pPr>
      <w:r>
        <w:rPr/>
        <w:t>单位变动成本的最大允许值＝（单价×销售量－固定成本）÷销</w:t>
      </w:r>
    </w:p>
    <w:p>
      <w:pPr>
        <w:pStyle w:val="BodyText"/>
        <w:spacing w:before="8"/>
        <w:rPr>
          <w:sz w:val="20"/>
        </w:rPr>
      </w:pPr>
    </w:p>
    <w:p>
      <w:pPr>
        <w:pStyle w:val="BodyText"/>
        <w:ind w:left="1184" w:right="289"/>
        <w:jc w:val="center"/>
      </w:pPr>
      <w:r>
        <w:rPr/>
        <w:t>售量 </w:t>
      </w:r>
    </w:p>
    <w:p>
      <w:pPr>
        <w:pStyle w:val="BodyText"/>
        <w:spacing w:before="9"/>
        <w:rPr>
          <w:sz w:val="20"/>
        </w:rPr>
      </w:pPr>
    </w:p>
    <w:p>
      <w:pPr>
        <w:pStyle w:val="BodyText"/>
        <w:ind w:left="679"/>
      </w:pPr>
      <w:r>
        <w:rPr/>
        <w:t>固定成本的最大允许值＝（单价－单位变动成本）×销售量 </w:t>
      </w:r>
    </w:p>
    <w:p>
      <w:pPr>
        <w:pStyle w:val="BodyText"/>
        <w:rPr>
          <w:sz w:val="20"/>
        </w:rPr>
      </w:pPr>
    </w:p>
    <w:p>
      <w:pPr>
        <w:pStyle w:val="BodyText"/>
        <w:rPr>
          <w:sz w:val="20"/>
        </w:rPr>
      </w:pPr>
    </w:p>
    <w:p>
      <w:pPr>
        <w:pStyle w:val="BodyText"/>
        <w:spacing w:before="9"/>
        <w:rPr>
          <w:sz w:val="24"/>
        </w:rPr>
      </w:pPr>
    </w:p>
    <w:p>
      <w:pPr>
        <w:pStyle w:val="BodyText"/>
        <w:spacing w:before="61"/>
        <w:ind w:left="1184" w:right="768"/>
        <w:jc w:val="center"/>
        <w:rPr>
          <w:rFonts w:ascii="黑体" w:eastAsia="黑体" w:hint="eastAsia"/>
        </w:rPr>
      </w:pPr>
      <w:r>
        <w:rPr>
          <w:rFonts w:ascii="黑体" w:eastAsia="黑体" w:hint="eastAsia"/>
        </w:rPr>
        <w:t>第三章 在长期投资决策中的应用程序</w:t>
      </w:r>
    </w:p>
    <w:p>
      <w:pPr>
        <w:spacing w:after="0"/>
        <w:jc w:val="center"/>
        <w:rPr>
          <w:rFonts w:ascii="黑体" w:eastAsia="黑体" w:hint="eastAsia"/>
        </w:rPr>
        <w:sectPr>
          <w:pgSz w:w="11910" w:h="16840"/>
          <w:pgMar w:header="0" w:footer="977" w:top="1520" w:bottom="1160" w:left="1680" w:right="1540"/>
        </w:sectPr>
      </w:pPr>
    </w:p>
    <w:p>
      <w:pPr>
        <w:pStyle w:val="BodyText"/>
        <w:spacing w:line="417" w:lineRule="auto" w:before="34"/>
        <w:ind w:left="120" w:right="256" w:firstLine="559"/>
        <w:jc w:val="both"/>
      </w:pPr>
      <w:r>
        <w:rPr>
          <w:rFonts w:ascii="黑体" w:eastAsia="黑体" w:hint="eastAsia"/>
          <w:spacing w:val="7"/>
        </w:rPr>
        <w:t>第十五条 </w:t>
      </w:r>
      <w:r>
        <w:rPr>
          <w:spacing w:val="-1"/>
        </w:rPr>
        <w:t>长期投资决策中的敏感性分析，是指通过衡量投资方</w:t>
      </w:r>
      <w:r>
        <w:rPr>
          <w:spacing w:val="-8"/>
        </w:rPr>
        <w:t>案中某个因素的变动对该方案预期结果的影响程度，做出对项目投资</w:t>
      </w:r>
      <w:r>
        <w:rPr>
          <w:spacing w:val="-5"/>
        </w:rPr>
        <w:t>决策的可行性评价。</w:t>
      </w:r>
    </w:p>
    <w:p>
      <w:pPr>
        <w:pStyle w:val="BodyText"/>
        <w:spacing w:line="417" w:lineRule="auto"/>
        <w:ind w:left="120" w:right="256" w:firstLine="559"/>
        <w:jc w:val="both"/>
      </w:pPr>
      <w:r>
        <w:rPr>
          <w:rFonts w:ascii="黑体" w:eastAsia="黑体" w:hint="eastAsia"/>
        </w:rPr>
        <w:t>第十六条 </w:t>
      </w:r>
      <w:r>
        <w:rPr/>
        <w:t>长期投资决策敏感性分析的一般步骤参考本指引第六条。</w:t>
      </w:r>
    </w:p>
    <w:p>
      <w:pPr>
        <w:pStyle w:val="BodyText"/>
        <w:spacing w:line="417" w:lineRule="auto"/>
        <w:ind w:left="120" w:right="256" w:firstLine="559"/>
        <w:jc w:val="both"/>
      </w:pPr>
      <w:r>
        <w:rPr>
          <w:rFonts w:ascii="黑体" w:eastAsia="黑体" w:hint="eastAsia"/>
        </w:rPr>
        <w:t>第十七条 </w:t>
      </w:r>
      <w:r>
        <w:rPr/>
        <w:t>长期投资决策模型中决策目标的基准值通常包括净现值、内含报酬率、投资回收期、现值指数等。</w:t>
      </w:r>
    </w:p>
    <w:p>
      <w:pPr>
        <w:pStyle w:val="BodyText"/>
        <w:spacing w:line="417" w:lineRule="auto"/>
        <w:ind w:left="120" w:right="256" w:firstLine="559"/>
        <w:jc w:val="both"/>
      </w:pPr>
      <w:r>
        <w:rPr>
          <w:spacing w:val="-9"/>
        </w:rPr>
        <w:t>企业通常需要结合行业和项目特点，参考类似投资的经验，对决策目标基准值的影响因素进行识别和选取。决策目标基准值的影响因</w:t>
      </w:r>
      <w:r>
        <w:rPr>
          <w:spacing w:val="-3"/>
        </w:rPr>
        <w:t>素通常包括项目的期限、现金流和折现率。</w:t>
      </w:r>
    </w:p>
    <w:p>
      <w:pPr>
        <w:pStyle w:val="BodyText"/>
        <w:spacing w:line="417" w:lineRule="auto"/>
        <w:ind w:left="120" w:right="258" w:firstLine="559"/>
        <w:jc w:val="both"/>
      </w:pPr>
      <w:r>
        <w:rPr>
          <w:rFonts w:ascii="黑体" w:eastAsia="黑体" w:hint="eastAsia"/>
          <w:spacing w:val="7"/>
        </w:rPr>
        <w:t>第十八条 </w:t>
      </w:r>
      <w:r>
        <w:rPr>
          <w:spacing w:val="-1"/>
        </w:rPr>
        <w:t>长期投资决策中的敏感性分析，通常分析项目期限、</w:t>
      </w:r>
      <w:r>
        <w:rPr>
          <w:spacing w:val="-8"/>
        </w:rPr>
        <w:t>折现率和现金流量等变量的变化对投资方案的净现值、内含报酬率等</w:t>
      </w:r>
      <w:r>
        <w:rPr>
          <w:spacing w:val="-1"/>
        </w:rPr>
        <w:t>产生的影响。</w:t>
      </w:r>
    </w:p>
    <w:p>
      <w:pPr>
        <w:pStyle w:val="BodyText"/>
        <w:spacing w:line="417" w:lineRule="auto"/>
        <w:ind w:left="120" w:right="257" w:firstLine="559"/>
        <w:jc w:val="both"/>
      </w:pPr>
      <w:r>
        <w:rPr>
          <w:rFonts w:ascii="黑体" w:eastAsia="黑体" w:hint="eastAsia"/>
          <w:spacing w:val="7"/>
        </w:rPr>
        <w:t>第十九条 </w:t>
      </w:r>
      <w:r>
        <w:rPr>
          <w:spacing w:val="-1"/>
        </w:rPr>
        <w:t>以净现值为目标值进行敏感性分析的，可以计算投资</w:t>
      </w:r>
      <w:r>
        <w:rPr>
          <w:spacing w:val="-12"/>
        </w:rPr>
        <w:t>期内的年现金净流量、有效使用年限和折现率的变动对净现值的影响</w:t>
      </w:r>
      <w:r>
        <w:rPr>
          <w:spacing w:val="-11"/>
        </w:rPr>
        <w:t>程度；也可以计算净现值为零时的年现金净流量和有效使用年限的下</w:t>
      </w:r>
      <w:r>
        <w:rPr/>
        <w:t>限。</w:t>
      </w:r>
    </w:p>
    <w:p>
      <w:pPr>
        <w:pStyle w:val="BodyText"/>
        <w:spacing w:line="417" w:lineRule="auto"/>
        <w:ind w:left="120" w:right="253" w:firstLine="559"/>
        <w:jc w:val="both"/>
      </w:pPr>
      <w:r>
        <w:rPr>
          <w:rFonts w:ascii="黑体" w:eastAsia="黑体" w:hint="eastAsia"/>
          <w:spacing w:val="8"/>
        </w:rPr>
        <w:t>第二十条 </w:t>
      </w:r>
      <w:r>
        <w:rPr/>
        <w:t>以内含报酬率为基准值进行敏感性分析，可以计算投</w:t>
      </w:r>
      <w:r>
        <w:rPr>
          <w:spacing w:val="3"/>
        </w:rPr>
        <w:t>资期内的年现金净流量和有效使用年限变动对内含报酬率的影响程</w:t>
      </w:r>
      <w:r>
        <w:rPr/>
        <w:t>度。</w:t>
      </w:r>
    </w:p>
    <w:p>
      <w:pPr>
        <w:pStyle w:val="BodyText"/>
      </w:pPr>
    </w:p>
    <w:p>
      <w:pPr>
        <w:pStyle w:val="BodyText"/>
        <w:spacing w:before="7"/>
        <w:rPr>
          <w:sz w:val="20"/>
        </w:rPr>
      </w:pPr>
    </w:p>
    <w:p>
      <w:pPr>
        <w:pStyle w:val="BodyText"/>
        <w:ind w:left="1184" w:right="761"/>
        <w:jc w:val="center"/>
        <w:rPr>
          <w:rFonts w:ascii="黑体" w:eastAsia="黑体" w:hint="eastAsia"/>
        </w:rPr>
      </w:pPr>
      <w:r>
        <w:rPr>
          <w:rFonts w:ascii="黑体" w:eastAsia="黑体" w:hint="eastAsia"/>
        </w:rPr>
        <w:t>第四章 工具方法评价</w:t>
      </w:r>
    </w:p>
    <w:p>
      <w:pPr>
        <w:spacing w:after="0"/>
        <w:jc w:val="center"/>
        <w:rPr>
          <w:rFonts w:ascii="黑体" w:eastAsia="黑体" w:hint="eastAsia"/>
        </w:rPr>
        <w:sectPr>
          <w:pgSz w:w="11910" w:h="16840"/>
          <w:pgMar w:header="0" w:footer="977" w:top="1520" w:bottom="1160" w:left="1680" w:right="1540"/>
        </w:sectPr>
      </w:pPr>
    </w:p>
    <w:p>
      <w:pPr>
        <w:pStyle w:val="BodyText"/>
        <w:spacing w:line="417" w:lineRule="auto" w:before="34"/>
        <w:ind w:left="120" w:right="257" w:firstLine="559"/>
        <w:jc w:val="both"/>
      </w:pPr>
      <w:r>
        <w:rPr>
          <w:rFonts w:ascii="黑体" w:eastAsia="黑体" w:hint="eastAsia"/>
        </w:rPr>
        <w:t>第二十一条 </w:t>
      </w:r>
      <w:r>
        <w:rPr/>
        <w:t>敏感性分析的主要优点是：方法简单易行，分析结果易于理解，能为企业的规划、控制和决策提供参考。</w:t>
      </w:r>
    </w:p>
    <w:p>
      <w:pPr>
        <w:pStyle w:val="BodyText"/>
        <w:spacing w:line="417" w:lineRule="auto"/>
        <w:ind w:left="120" w:right="256" w:firstLine="559"/>
        <w:jc w:val="both"/>
      </w:pPr>
      <w:r>
        <w:rPr>
          <w:rFonts w:ascii="黑体" w:eastAsia="黑体" w:hint="eastAsia"/>
          <w:spacing w:val="6"/>
        </w:rPr>
        <w:t>第二十二条 </w:t>
      </w:r>
      <w:r>
        <w:rPr>
          <w:spacing w:val="-1"/>
        </w:rPr>
        <w:t>敏感性分析的主要缺点是：对决策模型和预测数据</w:t>
      </w:r>
      <w:r>
        <w:rPr>
          <w:spacing w:val="-11"/>
        </w:rPr>
        <w:t>具有依赖性，决策模型的可靠程度和数据的合理性，会影响敏感性分</w:t>
      </w:r>
      <w:r>
        <w:rPr>
          <w:spacing w:val="-1"/>
        </w:rPr>
        <w:t>析的可靠性。</w:t>
      </w:r>
    </w:p>
    <w:p>
      <w:pPr>
        <w:pStyle w:val="BodyText"/>
      </w:pPr>
    </w:p>
    <w:p>
      <w:pPr>
        <w:pStyle w:val="BodyText"/>
        <w:spacing w:before="9"/>
        <w:rPr>
          <w:sz w:val="20"/>
        </w:rPr>
      </w:pPr>
    </w:p>
    <w:p>
      <w:pPr>
        <w:pStyle w:val="BodyText"/>
        <w:spacing w:line="417" w:lineRule="auto"/>
        <w:ind w:left="679" w:right="3103" w:firstLine="2892"/>
      </w:pPr>
      <w:r>
        <w:rPr>
          <w:rFonts w:ascii="黑体" w:eastAsia="黑体" w:hint="eastAsia"/>
        </w:rPr>
        <w:t>第五章 附  则第二十三条 </w:t>
      </w:r>
      <w:r>
        <w:rPr/>
        <w:t>本指引由财政部负责解释。</w:t>
      </w:r>
    </w:p>
    <w:p>
      <w:pPr>
        <w:spacing w:after="0" w:line="417" w:lineRule="auto"/>
        <w:sectPr>
          <w:pgSz w:w="11910" w:h="16840"/>
          <w:pgMar w:header="0" w:footer="977" w:top="1520" w:bottom="1160" w:left="1680" w:right="1540"/>
        </w:sectPr>
      </w:pPr>
    </w:p>
    <w:p>
      <w:pPr>
        <w:pStyle w:val="BodyText"/>
        <w:rPr>
          <w:sz w:val="20"/>
        </w:rPr>
      </w:pPr>
    </w:p>
    <w:p>
      <w:pPr>
        <w:pStyle w:val="BodyText"/>
        <w:spacing w:before="12"/>
        <w:rPr>
          <w:sz w:val="21"/>
        </w:rPr>
      </w:pPr>
    </w:p>
    <w:p>
      <w:pPr>
        <w:pStyle w:val="BodyText"/>
        <w:spacing w:before="61"/>
        <w:ind w:left="561"/>
        <w:jc w:val="center"/>
      </w:pPr>
      <w:r>
        <w:rPr>
          <w:w w:val="100"/>
        </w:rPr>
        <w:t> </w:t>
      </w:r>
    </w:p>
    <w:p>
      <w:pPr>
        <w:pStyle w:val="Heading1"/>
        <w:spacing w:before="214"/>
        <w:ind w:left="1184"/>
      </w:pPr>
      <w:r>
        <w:rPr/>
        <w:t>管理会计应用指引第403号</w:t>
      </w:r>
      <w:r>
        <w:rPr>
          <w:rFonts w:ascii="黑体" w:hAnsi="黑体" w:eastAsia="黑体" w:hint="eastAsia"/>
          <w:b w:val="0"/>
        </w:rPr>
        <w:t>——</w:t>
      </w:r>
      <w:r>
        <w:rPr/>
        <w:t>边际分析</w:t>
      </w:r>
      <w:r>
        <w:rPr>
          <w:w w:val="99"/>
        </w:rPr>
        <w:t> </w:t>
      </w:r>
    </w:p>
    <w:p>
      <w:pPr>
        <w:pStyle w:val="BodyText"/>
        <w:rPr>
          <w:b/>
          <w:sz w:val="20"/>
        </w:rPr>
      </w:pPr>
    </w:p>
    <w:p>
      <w:pPr>
        <w:pStyle w:val="BodyText"/>
        <w:rPr>
          <w:b/>
          <w:sz w:val="20"/>
        </w:rPr>
      </w:pPr>
    </w:p>
    <w:p>
      <w:pPr>
        <w:pStyle w:val="BodyText"/>
        <w:spacing w:before="8"/>
        <w:rPr>
          <w:b/>
          <w:sz w:val="20"/>
        </w:rPr>
      </w:pPr>
    </w:p>
    <w:p>
      <w:pPr>
        <w:pStyle w:val="BodyText"/>
        <w:spacing w:before="61"/>
        <w:ind w:left="1184" w:right="765"/>
        <w:jc w:val="center"/>
        <w:rPr>
          <w:rFonts w:ascii="黑体" w:eastAsia="黑体" w:hint="eastAsia"/>
        </w:rPr>
      </w:pPr>
      <w:r>
        <w:rPr>
          <w:rFonts w:ascii="黑体" w:eastAsia="黑体" w:hint="eastAsia"/>
        </w:rPr>
        <w:t>第一章 总 则</w:t>
      </w:r>
    </w:p>
    <w:p>
      <w:pPr>
        <w:pStyle w:val="BodyText"/>
        <w:spacing w:before="10"/>
        <w:rPr>
          <w:rFonts w:ascii="黑体"/>
          <w:sz w:val="20"/>
        </w:rPr>
      </w:pPr>
    </w:p>
    <w:p>
      <w:pPr>
        <w:pStyle w:val="BodyText"/>
        <w:spacing w:line="417" w:lineRule="auto"/>
        <w:ind w:left="120" w:right="257" w:firstLine="559"/>
        <w:jc w:val="both"/>
        <w:rPr>
          <w:b/>
        </w:rPr>
      </w:pPr>
      <w:r>
        <w:rPr>
          <w:rFonts w:ascii="黑体" w:eastAsia="黑体" w:hint="eastAsia"/>
        </w:rPr>
        <w:t>第一条</w:t>
      </w:r>
      <w:r>
        <w:rPr/>
        <w:t> </w:t>
      </w:r>
      <w:r>
        <w:rPr>
          <w:spacing w:val="-1"/>
        </w:rPr>
        <w:t>边际分析，是指分析某可变因素的变动引起其他相关可</w:t>
      </w:r>
      <w:r>
        <w:rPr>
          <w:spacing w:val="-10"/>
        </w:rPr>
        <w:t>变因素变动的程度的方法，以评价既定产品或项目的获利水平，判断</w:t>
      </w:r>
      <w:r>
        <w:rPr>
          <w:spacing w:val="-3"/>
        </w:rPr>
        <w:t>盈亏临界点，提示营运风险，支持营运决策。</w:t>
      </w:r>
      <w:r>
        <w:rPr>
          <w:b/>
          <w:spacing w:val="-3"/>
          <w:w w:val="99"/>
        </w:rPr>
        <w:t> </w:t>
      </w:r>
    </w:p>
    <w:p>
      <w:pPr>
        <w:pStyle w:val="BodyText"/>
        <w:spacing w:line="417" w:lineRule="auto"/>
        <w:ind w:left="120" w:right="258" w:firstLine="559"/>
        <w:jc w:val="both"/>
        <w:rPr>
          <w:b/>
        </w:rPr>
      </w:pPr>
      <w:r>
        <w:rPr>
          <w:rFonts w:ascii="黑体" w:eastAsia="黑体" w:hint="eastAsia"/>
        </w:rPr>
        <w:t>第二条 </w:t>
      </w:r>
      <w:r>
        <w:rPr/>
        <w:t>企业在营运管理中，通常在进行本量利分析、敏感性分析的同时运用边际分析工具方法。</w:t>
      </w:r>
      <w:r>
        <w:rPr>
          <w:b/>
          <w:w w:val="99"/>
        </w:rPr>
        <w:t> </w:t>
      </w:r>
    </w:p>
    <w:p>
      <w:pPr>
        <w:pStyle w:val="BodyText"/>
        <w:spacing w:line="417" w:lineRule="auto"/>
        <w:ind w:left="120" w:right="258" w:firstLine="559"/>
        <w:jc w:val="both"/>
      </w:pPr>
      <w:r>
        <w:rPr>
          <w:rFonts w:ascii="黑体" w:eastAsia="黑体" w:hint="eastAsia"/>
        </w:rPr>
        <w:t>第三条 </w:t>
      </w:r>
      <w:r>
        <w:rPr/>
        <w:t>企业在营运计划的制定、调整以及营运监控分析等程序中通常会应用到边际分析。 </w:t>
      </w:r>
    </w:p>
    <w:p>
      <w:pPr>
        <w:pStyle w:val="BodyText"/>
        <w:spacing w:line="417" w:lineRule="auto"/>
        <w:ind w:left="120" w:right="255" w:firstLine="559"/>
        <w:jc w:val="both"/>
      </w:pPr>
      <w:r>
        <w:rPr>
          <w:rFonts w:ascii="黑体" w:hAnsi="黑体" w:eastAsia="黑体" w:hint="eastAsia"/>
        </w:rPr>
        <w:t>第四条</w:t>
      </w:r>
      <w:r>
        <w:rPr>
          <w:spacing w:val="22"/>
        </w:rPr>
        <w:t> </w:t>
      </w:r>
      <w:r>
        <w:rPr/>
        <w:t>企业应用边际分析，应遵循《管理会计应用指引第 </w:t>
      </w:r>
      <w:r>
        <w:rPr>
          <w:spacing w:val="-6"/>
        </w:rPr>
        <w:t>400 </w:t>
      </w:r>
      <w:r>
        <w:rPr>
          <w:spacing w:val="-3"/>
        </w:rPr>
        <w:t>号——营运管理》中对应用环境的一般要求。 </w:t>
      </w:r>
    </w:p>
    <w:p>
      <w:pPr>
        <w:pStyle w:val="BodyText"/>
        <w:rPr>
          <w:sz w:val="20"/>
        </w:rPr>
      </w:pPr>
    </w:p>
    <w:p>
      <w:pPr>
        <w:pStyle w:val="BodyText"/>
        <w:spacing w:before="10"/>
        <w:rPr>
          <w:sz w:val="23"/>
        </w:rPr>
      </w:pPr>
    </w:p>
    <w:p>
      <w:pPr>
        <w:pStyle w:val="BodyText"/>
        <w:spacing w:before="61"/>
        <w:ind w:left="1184" w:right="625"/>
        <w:jc w:val="center"/>
      </w:pPr>
      <w:r>
        <w:rPr>
          <w:rFonts w:ascii="黑体" w:eastAsia="黑体" w:hint="eastAsia"/>
          <w:spacing w:val="-2"/>
        </w:rPr>
        <w:t>第二章  应用程序</w:t>
      </w:r>
      <w:r>
        <w:rPr/>
        <w:t> </w:t>
      </w:r>
    </w:p>
    <w:p>
      <w:pPr>
        <w:pStyle w:val="BodyText"/>
        <w:spacing w:before="10"/>
        <w:rPr>
          <w:sz w:val="20"/>
        </w:rPr>
      </w:pPr>
    </w:p>
    <w:p>
      <w:pPr>
        <w:pStyle w:val="BodyText"/>
        <w:spacing w:line="417" w:lineRule="auto"/>
        <w:ind w:left="120" w:right="257" w:firstLine="559"/>
        <w:jc w:val="both"/>
      </w:pPr>
      <w:r>
        <w:rPr>
          <w:rFonts w:ascii="黑体" w:eastAsia="黑体" w:hint="eastAsia"/>
        </w:rPr>
        <w:t>第五条 </w:t>
      </w:r>
      <w:r>
        <w:rPr/>
        <w:t>边际分析工具方法主要有边际贡献分析、安全边际分析等。 </w:t>
      </w:r>
    </w:p>
    <w:p>
      <w:pPr>
        <w:pStyle w:val="BodyText"/>
        <w:spacing w:line="417" w:lineRule="auto"/>
        <w:ind w:left="120" w:right="255" w:firstLine="559"/>
        <w:jc w:val="both"/>
      </w:pPr>
      <w:r>
        <w:rPr>
          <w:rFonts w:ascii="黑体" w:eastAsia="黑体" w:hint="eastAsia"/>
          <w:spacing w:val="10"/>
        </w:rPr>
        <w:t>第六条 </w:t>
      </w:r>
      <w:r>
        <w:rPr>
          <w:spacing w:val="-1"/>
        </w:rPr>
        <w:t>边际贡献分析，是指通过分析销售收入减去变动成本总</w:t>
      </w:r>
      <w:r>
        <w:rPr>
          <w:spacing w:val="-11"/>
        </w:rPr>
        <w:t>额之后的差额，衡量产品为企业贡献利润的能力。边际贡献分析主要</w:t>
      </w:r>
      <w:r>
        <w:rPr>
          <w:spacing w:val="-3"/>
        </w:rPr>
        <w:t>包括边际贡献和边际贡献率两个指标。 </w:t>
      </w:r>
    </w:p>
    <w:p>
      <w:pPr>
        <w:pStyle w:val="BodyText"/>
        <w:spacing w:line="358" w:lineRule="exact"/>
        <w:ind w:left="679"/>
      </w:pPr>
      <w:r>
        <w:rPr/>
        <w:t>边际贡献总额是产品的销售收入扣除变动成本总额后给企业带</w:t>
      </w:r>
    </w:p>
    <w:p>
      <w:pPr>
        <w:spacing w:after="0" w:line="358" w:lineRule="exact"/>
        <w:sectPr>
          <w:pgSz w:w="11910" w:h="16840"/>
          <w:pgMar w:header="0" w:footer="977" w:top="1580" w:bottom="1160" w:left="1680" w:right="1540"/>
        </w:sectPr>
      </w:pPr>
    </w:p>
    <w:p>
      <w:pPr>
        <w:pStyle w:val="BodyText"/>
        <w:spacing w:line="417" w:lineRule="auto" w:before="34"/>
        <w:ind w:left="120" w:right="253"/>
      </w:pPr>
      <w:r>
        <w:rPr>
          <w:spacing w:val="-11"/>
        </w:rPr>
        <w:t>来的贡献，进一步扣除企业的固定成本总额后，剩余部分就是企业的</w:t>
      </w:r>
      <w:r>
        <w:rPr>
          <w:spacing w:val="-3"/>
        </w:rPr>
        <w:t>利润，相关计算公式如下： </w:t>
      </w:r>
    </w:p>
    <w:p>
      <w:pPr>
        <w:pStyle w:val="BodyText"/>
        <w:spacing w:line="417" w:lineRule="auto"/>
        <w:ind w:left="679" w:right="2825"/>
      </w:pPr>
      <w:r>
        <w:rPr/>
        <w:t>边际贡献总额＝销售收入－变动成本总额单位边际贡献＝单价－单位变动成本 </w:t>
      </w:r>
    </w:p>
    <w:p>
      <w:pPr>
        <w:pStyle w:val="BodyText"/>
        <w:spacing w:line="417" w:lineRule="auto"/>
        <w:ind w:left="120" w:right="258" w:firstLine="559"/>
      </w:pPr>
      <w:r>
        <w:rPr>
          <w:spacing w:val="-11"/>
        </w:rPr>
        <w:t>边际贡献率，是指边际贡献在销售收入中所占的百分比，表示每</w:t>
      </w:r>
      <w:r>
        <w:rPr/>
        <w:t>1</w:t>
      </w:r>
      <w:r>
        <w:rPr>
          <w:spacing w:val="-10"/>
        </w:rPr>
        <w:t> 元销售收入中边际贡献所占的比重。 </w:t>
      </w:r>
    </w:p>
    <w:p>
      <w:pPr>
        <w:spacing w:line="401" w:lineRule="exact" w:before="15"/>
        <w:ind w:left="679" w:right="0" w:firstLine="0"/>
        <w:jc w:val="left"/>
        <w:rPr>
          <w:sz w:val="28"/>
        </w:rPr>
      </w:pPr>
      <w:r>
        <w:rPr/>
        <w:pict>
          <v:line style="position:absolute;mso-position-horizontal-relative:page;mso-position-vertical-relative:paragraph;z-index:-15959040" from="204.01178pt,17.150648pt" to="253.291081pt,17.150648pt" stroked="true" strokeweight=".493922pt" strokecolor="#000000">
            <v:stroke dashstyle="solid"/>
            <w10:wrap type="none"/>
          </v:line>
        </w:pict>
      </w:r>
      <w:r>
        <w:rPr>
          <w:spacing w:val="-1"/>
          <w:sz w:val="28"/>
        </w:rPr>
        <w:t>边际贡献率</w:t>
      </w:r>
      <w:r>
        <w:rPr>
          <w:sz w:val="28"/>
        </w:rPr>
        <w:t>＝</w:t>
      </w:r>
      <w:r>
        <w:rPr>
          <w:spacing w:val="-90"/>
          <w:sz w:val="28"/>
        </w:rPr>
        <w:t> </w:t>
      </w:r>
      <w:r>
        <w:rPr>
          <w:spacing w:val="-11"/>
          <w:position w:val="15"/>
          <w:sz w:val="24"/>
        </w:rPr>
        <w:t>边际贡献 </w:t>
      </w:r>
      <w:r>
        <w:rPr>
          <w:sz w:val="28"/>
        </w:rPr>
        <w:t>×100％ </w:t>
      </w:r>
    </w:p>
    <w:p>
      <w:pPr>
        <w:spacing w:line="240" w:lineRule="exact" w:before="0"/>
        <w:ind w:left="0" w:right="5306" w:firstLine="0"/>
        <w:jc w:val="right"/>
        <w:rPr>
          <w:sz w:val="24"/>
        </w:rPr>
      </w:pPr>
      <w:r>
        <w:rPr>
          <w:sz w:val="24"/>
        </w:rPr>
        <w:t>销售收入</w:t>
      </w:r>
    </w:p>
    <w:p>
      <w:pPr>
        <w:pStyle w:val="BodyText"/>
        <w:spacing w:before="12"/>
        <w:rPr>
          <w:sz w:val="22"/>
        </w:rPr>
      </w:pPr>
    </w:p>
    <w:p>
      <w:pPr>
        <w:spacing w:line="401" w:lineRule="exact" w:before="0"/>
        <w:ind w:left="2081" w:right="0" w:firstLine="0"/>
        <w:jc w:val="left"/>
        <w:rPr>
          <w:sz w:val="28"/>
        </w:rPr>
      </w:pPr>
      <w:r>
        <w:rPr/>
        <w:pict>
          <v:line style="position:absolute;mso-position-horizontal-relative:page;mso-position-vertical-relative:paragraph;z-index:-15958528" from="204.168579pt,16.400660pt" to="276.876072pt,16.400660pt" stroked="true" strokeweight=".493922pt" strokecolor="#000000">
            <v:stroke dashstyle="solid"/>
            <w10:wrap type="none"/>
          </v:line>
        </w:pict>
      </w:r>
      <w:r>
        <w:rPr>
          <w:sz w:val="28"/>
        </w:rPr>
        <w:t>＝</w:t>
      </w:r>
      <w:r>
        <w:rPr>
          <w:spacing w:val="-94"/>
          <w:sz w:val="28"/>
        </w:rPr>
        <w:t> </w:t>
      </w:r>
      <w:r>
        <w:rPr>
          <w:spacing w:val="7"/>
          <w:position w:val="15"/>
          <w:sz w:val="24"/>
        </w:rPr>
        <w:t>单位边际贡献</w:t>
      </w:r>
      <w:r>
        <w:rPr>
          <w:sz w:val="28"/>
        </w:rPr>
        <w:t>×100％ </w:t>
      </w:r>
    </w:p>
    <w:p>
      <w:pPr>
        <w:spacing w:line="240" w:lineRule="exact" w:before="0"/>
        <w:ind w:left="0" w:right="5312" w:firstLine="0"/>
        <w:jc w:val="right"/>
        <w:rPr>
          <w:sz w:val="24"/>
        </w:rPr>
      </w:pPr>
      <w:r>
        <w:rPr>
          <w:sz w:val="24"/>
        </w:rPr>
        <w:t>单价</w:t>
      </w:r>
    </w:p>
    <w:p>
      <w:pPr>
        <w:pStyle w:val="BodyText"/>
        <w:spacing w:before="1"/>
        <w:rPr>
          <w:sz w:val="17"/>
        </w:rPr>
      </w:pPr>
    </w:p>
    <w:p>
      <w:pPr>
        <w:pStyle w:val="BodyText"/>
        <w:spacing w:line="417" w:lineRule="auto" w:before="61"/>
        <w:ind w:left="120" w:right="258" w:firstLine="559"/>
        <w:jc w:val="both"/>
      </w:pPr>
      <w:r>
        <w:rPr>
          <w:rFonts w:ascii="黑体" w:eastAsia="黑体" w:hint="eastAsia"/>
          <w:spacing w:val="9"/>
        </w:rPr>
        <w:t>第七条 </w:t>
      </w:r>
      <w:r>
        <w:rPr>
          <w:spacing w:val="-1"/>
        </w:rPr>
        <w:t>企业面临资源约束，需要对多个产品线或多种产品进行</w:t>
      </w:r>
      <w:r>
        <w:rPr>
          <w:spacing w:val="-9"/>
        </w:rPr>
        <w:t>优化决策或对多种待选新产品进行投产决策的，可以通过计算边际贡</w:t>
      </w:r>
      <w:r>
        <w:rPr>
          <w:spacing w:val="-3"/>
        </w:rPr>
        <w:t>献以及边际贡献率，评价待选产品的盈利性，优化产品组合。 </w:t>
      </w:r>
    </w:p>
    <w:p>
      <w:pPr>
        <w:pStyle w:val="BodyText"/>
        <w:spacing w:line="358" w:lineRule="exact"/>
        <w:ind w:left="679"/>
      </w:pPr>
      <w:r>
        <w:rPr>
          <w:rFonts w:ascii="黑体" w:eastAsia="黑体" w:hint="eastAsia"/>
        </w:rPr>
        <w:t>第八条</w:t>
      </w:r>
      <w:r>
        <w:rPr/>
        <w:t> </w:t>
      </w:r>
      <w:r>
        <w:rPr/>
        <w:t>企业进行单一产品决策时，评价标准如下： </w:t>
      </w:r>
    </w:p>
    <w:p>
      <w:pPr>
        <w:pStyle w:val="BodyText"/>
        <w:spacing w:before="9"/>
        <w:rPr>
          <w:sz w:val="20"/>
        </w:rPr>
      </w:pPr>
    </w:p>
    <w:p>
      <w:pPr>
        <w:pStyle w:val="BodyText"/>
        <w:spacing w:line="417" w:lineRule="auto"/>
        <w:ind w:left="679" w:right="115"/>
        <w:jc w:val="both"/>
      </w:pPr>
      <w:r>
        <w:rPr/>
        <w:t>当边际贡献总额大于固定成本时，利润大于 0，表明企业盈利； 当边际贡献总额小于固定成本时，利润小于 0，表明企业亏损； 当边际贡献总额等于固定成本时，利润等于 0，表明企业保本。</w:t>
      </w:r>
      <w:r>
        <w:rPr>
          <w:rFonts w:ascii="黑体" w:eastAsia="黑体" w:hint="eastAsia"/>
        </w:rPr>
        <w:t>第九条</w:t>
      </w:r>
      <w:r>
        <w:rPr/>
        <w:t> </w:t>
      </w:r>
      <w:r>
        <w:rPr/>
        <w:t>当进行多产品决策时，边际贡献与变动成本之间存在如</w:t>
      </w:r>
    </w:p>
    <w:p>
      <w:pPr>
        <w:pStyle w:val="BodyText"/>
        <w:spacing w:line="358" w:lineRule="exact"/>
        <w:ind w:left="120"/>
      </w:pPr>
      <w:r>
        <w:rPr/>
        <w:t>下关系： </w:t>
      </w:r>
    </w:p>
    <w:p>
      <w:pPr>
        <w:pStyle w:val="BodyText"/>
        <w:spacing w:before="9"/>
        <w:rPr>
          <w:sz w:val="20"/>
        </w:rPr>
      </w:pPr>
    </w:p>
    <w:p>
      <w:pPr>
        <w:pStyle w:val="BodyText"/>
        <w:ind w:left="679"/>
      </w:pPr>
      <w:r>
        <w:rPr/>
        <w:t>综合边际贡献率＝1－综合变动成本率 </w:t>
      </w:r>
    </w:p>
    <w:p>
      <w:pPr>
        <w:pStyle w:val="BodyText"/>
        <w:spacing w:before="9"/>
        <w:rPr>
          <w:sz w:val="20"/>
        </w:rPr>
      </w:pPr>
    </w:p>
    <w:p>
      <w:pPr>
        <w:pStyle w:val="BodyText"/>
        <w:spacing w:line="417" w:lineRule="auto"/>
        <w:ind w:left="120" w:right="256" w:firstLine="559"/>
      </w:pPr>
      <w:r>
        <w:rPr>
          <w:spacing w:val="-8"/>
        </w:rPr>
        <w:t>综合边际贡献率反映了多产品组合给企业做出贡献的能力，该指</w:t>
      </w:r>
      <w:r>
        <w:rPr>
          <w:spacing w:val="-2"/>
        </w:rPr>
        <w:t>标通常越大越好。 </w:t>
      </w:r>
    </w:p>
    <w:p>
      <w:pPr>
        <w:pStyle w:val="BodyText"/>
        <w:ind w:left="679"/>
      </w:pPr>
      <w:r>
        <w:rPr>
          <w:rFonts w:ascii="黑体" w:eastAsia="黑体" w:hint="eastAsia"/>
        </w:rPr>
        <w:t>第十条 </w:t>
      </w:r>
      <w:r>
        <w:rPr/>
        <w:t>企业可以通过边际分析对现有产品组合进行有关优化决</w:t>
      </w:r>
    </w:p>
    <w:p>
      <w:pPr>
        <w:spacing w:after="0"/>
        <w:sectPr>
          <w:pgSz w:w="11910" w:h="16840"/>
          <w:pgMar w:header="0" w:footer="977" w:top="1520" w:bottom="1160" w:left="1680" w:right="1540"/>
        </w:sectPr>
      </w:pPr>
    </w:p>
    <w:p>
      <w:pPr>
        <w:pStyle w:val="BodyText"/>
        <w:spacing w:line="417" w:lineRule="auto" w:before="34"/>
        <w:ind w:left="120" w:right="258"/>
        <w:jc w:val="both"/>
      </w:pPr>
      <w:r>
        <w:rPr>
          <w:spacing w:val="-11"/>
        </w:rPr>
        <w:t>策，如计算现有各条产品线或各种产品的边际贡献并进行比较，增加</w:t>
      </w:r>
      <w:r>
        <w:rPr>
          <w:spacing w:val="-10"/>
        </w:rPr>
        <w:t>边际贡献或边际贡献率高的产品组合，减少边际贡献或边际贡献率低</w:t>
      </w:r>
      <w:r>
        <w:rPr>
          <w:spacing w:val="-2"/>
        </w:rPr>
        <w:t>的产品组合。</w:t>
      </w:r>
      <w:r>
        <w:rPr/>
        <w:t> </w:t>
      </w:r>
    </w:p>
    <w:p>
      <w:pPr>
        <w:pStyle w:val="BodyText"/>
        <w:spacing w:line="417" w:lineRule="auto"/>
        <w:ind w:left="120" w:right="254" w:firstLine="559"/>
        <w:jc w:val="both"/>
      </w:pPr>
      <w:r>
        <w:rPr>
          <w:rFonts w:ascii="黑体" w:eastAsia="黑体" w:hint="eastAsia"/>
          <w:spacing w:val="7"/>
        </w:rPr>
        <w:t>第十一条 </w:t>
      </w:r>
      <w:r>
        <w:rPr>
          <w:spacing w:val="-1"/>
        </w:rPr>
        <w:t>安全边际分析，是指通过分析正常销售额超过盈亏临</w:t>
      </w:r>
      <w:r>
        <w:rPr>
          <w:spacing w:val="-11"/>
        </w:rPr>
        <w:t>界点销售额的差额，衡量企业在保本的前提下，能够承受因销售额下</w:t>
      </w:r>
      <w:r>
        <w:rPr>
          <w:spacing w:val="-7"/>
        </w:rPr>
        <w:t>降带来的不利影响的程度和企业抵御营运风险的能力。安全边际分析</w:t>
      </w:r>
      <w:r>
        <w:rPr>
          <w:spacing w:val="-5"/>
        </w:rPr>
        <w:t>主要包括安全边际和安全边际率两个指标。 </w:t>
      </w:r>
    </w:p>
    <w:p>
      <w:pPr>
        <w:pStyle w:val="BodyText"/>
        <w:spacing w:line="417" w:lineRule="auto"/>
        <w:ind w:left="120" w:right="258" w:firstLine="559"/>
      </w:pPr>
      <w:r>
        <w:rPr>
          <w:spacing w:val="-12"/>
        </w:rPr>
        <w:t>安全边际，是指实际销售量或预期销售量超过盈亏平衡点销售量</w:t>
      </w:r>
      <w:r>
        <w:rPr>
          <w:spacing w:val="-3"/>
        </w:rPr>
        <w:t>的差额，体现企业营运的安全程度。有关公式如下： </w:t>
      </w:r>
    </w:p>
    <w:p>
      <w:pPr>
        <w:pStyle w:val="BodyText"/>
        <w:spacing w:line="358" w:lineRule="exact"/>
        <w:ind w:left="679"/>
      </w:pPr>
      <w:r>
        <w:rPr/>
        <w:t>安全边际＝实际销售量或预期销售量－保本点销售量 </w:t>
      </w:r>
    </w:p>
    <w:p>
      <w:pPr>
        <w:pStyle w:val="BodyText"/>
        <w:spacing w:before="8"/>
        <w:rPr>
          <w:sz w:val="20"/>
        </w:rPr>
      </w:pPr>
    </w:p>
    <w:p>
      <w:pPr>
        <w:pStyle w:val="BodyText"/>
        <w:spacing w:before="1"/>
        <w:ind w:left="679"/>
      </w:pPr>
      <w:r>
        <w:rPr/>
        <w:t>安全边际率，是指安全边际与实际销售量或预期销售量的比值，</w:t>
      </w:r>
    </w:p>
    <w:p>
      <w:pPr>
        <w:pStyle w:val="BodyText"/>
        <w:spacing w:before="11"/>
        <w:rPr>
          <w:sz w:val="15"/>
        </w:rPr>
      </w:pPr>
    </w:p>
    <w:p>
      <w:pPr>
        <w:spacing w:after="0"/>
        <w:rPr>
          <w:sz w:val="15"/>
        </w:rPr>
        <w:sectPr>
          <w:pgSz w:w="11910" w:h="16840"/>
          <w:pgMar w:header="0" w:footer="977" w:top="1520" w:bottom="1160" w:left="1680" w:right="1540"/>
        </w:sectPr>
      </w:pPr>
    </w:p>
    <w:p>
      <w:pPr>
        <w:pStyle w:val="BodyText"/>
        <w:spacing w:before="62"/>
        <w:ind w:left="120"/>
      </w:pPr>
      <w:r>
        <w:rPr/>
        <w:t>公式如下： </w:t>
      </w:r>
    </w:p>
    <w:p>
      <w:pPr>
        <w:pStyle w:val="BodyText"/>
        <w:spacing w:before="5"/>
        <w:rPr>
          <w:sz w:val="30"/>
        </w:rPr>
      </w:pPr>
    </w:p>
    <w:p>
      <w:pPr>
        <w:pStyle w:val="BodyText"/>
        <w:spacing w:before="1"/>
        <w:ind w:left="679"/>
      </w:pPr>
      <w:r>
        <w:rPr/>
        <w:t>安全边际率＝</w:t>
      </w:r>
    </w:p>
    <w:p>
      <w:pPr>
        <w:pStyle w:val="BodyText"/>
        <w:spacing w:before="9"/>
        <w:rPr>
          <w:sz w:val="54"/>
        </w:rPr>
      </w:pPr>
      <w:r>
        <w:rPr/>
        <w:br w:type="column"/>
      </w:r>
      <w:r>
        <w:rPr>
          <w:sz w:val="54"/>
        </w:rPr>
      </w:r>
    </w:p>
    <w:p>
      <w:pPr>
        <w:tabs>
          <w:tab w:pos="2699" w:val="left" w:leader="none"/>
        </w:tabs>
        <w:spacing w:line="401" w:lineRule="exact" w:before="0"/>
        <w:ind w:left="842" w:right="0" w:firstLine="0"/>
        <w:jc w:val="left"/>
        <w:rPr>
          <w:sz w:val="28"/>
        </w:rPr>
      </w:pPr>
      <w:r>
        <w:rPr>
          <w:position w:val="15"/>
          <w:sz w:val="24"/>
        </w:rPr>
        <w:t>安全边际</w:t>
        <w:tab/>
      </w:r>
      <w:r>
        <w:rPr>
          <w:sz w:val="28"/>
        </w:rPr>
        <w:t>×100％ </w:t>
      </w:r>
    </w:p>
    <w:p>
      <w:pPr>
        <w:spacing w:line="240" w:lineRule="exact" w:before="0"/>
        <w:ind w:left="3" w:right="0" w:firstLine="0"/>
        <w:jc w:val="left"/>
        <w:rPr>
          <w:sz w:val="24"/>
        </w:rPr>
      </w:pPr>
      <w:r>
        <w:rPr/>
        <w:pict>
          <v:line style="position:absolute;mso-position-horizontal-relative:page;mso-position-vertical-relative:paragraph;z-index:-15958016" from="204.004608pt,-3.663253pt" to="336.517122pt,-3.663253pt" stroked="true" strokeweight=".493922pt" strokecolor="#000000">
            <v:stroke dashstyle="solid"/>
            <w10:wrap type="none"/>
          </v:line>
        </w:pict>
      </w:r>
      <w:r>
        <w:rPr>
          <w:sz w:val="24"/>
        </w:rPr>
        <w:t>实际销售量或预期销售量</w:t>
      </w:r>
    </w:p>
    <w:p>
      <w:pPr>
        <w:spacing w:after="0" w:line="240" w:lineRule="exact"/>
        <w:jc w:val="left"/>
        <w:rPr>
          <w:sz w:val="24"/>
        </w:rPr>
        <w:sectPr>
          <w:type w:val="continuous"/>
          <w:pgSz w:w="11910" w:h="16840"/>
          <w:pgMar w:top="1520" w:bottom="1160" w:left="1680" w:right="1540"/>
          <w:cols w:num="2" w:equalWidth="0">
            <w:col w:w="2363" w:space="40"/>
            <w:col w:w="6287"/>
          </w:cols>
        </w:sectPr>
      </w:pPr>
    </w:p>
    <w:p>
      <w:pPr>
        <w:pStyle w:val="BodyText"/>
        <w:spacing w:before="1"/>
        <w:rPr>
          <w:sz w:val="17"/>
        </w:rPr>
      </w:pPr>
    </w:p>
    <w:p>
      <w:pPr>
        <w:pStyle w:val="BodyText"/>
        <w:spacing w:line="417" w:lineRule="auto" w:before="62"/>
        <w:ind w:left="120" w:right="256" w:firstLine="559"/>
        <w:jc w:val="both"/>
      </w:pPr>
      <w:r>
        <w:rPr>
          <w:rFonts w:ascii="黑体" w:eastAsia="黑体" w:hint="eastAsia"/>
        </w:rPr>
        <w:t>第十二条</w:t>
      </w:r>
      <w:r>
        <w:rPr/>
        <w:t> </w:t>
      </w:r>
      <w:r>
        <w:rPr>
          <w:spacing w:val="-1"/>
        </w:rPr>
        <w:t>安全边际主要用于衡量企业承受营运风险的能力，尤</w:t>
      </w:r>
      <w:r>
        <w:rPr>
          <w:spacing w:val="-8"/>
        </w:rPr>
        <w:t>其是销售量下降时承受风险的能力，也可以用于盈利预测。安全边际</w:t>
      </w:r>
      <w:r>
        <w:rPr>
          <w:spacing w:val="-11"/>
        </w:rPr>
        <w:t>或安全边际率的数值越大，企业发生亏损的可能性越小，抵御营运风</w:t>
      </w:r>
      <w:r>
        <w:rPr>
          <w:spacing w:val="-3"/>
        </w:rPr>
        <w:t>险的能力越强，盈利能力越大。 </w:t>
      </w:r>
    </w:p>
    <w:p>
      <w:pPr>
        <w:pStyle w:val="BodyText"/>
      </w:pPr>
    </w:p>
    <w:p>
      <w:pPr>
        <w:pStyle w:val="BodyText"/>
        <w:spacing w:before="8"/>
        <w:rPr>
          <w:sz w:val="20"/>
        </w:rPr>
      </w:pPr>
    </w:p>
    <w:p>
      <w:pPr>
        <w:pStyle w:val="BodyText"/>
        <w:ind w:left="1184" w:right="761"/>
        <w:jc w:val="center"/>
        <w:rPr>
          <w:rFonts w:ascii="黑体" w:eastAsia="黑体" w:hint="eastAsia"/>
        </w:rPr>
      </w:pPr>
      <w:r>
        <w:rPr>
          <w:rFonts w:ascii="黑体" w:eastAsia="黑体" w:hint="eastAsia"/>
        </w:rPr>
        <w:t>第三章 工具方法评价</w:t>
      </w:r>
    </w:p>
    <w:p>
      <w:pPr>
        <w:pStyle w:val="BodyText"/>
        <w:spacing w:before="9"/>
        <w:rPr>
          <w:rFonts w:ascii="黑体"/>
          <w:sz w:val="20"/>
        </w:rPr>
      </w:pPr>
    </w:p>
    <w:p>
      <w:pPr>
        <w:pStyle w:val="BodyText"/>
        <w:spacing w:line="417" w:lineRule="auto"/>
        <w:ind w:left="120" w:right="253" w:firstLine="559"/>
        <w:jc w:val="both"/>
      </w:pPr>
      <w:r>
        <w:rPr>
          <w:rFonts w:ascii="黑体" w:eastAsia="黑体" w:hint="eastAsia"/>
        </w:rPr>
        <w:t>第十三条</w:t>
      </w:r>
      <w:r>
        <w:rPr/>
        <w:t> </w:t>
      </w:r>
      <w:r>
        <w:rPr/>
        <w:t>边际分析方法的主要优点是：可有效地分析业务量、</w:t>
      </w:r>
      <w:r>
        <w:rPr>
          <w:spacing w:val="-11"/>
        </w:rPr>
        <w:t>变动成本和利润之间的关系，通过定量分析，直观地反映企业营运风</w:t>
      </w:r>
      <w:r>
        <w:rPr>
          <w:spacing w:val="-3"/>
        </w:rPr>
        <w:t>险，促进提高企业营运效益。</w:t>
      </w:r>
      <w:r>
        <w:rPr/>
        <w:t> </w:t>
      </w:r>
    </w:p>
    <w:p>
      <w:pPr>
        <w:spacing w:after="0" w:line="417" w:lineRule="auto"/>
        <w:jc w:val="both"/>
        <w:sectPr>
          <w:type w:val="continuous"/>
          <w:pgSz w:w="11910" w:h="16840"/>
          <w:pgMar w:top="1520" w:bottom="1160" w:left="1680" w:right="1540"/>
        </w:sectPr>
      </w:pPr>
    </w:p>
    <w:p>
      <w:pPr>
        <w:pStyle w:val="BodyText"/>
        <w:spacing w:line="417" w:lineRule="auto" w:before="34"/>
        <w:ind w:left="120" w:right="115" w:firstLine="559"/>
      </w:pPr>
      <w:r>
        <w:rPr>
          <w:rFonts w:ascii="黑体" w:eastAsia="黑体" w:hint="eastAsia"/>
        </w:rPr>
        <w:t>第十四条</w:t>
      </w:r>
      <w:r>
        <w:rPr/>
        <w:t> </w:t>
      </w:r>
      <w:r>
        <w:rPr/>
        <w:t>边际分析方法的主要缺点是：决策变量与相关结果之间关系较为复杂，所选取的变量直接影响边际分析的实际应用效果。 </w:t>
      </w:r>
    </w:p>
    <w:p>
      <w:pPr>
        <w:pStyle w:val="BodyText"/>
      </w:pPr>
    </w:p>
    <w:p>
      <w:pPr>
        <w:pStyle w:val="BodyText"/>
        <w:spacing w:before="9"/>
        <w:rPr>
          <w:sz w:val="20"/>
        </w:rPr>
      </w:pPr>
    </w:p>
    <w:p>
      <w:pPr>
        <w:pStyle w:val="BodyText"/>
        <w:spacing w:line="417" w:lineRule="auto"/>
        <w:ind w:left="679" w:right="3218" w:firstLine="2964"/>
        <w:rPr>
          <w:b/>
        </w:rPr>
      </w:pPr>
      <w:r>
        <w:rPr>
          <w:rFonts w:ascii="黑体" w:eastAsia="黑体" w:hint="eastAsia"/>
        </w:rPr>
        <w:t>第四章 附 则第十五条</w:t>
      </w:r>
      <w:r>
        <w:rPr/>
        <w:t> </w:t>
      </w:r>
      <w:r>
        <w:rPr/>
        <w:t>本指引由财政部负责解释。</w:t>
      </w:r>
      <w:r>
        <w:rPr>
          <w:b/>
          <w:w w:val="99"/>
        </w:rPr>
        <w:t> </w:t>
      </w:r>
    </w:p>
    <w:p>
      <w:pPr>
        <w:spacing w:after="0" w:line="417" w:lineRule="auto"/>
        <w:sectPr>
          <w:pgSz w:w="11910" w:h="16840"/>
          <w:pgMar w:header="0" w:footer="977" w:top="1520" w:bottom="1160" w:left="1680" w:right="1540"/>
        </w:sectPr>
      </w:pPr>
    </w:p>
    <w:p>
      <w:pPr>
        <w:pStyle w:val="BodyText"/>
        <w:spacing w:before="34"/>
        <w:ind w:left="120"/>
        <w:rPr>
          <w:rFonts w:ascii="黑体" w:eastAsia="黑体" w:hint="eastAsia"/>
        </w:rPr>
      </w:pPr>
      <w:r>
        <w:rPr>
          <w:rFonts w:ascii="黑体" w:eastAsia="黑体" w:hint="eastAsia"/>
        </w:rPr>
        <w:t>附录：</w:t>
      </w:r>
    </w:p>
    <w:p>
      <w:pPr>
        <w:pStyle w:val="BodyText"/>
        <w:rPr>
          <w:rFonts w:ascii="黑体"/>
          <w:sz w:val="20"/>
        </w:rPr>
      </w:pPr>
    </w:p>
    <w:p>
      <w:pPr>
        <w:pStyle w:val="BodyText"/>
        <w:rPr>
          <w:rFonts w:ascii="黑体"/>
          <w:sz w:val="20"/>
        </w:rPr>
      </w:pPr>
    </w:p>
    <w:p>
      <w:pPr>
        <w:pStyle w:val="BodyText"/>
        <w:spacing w:before="7"/>
        <w:rPr>
          <w:rFonts w:ascii="黑体"/>
          <w:sz w:val="21"/>
        </w:rPr>
      </w:pPr>
    </w:p>
    <w:p>
      <w:pPr>
        <w:pStyle w:val="Heading1"/>
        <w:ind w:left="1181"/>
      </w:pPr>
      <w:r>
        <w:rPr/>
        <w:t>本量利关系图指标计算说明</w:t>
      </w:r>
      <w:r>
        <w:rPr>
          <w:w w:val="99"/>
        </w:rPr>
        <w:t> </w:t>
      </w:r>
    </w:p>
    <w:p>
      <w:pPr>
        <w:pStyle w:val="BodyText"/>
        <w:rPr>
          <w:b/>
          <w:sz w:val="36"/>
        </w:rPr>
      </w:pPr>
    </w:p>
    <w:p>
      <w:pPr>
        <w:pStyle w:val="BodyText"/>
        <w:spacing w:before="5"/>
        <w:rPr>
          <w:b/>
          <w:sz w:val="29"/>
        </w:rPr>
      </w:pPr>
    </w:p>
    <w:p>
      <w:pPr>
        <w:pStyle w:val="ListParagraph"/>
        <w:numPr>
          <w:ilvl w:val="0"/>
          <w:numId w:val="1"/>
        </w:numPr>
        <w:tabs>
          <w:tab w:pos="1101" w:val="left" w:leader="none"/>
        </w:tabs>
        <w:spacing w:line="417" w:lineRule="auto" w:before="0" w:after="0"/>
        <w:ind w:left="120" w:right="256" w:firstLine="559"/>
        <w:jc w:val="left"/>
        <w:rPr>
          <w:sz w:val="28"/>
        </w:rPr>
      </w:pPr>
      <w:r>
        <w:rPr>
          <w:b/>
          <w:sz w:val="28"/>
        </w:rPr>
        <w:t>传统式本量利关系图</w:t>
      </w:r>
      <w:r>
        <w:rPr>
          <w:spacing w:val="-16"/>
          <w:sz w:val="28"/>
        </w:rPr>
        <w:t>是最基本、最常见的本量利关系图形</w:t>
      </w:r>
      <w:r>
        <w:rPr>
          <w:sz w:val="28"/>
        </w:rPr>
        <w:t>（ </w:t>
      </w:r>
      <w:r>
        <w:rPr>
          <w:spacing w:val="-7"/>
          <w:w w:val="100"/>
          <w:sz w:val="28"/>
        </w:rPr>
        <w:t>见图</w:t>
      </w:r>
      <w:r>
        <w:rPr>
          <w:spacing w:val="-71"/>
          <w:sz w:val="28"/>
        </w:rPr>
        <w:t> </w:t>
      </w:r>
      <w:r>
        <w:rPr>
          <w:spacing w:val="-2"/>
          <w:w w:val="100"/>
          <w:sz w:val="28"/>
        </w:rPr>
        <w:t>1</w:t>
      </w:r>
      <w:r>
        <w:rPr>
          <w:spacing w:val="-140"/>
          <w:w w:val="100"/>
          <w:sz w:val="28"/>
        </w:rPr>
        <w:t>）</w:t>
      </w:r>
      <w:r>
        <w:rPr>
          <w:spacing w:val="-2"/>
          <w:w w:val="100"/>
          <w:sz w:val="28"/>
        </w:rPr>
        <w:t>。绘制方法如下：</w:t>
      </w:r>
    </w:p>
    <w:p>
      <w:pPr>
        <w:pStyle w:val="ListParagraph"/>
        <w:numPr>
          <w:ilvl w:val="0"/>
          <w:numId w:val="2"/>
        </w:numPr>
        <w:tabs>
          <w:tab w:pos="1243" w:val="left" w:leader="none"/>
        </w:tabs>
        <w:spacing w:line="417" w:lineRule="auto" w:before="0" w:after="0"/>
        <w:ind w:left="120" w:right="256" w:firstLine="419"/>
        <w:jc w:val="left"/>
        <w:rPr>
          <w:sz w:val="28"/>
        </w:rPr>
      </w:pPr>
      <w:r>
        <w:rPr>
          <w:spacing w:val="-8"/>
          <w:sz w:val="28"/>
        </w:rPr>
        <w:t>在直角坐标系中，以横轴表示销售量，以纵轴表示成本或销售收入。</w:t>
      </w:r>
    </w:p>
    <w:p>
      <w:pPr>
        <w:pStyle w:val="ListParagraph"/>
        <w:numPr>
          <w:ilvl w:val="0"/>
          <w:numId w:val="2"/>
        </w:numPr>
        <w:tabs>
          <w:tab w:pos="1243" w:val="left" w:leader="none"/>
        </w:tabs>
        <w:spacing w:line="417" w:lineRule="auto" w:before="0" w:after="0"/>
        <w:ind w:left="120" w:right="300" w:firstLine="419"/>
        <w:jc w:val="left"/>
        <w:rPr>
          <w:sz w:val="28"/>
        </w:rPr>
      </w:pPr>
      <w:r>
        <w:rPr>
          <w:spacing w:val="-3"/>
          <w:sz w:val="28"/>
        </w:rPr>
        <w:t>在纵轴上找出固定成本数值，即以</w:t>
      </w:r>
      <w:r>
        <w:rPr>
          <w:sz w:val="28"/>
        </w:rPr>
        <w:t>（0</w:t>
      </w:r>
      <w:r>
        <w:rPr>
          <w:spacing w:val="-2"/>
          <w:sz w:val="28"/>
        </w:rPr>
        <w:t>，固定成本数值</w:t>
      </w:r>
      <w:r>
        <w:rPr>
          <w:sz w:val="28"/>
        </w:rPr>
        <w:t>）</w:t>
      </w:r>
      <w:r>
        <w:rPr>
          <w:spacing w:val="-12"/>
          <w:sz w:val="28"/>
        </w:rPr>
        <w:t>为</w:t>
      </w:r>
      <w:r>
        <w:rPr>
          <w:spacing w:val="-3"/>
          <w:sz w:val="28"/>
        </w:rPr>
        <w:t>起点，绘制一条与横轴平行的固定成本线。</w:t>
      </w:r>
    </w:p>
    <w:p>
      <w:pPr>
        <w:pStyle w:val="ListParagraph"/>
        <w:numPr>
          <w:ilvl w:val="0"/>
          <w:numId w:val="2"/>
        </w:numPr>
        <w:tabs>
          <w:tab w:pos="1243" w:val="left" w:leader="none"/>
        </w:tabs>
        <w:spacing w:line="417" w:lineRule="auto" w:before="0" w:after="0"/>
        <w:ind w:left="120" w:right="302" w:firstLine="419"/>
        <w:jc w:val="left"/>
        <w:rPr>
          <w:sz w:val="28"/>
        </w:rPr>
      </w:pPr>
      <w:r>
        <w:rPr>
          <w:sz w:val="28"/>
        </w:rPr>
        <w:t>以（0</w:t>
      </w:r>
      <w:r>
        <w:rPr>
          <w:spacing w:val="-3"/>
          <w:sz w:val="28"/>
        </w:rPr>
        <w:t>，固定成本数值</w:t>
      </w:r>
      <w:r>
        <w:rPr>
          <w:sz w:val="28"/>
        </w:rPr>
        <w:t>）</w:t>
      </w:r>
      <w:r>
        <w:rPr>
          <w:spacing w:val="-4"/>
          <w:sz w:val="28"/>
        </w:rPr>
        <w:t>为起点，以单位变动成本为斜率， </w:t>
      </w:r>
      <w:r>
        <w:rPr>
          <w:spacing w:val="-1"/>
          <w:sz w:val="28"/>
        </w:rPr>
        <w:t>绘制总成本线。</w:t>
      </w:r>
    </w:p>
    <w:p>
      <w:pPr>
        <w:pStyle w:val="ListParagraph"/>
        <w:numPr>
          <w:ilvl w:val="0"/>
          <w:numId w:val="2"/>
        </w:numPr>
        <w:tabs>
          <w:tab w:pos="1243" w:val="left" w:leader="none"/>
        </w:tabs>
        <w:spacing w:line="417" w:lineRule="auto" w:before="0" w:after="0"/>
        <w:ind w:left="120" w:right="252" w:firstLine="419"/>
        <w:jc w:val="left"/>
        <w:rPr>
          <w:sz w:val="28"/>
        </w:rPr>
      </w:pPr>
      <w:r>
        <w:rPr>
          <w:spacing w:val="-4"/>
          <w:sz w:val="28"/>
        </w:rPr>
        <w:t>以坐标原点</w:t>
      </w:r>
      <w:r>
        <w:rPr>
          <w:spacing w:val="-8"/>
          <w:sz w:val="28"/>
        </w:rPr>
        <w:t>（0，0）为起点，以销售单价为斜率，绘制销售</w:t>
      </w:r>
      <w:r>
        <w:rPr>
          <w:sz w:val="28"/>
        </w:rPr>
        <w:t>收入线。</w:t>
      </w:r>
    </w:p>
    <w:p>
      <w:pPr>
        <w:pStyle w:val="ListParagraph"/>
        <w:numPr>
          <w:ilvl w:val="0"/>
          <w:numId w:val="2"/>
        </w:numPr>
        <w:tabs>
          <w:tab w:pos="1243" w:val="left" w:leader="none"/>
        </w:tabs>
        <w:spacing w:line="358" w:lineRule="exact" w:before="0" w:after="0"/>
        <w:ind w:left="1242" w:right="0" w:hanging="703"/>
        <w:jc w:val="left"/>
        <w:rPr>
          <w:sz w:val="28"/>
        </w:rPr>
      </w:pPr>
      <w:r>
        <w:rPr>
          <w:spacing w:val="-3"/>
          <w:sz w:val="28"/>
        </w:rPr>
        <w:t>总成本线和销售收入线的交点就是盈亏临界点销售量。</w:t>
      </w:r>
    </w:p>
    <w:p>
      <w:pPr>
        <w:spacing w:after="0" w:line="358" w:lineRule="exact"/>
        <w:jc w:val="left"/>
        <w:rPr>
          <w:sz w:val="28"/>
        </w:rPr>
        <w:sectPr>
          <w:pgSz w:w="11910" w:h="16840"/>
          <w:pgMar w:header="0" w:footer="977" w:top="1520" w:bottom="1160" w:left="1680" w:right="1540"/>
        </w:sectPr>
      </w:pPr>
    </w:p>
    <w:p>
      <w:pPr>
        <w:pStyle w:val="BodyText"/>
        <w:spacing w:before="11" w:after="1"/>
        <w:rPr>
          <w:rFonts w:ascii="仿宋"/>
          <w:sz w:val="7"/>
        </w:rPr>
      </w:pPr>
    </w:p>
    <w:p>
      <w:pPr>
        <w:pStyle w:val="BodyText"/>
        <w:ind w:left="608"/>
        <w:rPr>
          <w:rFonts w:ascii="仿宋"/>
          <w:sz w:val="20"/>
        </w:rPr>
      </w:pPr>
      <w:r>
        <w:rPr>
          <w:rFonts w:ascii="仿宋"/>
          <w:sz w:val="20"/>
        </w:rPr>
        <w:drawing>
          <wp:inline distT="0" distB="0" distL="0" distR="0">
            <wp:extent cx="4785658" cy="2623185"/>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4785658" cy="2623185"/>
                    </a:xfrm>
                    <a:prstGeom prst="rect">
                      <a:avLst/>
                    </a:prstGeom>
                  </pic:spPr>
                </pic:pic>
              </a:graphicData>
            </a:graphic>
          </wp:inline>
        </w:drawing>
      </w:r>
      <w:r>
        <w:rPr>
          <w:rFonts w:ascii="仿宋"/>
          <w:sz w:val="20"/>
        </w:rPr>
      </w:r>
    </w:p>
    <w:p>
      <w:pPr>
        <w:pStyle w:val="BodyText"/>
        <w:spacing w:before="8"/>
        <w:rPr>
          <w:rFonts w:ascii="仿宋"/>
          <w:sz w:val="23"/>
        </w:rPr>
      </w:pPr>
    </w:p>
    <w:p>
      <w:pPr>
        <w:tabs>
          <w:tab w:pos="659" w:val="left" w:leader="none"/>
        </w:tabs>
        <w:spacing w:before="66"/>
        <w:ind w:left="0" w:right="136" w:firstLine="0"/>
        <w:jc w:val="center"/>
        <w:rPr>
          <w:rFonts w:ascii="黑体" w:eastAsia="黑体" w:hint="eastAsia"/>
          <w:sz w:val="24"/>
        </w:rPr>
      </w:pPr>
      <w:r>
        <w:rPr>
          <w:rFonts w:ascii="黑体" w:eastAsia="黑体" w:hint="eastAsia"/>
          <w:sz w:val="24"/>
        </w:rPr>
        <w:t>图</w:t>
      </w:r>
      <w:r>
        <w:rPr>
          <w:rFonts w:ascii="黑体" w:eastAsia="黑体" w:hint="eastAsia"/>
          <w:spacing w:val="-60"/>
          <w:sz w:val="24"/>
        </w:rPr>
        <w:t> </w:t>
      </w:r>
      <w:r>
        <w:rPr>
          <w:rFonts w:ascii="黑体" w:eastAsia="黑体" w:hint="eastAsia"/>
          <w:sz w:val="24"/>
        </w:rPr>
        <w:t>1</w:t>
        <w:tab/>
        <w:t>传统式本量利关系图</w:t>
      </w:r>
    </w:p>
    <w:p>
      <w:pPr>
        <w:pStyle w:val="ListParagraph"/>
        <w:numPr>
          <w:ilvl w:val="0"/>
          <w:numId w:val="1"/>
        </w:numPr>
        <w:tabs>
          <w:tab w:pos="1101" w:val="left" w:leader="none"/>
        </w:tabs>
        <w:spacing w:line="417" w:lineRule="auto" w:before="214" w:after="0"/>
        <w:ind w:left="120" w:right="291" w:firstLine="559"/>
        <w:jc w:val="left"/>
        <w:rPr>
          <w:sz w:val="28"/>
        </w:rPr>
      </w:pPr>
      <w:r>
        <w:rPr>
          <w:b/>
          <w:sz w:val="28"/>
        </w:rPr>
        <w:t>贡献毛益式本量利关系图</w:t>
      </w:r>
      <w:r>
        <w:rPr>
          <w:spacing w:val="-4"/>
          <w:sz w:val="28"/>
        </w:rPr>
        <w:t>是将固定成本置于变动成本之上， </w:t>
      </w:r>
      <w:r>
        <w:rPr>
          <w:spacing w:val="-3"/>
          <w:w w:val="100"/>
          <w:sz w:val="28"/>
        </w:rPr>
        <w:t>能够反映贡献毛益形成过程的图形（</w:t>
      </w:r>
      <w:r>
        <w:rPr>
          <w:w w:val="100"/>
          <w:sz w:val="28"/>
        </w:rPr>
        <w:t>见图</w:t>
      </w:r>
      <w:r>
        <w:rPr>
          <w:spacing w:val="-69"/>
          <w:sz w:val="28"/>
        </w:rPr>
        <w:t> </w:t>
      </w:r>
      <w:r>
        <w:rPr>
          <w:spacing w:val="-2"/>
          <w:w w:val="100"/>
          <w:sz w:val="28"/>
        </w:rPr>
        <w:t>2</w:t>
      </w:r>
      <w:r>
        <w:rPr>
          <w:spacing w:val="-140"/>
          <w:w w:val="100"/>
          <w:sz w:val="28"/>
        </w:rPr>
        <w:t>）</w:t>
      </w:r>
      <w:r>
        <w:rPr>
          <w:spacing w:val="-3"/>
          <w:w w:val="100"/>
          <w:sz w:val="28"/>
        </w:rPr>
        <w:t>。绘制方法如下：</w:t>
      </w:r>
    </w:p>
    <w:p>
      <w:pPr>
        <w:pStyle w:val="ListParagraph"/>
        <w:numPr>
          <w:ilvl w:val="0"/>
          <w:numId w:val="3"/>
        </w:numPr>
        <w:tabs>
          <w:tab w:pos="1382" w:val="left" w:leader="none"/>
        </w:tabs>
        <w:spacing w:line="417" w:lineRule="auto" w:before="0" w:after="0"/>
        <w:ind w:left="120" w:right="304" w:firstLine="559"/>
        <w:jc w:val="left"/>
        <w:rPr>
          <w:sz w:val="28"/>
        </w:rPr>
      </w:pPr>
      <w:r>
        <w:rPr>
          <w:spacing w:val="-4"/>
          <w:sz w:val="28"/>
        </w:rPr>
        <w:t>在直角坐标系中，以横轴表示销售量，以纵轴表示成本或</w:t>
      </w:r>
      <w:r>
        <w:rPr>
          <w:spacing w:val="-1"/>
          <w:sz w:val="28"/>
        </w:rPr>
        <w:t>销售收入。</w:t>
      </w:r>
    </w:p>
    <w:p>
      <w:pPr>
        <w:pStyle w:val="ListParagraph"/>
        <w:numPr>
          <w:ilvl w:val="0"/>
          <w:numId w:val="3"/>
        </w:numPr>
        <w:tabs>
          <w:tab w:pos="1382" w:val="left" w:leader="none"/>
        </w:tabs>
        <w:spacing w:line="358" w:lineRule="exact" w:before="0" w:after="0"/>
        <w:ind w:left="1381" w:right="0" w:hanging="703"/>
        <w:jc w:val="left"/>
        <w:rPr>
          <w:sz w:val="28"/>
        </w:rPr>
      </w:pPr>
      <w:r>
        <w:rPr>
          <w:spacing w:val="-3"/>
          <w:sz w:val="28"/>
        </w:rPr>
        <w:t>从原点出发分别绘制销售收入线和变动成本线.</w:t>
      </w:r>
    </w:p>
    <w:p>
      <w:pPr>
        <w:pStyle w:val="BodyText"/>
        <w:spacing w:before="9"/>
        <w:rPr>
          <w:rFonts w:ascii="仿宋"/>
          <w:sz w:val="20"/>
        </w:rPr>
      </w:pPr>
    </w:p>
    <w:p>
      <w:pPr>
        <w:pStyle w:val="ListParagraph"/>
        <w:numPr>
          <w:ilvl w:val="0"/>
          <w:numId w:val="3"/>
        </w:numPr>
        <w:tabs>
          <w:tab w:pos="1382" w:val="left" w:leader="none"/>
        </w:tabs>
        <w:spacing w:line="417" w:lineRule="auto" w:before="0" w:after="0"/>
        <w:ind w:left="120" w:right="252" w:firstLine="559"/>
        <w:jc w:val="left"/>
        <w:rPr>
          <w:sz w:val="28"/>
        </w:rPr>
      </w:pPr>
      <w:r>
        <w:rPr>
          <w:spacing w:val="-6"/>
          <w:sz w:val="28"/>
        </w:rPr>
        <w:t>以纵轴上的</w:t>
      </w:r>
      <w:r>
        <w:rPr>
          <w:spacing w:val="-9"/>
          <w:sz w:val="28"/>
        </w:rPr>
        <w:t>（0</w:t>
      </w:r>
      <w:r>
        <w:rPr>
          <w:spacing w:val="-3"/>
          <w:sz w:val="28"/>
        </w:rPr>
        <w:t>，固定成本数值</w:t>
      </w:r>
      <w:r>
        <w:rPr>
          <w:spacing w:val="-24"/>
          <w:sz w:val="28"/>
        </w:rPr>
        <w:t>）</w:t>
      </w:r>
      <w:r>
        <w:rPr>
          <w:spacing w:val="-2"/>
          <w:sz w:val="28"/>
        </w:rPr>
        <w:t>点为起点绘制一条与变 </w:t>
      </w:r>
      <w:r>
        <w:rPr>
          <w:spacing w:val="-4"/>
          <w:sz w:val="28"/>
        </w:rPr>
        <w:t>动成本线平行的总成本线。</w:t>
      </w:r>
    </w:p>
    <w:p>
      <w:pPr>
        <w:pStyle w:val="ListParagraph"/>
        <w:numPr>
          <w:ilvl w:val="0"/>
          <w:numId w:val="3"/>
        </w:numPr>
        <w:tabs>
          <w:tab w:pos="1382" w:val="left" w:leader="none"/>
        </w:tabs>
        <w:spacing w:line="358" w:lineRule="exact" w:before="0" w:after="0"/>
        <w:ind w:left="1381" w:right="0" w:hanging="703"/>
        <w:jc w:val="left"/>
        <w:rPr>
          <w:sz w:val="28"/>
        </w:rPr>
      </w:pPr>
      <w:r>
        <w:rPr>
          <w:spacing w:val="-3"/>
          <w:sz w:val="28"/>
        </w:rPr>
        <w:t>总成本线和销售收入线的交点就是盈亏临界点销售量。</w:t>
      </w:r>
    </w:p>
    <w:p>
      <w:pPr>
        <w:spacing w:after="0" w:line="358" w:lineRule="exact"/>
        <w:jc w:val="left"/>
        <w:rPr>
          <w:sz w:val="28"/>
        </w:rPr>
        <w:sectPr>
          <w:pgSz w:w="11910" w:h="16840"/>
          <w:pgMar w:header="0" w:footer="977" w:top="1580" w:bottom="1160" w:left="1680" w:right="1540"/>
        </w:sectPr>
      </w:pPr>
    </w:p>
    <w:p>
      <w:pPr>
        <w:pStyle w:val="BodyText"/>
        <w:spacing w:before="3"/>
        <w:rPr>
          <w:rFonts w:ascii="仿宋"/>
          <w:sz w:val="5"/>
        </w:rPr>
      </w:pPr>
    </w:p>
    <w:p>
      <w:pPr>
        <w:pStyle w:val="BodyText"/>
        <w:ind w:left="559"/>
        <w:rPr>
          <w:rFonts w:ascii="仿宋"/>
          <w:sz w:val="20"/>
        </w:rPr>
      </w:pPr>
      <w:r>
        <w:rPr>
          <w:rFonts w:ascii="仿宋"/>
          <w:sz w:val="20"/>
        </w:rPr>
        <w:drawing>
          <wp:inline distT="0" distB="0" distL="0" distR="0">
            <wp:extent cx="4704593" cy="2517648"/>
            <wp:effectExtent l="0" t="0" r="0" b="0"/>
            <wp:docPr id="3" name="image2.jpeg"/>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4704593" cy="2517648"/>
                    </a:xfrm>
                    <a:prstGeom prst="rect">
                      <a:avLst/>
                    </a:prstGeom>
                  </pic:spPr>
                </pic:pic>
              </a:graphicData>
            </a:graphic>
          </wp:inline>
        </w:drawing>
      </w:r>
      <w:r>
        <w:rPr>
          <w:rFonts w:ascii="仿宋"/>
          <w:sz w:val="20"/>
        </w:rPr>
      </w:r>
    </w:p>
    <w:p>
      <w:pPr>
        <w:pStyle w:val="BodyText"/>
        <w:spacing w:before="12"/>
        <w:rPr>
          <w:rFonts w:ascii="仿宋"/>
          <w:sz w:val="14"/>
        </w:rPr>
      </w:pPr>
    </w:p>
    <w:p>
      <w:pPr>
        <w:tabs>
          <w:tab w:pos="659" w:val="left" w:leader="none"/>
        </w:tabs>
        <w:spacing w:before="66"/>
        <w:ind w:left="0" w:right="136" w:firstLine="0"/>
        <w:jc w:val="center"/>
        <w:rPr>
          <w:rFonts w:ascii="黑体" w:eastAsia="黑体" w:hint="eastAsia"/>
          <w:sz w:val="24"/>
        </w:rPr>
      </w:pPr>
      <w:r>
        <w:rPr>
          <w:rFonts w:ascii="黑体" w:eastAsia="黑体" w:hint="eastAsia"/>
          <w:sz w:val="24"/>
        </w:rPr>
        <w:t>图</w:t>
      </w:r>
      <w:r>
        <w:rPr>
          <w:rFonts w:ascii="黑体" w:eastAsia="黑体" w:hint="eastAsia"/>
          <w:spacing w:val="-60"/>
          <w:sz w:val="24"/>
        </w:rPr>
        <w:t> </w:t>
      </w:r>
      <w:r>
        <w:rPr>
          <w:rFonts w:ascii="黑体" w:eastAsia="黑体" w:hint="eastAsia"/>
          <w:sz w:val="24"/>
        </w:rPr>
        <w:t>2</w:t>
        <w:tab/>
        <w:t>贡献毛益式本量利关系图</w:t>
      </w:r>
    </w:p>
    <w:p>
      <w:pPr>
        <w:pStyle w:val="ListParagraph"/>
        <w:numPr>
          <w:ilvl w:val="0"/>
          <w:numId w:val="1"/>
        </w:numPr>
        <w:tabs>
          <w:tab w:pos="1101" w:val="left" w:leader="none"/>
        </w:tabs>
        <w:spacing w:line="417" w:lineRule="auto" w:before="214" w:after="0"/>
        <w:ind w:left="120" w:right="292" w:firstLine="559"/>
        <w:jc w:val="left"/>
        <w:rPr>
          <w:sz w:val="28"/>
        </w:rPr>
      </w:pPr>
      <w:r>
        <w:rPr>
          <w:b/>
          <w:sz w:val="28"/>
        </w:rPr>
        <w:t>利量式本量利关系图</w:t>
      </w:r>
      <w:r>
        <w:rPr>
          <w:spacing w:val="-4"/>
          <w:sz w:val="28"/>
        </w:rPr>
        <w:t>是反映利润与销售量之间依存关系的图</w:t>
      </w:r>
      <w:r>
        <w:rPr>
          <w:w w:val="100"/>
          <w:sz w:val="28"/>
        </w:rPr>
        <w:t>形（见图</w:t>
      </w:r>
      <w:r>
        <w:rPr>
          <w:spacing w:val="-71"/>
          <w:sz w:val="28"/>
        </w:rPr>
        <w:t> </w:t>
      </w:r>
      <w:r>
        <w:rPr>
          <w:spacing w:val="-2"/>
          <w:w w:val="100"/>
          <w:sz w:val="28"/>
        </w:rPr>
        <w:t>3</w:t>
      </w:r>
      <w:r>
        <w:rPr>
          <w:spacing w:val="-142"/>
          <w:w w:val="100"/>
          <w:sz w:val="28"/>
        </w:rPr>
        <w:t>）</w:t>
      </w:r>
      <w:r>
        <w:rPr>
          <w:spacing w:val="-2"/>
          <w:w w:val="100"/>
          <w:sz w:val="28"/>
        </w:rPr>
        <w:t>。绘制方法如下：</w:t>
      </w:r>
    </w:p>
    <w:p>
      <w:pPr>
        <w:pStyle w:val="ListParagraph"/>
        <w:numPr>
          <w:ilvl w:val="0"/>
          <w:numId w:val="4"/>
        </w:numPr>
        <w:tabs>
          <w:tab w:pos="1382" w:val="left" w:leader="none"/>
        </w:tabs>
        <w:spacing w:line="417" w:lineRule="auto" w:before="0" w:after="0"/>
        <w:ind w:left="120" w:right="258" w:firstLine="559"/>
        <w:jc w:val="left"/>
        <w:rPr>
          <w:sz w:val="28"/>
        </w:rPr>
      </w:pPr>
      <w:r>
        <w:rPr>
          <w:spacing w:val="-15"/>
          <w:sz w:val="28"/>
        </w:rPr>
        <w:t>在直角坐标系中，以横轴代表销售量，以纵轴代表利润</w:t>
      </w:r>
      <w:r>
        <w:rPr>
          <w:spacing w:val="-3"/>
          <w:sz w:val="28"/>
        </w:rPr>
        <w:t>（ </w:t>
      </w:r>
      <w:r>
        <w:rPr>
          <w:sz w:val="28"/>
        </w:rPr>
        <w:t>或亏损</w:t>
      </w:r>
      <w:r>
        <w:rPr>
          <w:spacing w:val="-142"/>
          <w:sz w:val="28"/>
        </w:rPr>
        <w:t>）</w:t>
      </w:r>
      <w:r>
        <w:rPr>
          <w:sz w:val="28"/>
        </w:rPr>
        <w:t>。</w:t>
      </w:r>
    </w:p>
    <w:p>
      <w:pPr>
        <w:pStyle w:val="ListParagraph"/>
        <w:numPr>
          <w:ilvl w:val="0"/>
          <w:numId w:val="4"/>
        </w:numPr>
        <w:tabs>
          <w:tab w:pos="1382" w:val="left" w:leader="none"/>
        </w:tabs>
        <w:spacing w:line="417" w:lineRule="auto" w:before="0" w:after="0"/>
        <w:ind w:left="120" w:right="287" w:firstLine="559"/>
        <w:jc w:val="both"/>
        <w:rPr>
          <w:sz w:val="28"/>
        </w:rPr>
      </w:pPr>
      <w:r>
        <w:rPr>
          <w:spacing w:val="-5"/>
          <w:sz w:val="28"/>
        </w:rPr>
        <w:t>在纵轴原点以下部分找到与固定成本总额相等的点</w:t>
      </w:r>
      <w:r>
        <w:rPr>
          <w:spacing w:val="-11"/>
          <w:sz w:val="28"/>
        </w:rPr>
        <w:t>（0， </w:t>
      </w:r>
      <w:r>
        <w:rPr>
          <w:spacing w:val="-7"/>
          <w:w w:val="100"/>
          <w:sz w:val="28"/>
        </w:rPr>
        <w:t>固定成本数值</w:t>
      </w:r>
      <w:r>
        <w:rPr>
          <w:spacing w:val="-142"/>
          <w:w w:val="100"/>
          <w:sz w:val="28"/>
        </w:rPr>
        <w:t>）</w:t>
      </w:r>
      <w:r>
        <w:rPr>
          <w:spacing w:val="-3"/>
          <w:w w:val="100"/>
          <w:sz w:val="28"/>
        </w:rPr>
        <w:t>，该点表示销售量等于零时，亏损额等于固定成本；</w:t>
      </w:r>
      <w:r>
        <w:rPr>
          <w:sz w:val="28"/>
        </w:rPr>
        <w:t>从点（0</w:t>
      </w:r>
      <w:r>
        <w:rPr>
          <w:spacing w:val="-2"/>
          <w:sz w:val="28"/>
        </w:rPr>
        <w:t>，固定成本数值</w:t>
      </w:r>
      <w:r>
        <w:rPr>
          <w:sz w:val="28"/>
        </w:rPr>
        <w:t>）</w:t>
      </w:r>
      <w:r>
        <w:rPr>
          <w:spacing w:val="-3"/>
          <w:sz w:val="28"/>
        </w:rPr>
        <w:t>出发画出利润线，该线的斜率是企业贡献</w:t>
      </w:r>
      <w:r>
        <w:rPr>
          <w:sz w:val="28"/>
        </w:rPr>
        <w:t>毛益。</w:t>
      </w:r>
    </w:p>
    <w:p>
      <w:pPr>
        <w:pStyle w:val="ListParagraph"/>
        <w:numPr>
          <w:ilvl w:val="0"/>
          <w:numId w:val="4"/>
        </w:numPr>
        <w:tabs>
          <w:tab w:pos="1382" w:val="left" w:leader="none"/>
        </w:tabs>
        <w:spacing w:line="358" w:lineRule="exact" w:before="0" w:after="0"/>
        <w:ind w:left="1381" w:right="0" w:hanging="703"/>
        <w:jc w:val="left"/>
        <w:rPr>
          <w:sz w:val="28"/>
        </w:rPr>
      </w:pPr>
      <w:r>
        <w:rPr>
          <w:spacing w:val="-3"/>
          <w:sz w:val="28"/>
        </w:rPr>
        <w:t>利润线与横轴的交点即为盈亏临界点销售量。</w:t>
      </w:r>
    </w:p>
    <w:p>
      <w:pPr>
        <w:spacing w:after="0" w:line="358" w:lineRule="exact"/>
        <w:jc w:val="left"/>
        <w:rPr>
          <w:sz w:val="28"/>
        </w:rPr>
        <w:sectPr>
          <w:pgSz w:w="11910" w:h="16840"/>
          <w:pgMar w:header="0" w:footer="977" w:top="1580" w:bottom="1160" w:left="1680" w:right="1540"/>
        </w:sectPr>
      </w:pPr>
    </w:p>
    <w:p>
      <w:pPr>
        <w:pStyle w:val="BodyText"/>
        <w:spacing w:before="4"/>
        <w:rPr>
          <w:rFonts w:ascii="仿宋"/>
          <w:sz w:val="14"/>
        </w:rPr>
      </w:pPr>
    </w:p>
    <w:p>
      <w:pPr>
        <w:pStyle w:val="BodyText"/>
        <w:ind w:left="659"/>
        <w:rPr>
          <w:rFonts w:ascii="仿宋"/>
          <w:sz w:val="20"/>
        </w:rPr>
      </w:pPr>
      <w:r>
        <w:rPr>
          <w:rFonts w:ascii="仿宋"/>
          <w:sz w:val="20"/>
        </w:rPr>
        <w:drawing>
          <wp:inline distT="0" distB="0" distL="0" distR="0">
            <wp:extent cx="4641837" cy="3300222"/>
            <wp:effectExtent l="0" t="0" r="0" b="0"/>
            <wp:docPr id="5" name="image3.jpeg"/>
            <wp:cNvGraphicFramePr>
              <a:graphicFrameLocks noChangeAspect="1"/>
            </wp:cNvGraphicFramePr>
            <a:graphic>
              <a:graphicData uri="http://schemas.openxmlformats.org/drawingml/2006/picture">
                <pic:pic>
                  <pic:nvPicPr>
                    <pic:cNvPr id="6" name="image3.jpeg"/>
                    <pic:cNvPicPr/>
                  </pic:nvPicPr>
                  <pic:blipFill>
                    <a:blip r:embed="rId8" cstate="print"/>
                    <a:stretch>
                      <a:fillRect/>
                    </a:stretch>
                  </pic:blipFill>
                  <pic:spPr>
                    <a:xfrm>
                      <a:off x="0" y="0"/>
                      <a:ext cx="4641837" cy="3300222"/>
                    </a:xfrm>
                    <a:prstGeom prst="rect">
                      <a:avLst/>
                    </a:prstGeom>
                  </pic:spPr>
                </pic:pic>
              </a:graphicData>
            </a:graphic>
          </wp:inline>
        </w:drawing>
      </w:r>
      <w:r>
        <w:rPr>
          <w:rFonts w:ascii="仿宋"/>
          <w:sz w:val="20"/>
        </w:rPr>
      </w:r>
    </w:p>
    <w:p>
      <w:pPr>
        <w:pStyle w:val="BodyText"/>
        <w:rPr>
          <w:rFonts w:ascii="仿宋"/>
          <w:sz w:val="20"/>
        </w:rPr>
      </w:pPr>
    </w:p>
    <w:p>
      <w:pPr>
        <w:tabs>
          <w:tab w:pos="1001" w:val="left" w:leader="none"/>
        </w:tabs>
        <w:spacing w:before="211"/>
        <w:ind w:left="341" w:right="0" w:firstLine="0"/>
        <w:jc w:val="center"/>
        <w:rPr>
          <w:rFonts w:ascii="黑体" w:eastAsia="黑体" w:hint="eastAsia"/>
          <w:sz w:val="24"/>
        </w:rPr>
      </w:pPr>
      <w:r>
        <w:rPr>
          <w:rFonts w:ascii="黑体" w:eastAsia="黑体" w:hint="eastAsia"/>
          <w:sz w:val="24"/>
        </w:rPr>
        <w:t>图</w:t>
      </w:r>
      <w:r>
        <w:rPr>
          <w:rFonts w:ascii="黑体" w:eastAsia="黑体" w:hint="eastAsia"/>
          <w:spacing w:val="-60"/>
          <w:sz w:val="24"/>
        </w:rPr>
        <w:t> </w:t>
      </w:r>
      <w:r>
        <w:rPr>
          <w:rFonts w:ascii="黑体" w:eastAsia="黑体" w:hint="eastAsia"/>
          <w:sz w:val="24"/>
        </w:rPr>
        <w:t>3</w:t>
        <w:tab/>
        <w:t>利量式本量利关系图</w:t>
      </w:r>
    </w:p>
    <w:sectPr>
      <w:pgSz w:w="11910" w:h="16840"/>
      <w:pgMar w:header="0" w:footer="977" w:top="1580" w:bottom="1160" w:left="1680" w:right="1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 w:name="仿宋">
    <w:altName w:val="仿宋"/>
    <w:charset w:val="86"/>
    <w:family w:val="modern"/>
    <w:pitch w:val="fixed"/>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7.290009pt;margin-top:782.089966pt;width:23.75pt;height:11pt;mso-position-horizontal-relative:page;mso-position-vertical-relative:page;z-index:-15959040" type="#_x0000_t202" filled="false" stroked="false">
          <v:textbox inset="0,0,0,0">
            <w:txbxContent>
              <w:p>
                <w:pPr>
                  <w:spacing w:line="203" w:lineRule="exact" w:before="0"/>
                  <w:ind w:left="20" w:right="0" w:firstLine="0"/>
                  <w:jc w:val="left"/>
                  <w:rPr>
                    <w:rFonts w:ascii="Calibri"/>
                    <w:sz w:val="18"/>
                  </w:rPr>
                </w:pPr>
                <w:r>
                  <w:rPr>
                    <w:rFonts w:ascii="Calibri"/>
                    <w:sz w:val="18"/>
                  </w:rPr>
                  <w:t>- </w:t>
                </w:r>
                <w:r>
                  <w:rPr/>
                  <w:fldChar w:fldCharType="begin"/>
                </w:r>
                <w:r>
                  <w:rPr>
                    <w:rFonts w:ascii="Calibri"/>
                    <w:sz w:val="18"/>
                  </w:rPr>
                  <w:instrText> PAGE </w:instrText>
                </w:r>
                <w:r>
                  <w:rPr/>
                  <w:fldChar w:fldCharType="separate"/>
                </w:r>
                <w:r>
                  <w:rPr/>
                  <w:t>10</w:t>
                </w:r>
                <w:r>
                  <w:rPr/>
                  <w:fldChar w:fldCharType="end"/>
                </w:r>
                <w:r>
                  <w:rPr>
                    <w:rFonts w:ascii="Calibri"/>
                    <w:sz w:val="18"/>
                  </w:rPr>
                  <w:t> -</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120" w:hanging="702"/>
        <w:jc w:val="left"/>
      </w:pPr>
      <w:rPr>
        <w:rFonts w:hint="default" w:ascii="仿宋" w:hAnsi="仿宋" w:eastAsia="仿宋" w:cs="仿宋"/>
        <w:spacing w:val="-58"/>
        <w:w w:val="100"/>
        <w:sz w:val="26"/>
        <w:szCs w:val="26"/>
        <w:lang w:val="en-US" w:eastAsia="zh-CN" w:bidi="ar-SA"/>
      </w:rPr>
    </w:lvl>
    <w:lvl w:ilvl="1">
      <w:start w:val="0"/>
      <w:numFmt w:val="bullet"/>
      <w:lvlText w:val="•"/>
      <w:lvlJc w:val="left"/>
      <w:pPr>
        <w:ind w:left="976" w:hanging="702"/>
      </w:pPr>
      <w:rPr>
        <w:rFonts w:hint="default"/>
        <w:lang w:val="en-US" w:eastAsia="zh-CN" w:bidi="ar-SA"/>
      </w:rPr>
    </w:lvl>
    <w:lvl w:ilvl="2">
      <w:start w:val="0"/>
      <w:numFmt w:val="bullet"/>
      <w:lvlText w:val="•"/>
      <w:lvlJc w:val="left"/>
      <w:pPr>
        <w:ind w:left="1833" w:hanging="702"/>
      </w:pPr>
      <w:rPr>
        <w:rFonts w:hint="default"/>
        <w:lang w:val="en-US" w:eastAsia="zh-CN" w:bidi="ar-SA"/>
      </w:rPr>
    </w:lvl>
    <w:lvl w:ilvl="3">
      <w:start w:val="0"/>
      <w:numFmt w:val="bullet"/>
      <w:lvlText w:val="•"/>
      <w:lvlJc w:val="left"/>
      <w:pPr>
        <w:ind w:left="2689" w:hanging="702"/>
      </w:pPr>
      <w:rPr>
        <w:rFonts w:hint="default"/>
        <w:lang w:val="en-US" w:eastAsia="zh-CN" w:bidi="ar-SA"/>
      </w:rPr>
    </w:lvl>
    <w:lvl w:ilvl="4">
      <w:start w:val="0"/>
      <w:numFmt w:val="bullet"/>
      <w:lvlText w:val="•"/>
      <w:lvlJc w:val="left"/>
      <w:pPr>
        <w:ind w:left="3546" w:hanging="702"/>
      </w:pPr>
      <w:rPr>
        <w:rFonts w:hint="default"/>
        <w:lang w:val="en-US" w:eastAsia="zh-CN" w:bidi="ar-SA"/>
      </w:rPr>
    </w:lvl>
    <w:lvl w:ilvl="5">
      <w:start w:val="0"/>
      <w:numFmt w:val="bullet"/>
      <w:lvlText w:val="•"/>
      <w:lvlJc w:val="left"/>
      <w:pPr>
        <w:ind w:left="4403" w:hanging="702"/>
      </w:pPr>
      <w:rPr>
        <w:rFonts w:hint="default"/>
        <w:lang w:val="en-US" w:eastAsia="zh-CN" w:bidi="ar-SA"/>
      </w:rPr>
    </w:lvl>
    <w:lvl w:ilvl="6">
      <w:start w:val="0"/>
      <w:numFmt w:val="bullet"/>
      <w:lvlText w:val="•"/>
      <w:lvlJc w:val="left"/>
      <w:pPr>
        <w:ind w:left="5259" w:hanging="702"/>
      </w:pPr>
      <w:rPr>
        <w:rFonts w:hint="default"/>
        <w:lang w:val="en-US" w:eastAsia="zh-CN" w:bidi="ar-SA"/>
      </w:rPr>
    </w:lvl>
    <w:lvl w:ilvl="7">
      <w:start w:val="0"/>
      <w:numFmt w:val="bullet"/>
      <w:lvlText w:val="•"/>
      <w:lvlJc w:val="left"/>
      <w:pPr>
        <w:ind w:left="6116" w:hanging="702"/>
      </w:pPr>
      <w:rPr>
        <w:rFonts w:hint="default"/>
        <w:lang w:val="en-US" w:eastAsia="zh-CN" w:bidi="ar-SA"/>
      </w:rPr>
    </w:lvl>
    <w:lvl w:ilvl="8">
      <w:start w:val="0"/>
      <w:numFmt w:val="bullet"/>
      <w:lvlText w:val="•"/>
      <w:lvlJc w:val="left"/>
      <w:pPr>
        <w:ind w:left="6973" w:hanging="702"/>
      </w:pPr>
      <w:rPr>
        <w:rFonts w:hint="default"/>
        <w:lang w:val="en-US" w:eastAsia="zh-CN" w:bidi="ar-SA"/>
      </w:rPr>
    </w:lvl>
  </w:abstractNum>
  <w:abstractNum w:abstractNumId="2">
    <w:multiLevelType w:val="hybridMultilevel"/>
    <w:lvl w:ilvl="0">
      <w:start w:val="1"/>
      <w:numFmt w:val="decimal"/>
      <w:lvlText w:val="（%1）"/>
      <w:lvlJc w:val="left"/>
      <w:pPr>
        <w:ind w:left="120" w:hanging="702"/>
        <w:jc w:val="left"/>
      </w:pPr>
      <w:rPr>
        <w:rFonts w:hint="default" w:ascii="仿宋" w:hAnsi="仿宋" w:eastAsia="仿宋" w:cs="仿宋"/>
        <w:spacing w:val="-2"/>
        <w:w w:val="100"/>
        <w:sz w:val="26"/>
        <w:szCs w:val="26"/>
        <w:lang w:val="en-US" w:eastAsia="zh-CN" w:bidi="ar-SA"/>
      </w:rPr>
    </w:lvl>
    <w:lvl w:ilvl="1">
      <w:start w:val="0"/>
      <w:numFmt w:val="bullet"/>
      <w:lvlText w:val="•"/>
      <w:lvlJc w:val="left"/>
      <w:pPr>
        <w:ind w:left="976" w:hanging="702"/>
      </w:pPr>
      <w:rPr>
        <w:rFonts w:hint="default"/>
        <w:lang w:val="en-US" w:eastAsia="zh-CN" w:bidi="ar-SA"/>
      </w:rPr>
    </w:lvl>
    <w:lvl w:ilvl="2">
      <w:start w:val="0"/>
      <w:numFmt w:val="bullet"/>
      <w:lvlText w:val="•"/>
      <w:lvlJc w:val="left"/>
      <w:pPr>
        <w:ind w:left="1833" w:hanging="702"/>
      </w:pPr>
      <w:rPr>
        <w:rFonts w:hint="default"/>
        <w:lang w:val="en-US" w:eastAsia="zh-CN" w:bidi="ar-SA"/>
      </w:rPr>
    </w:lvl>
    <w:lvl w:ilvl="3">
      <w:start w:val="0"/>
      <w:numFmt w:val="bullet"/>
      <w:lvlText w:val="•"/>
      <w:lvlJc w:val="left"/>
      <w:pPr>
        <w:ind w:left="2689" w:hanging="702"/>
      </w:pPr>
      <w:rPr>
        <w:rFonts w:hint="default"/>
        <w:lang w:val="en-US" w:eastAsia="zh-CN" w:bidi="ar-SA"/>
      </w:rPr>
    </w:lvl>
    <w:lvl w:ilvl="4">
      <w:start w:val="0"/>
      <w:numFmt w:val="bullet"/>
      <w:lvlText w:val="•"/>
      <w:lvlJc w:val="left"/>
      <w:pPr>
        <w:ind w:left="3546" w:hanging="702"/>
      </w:pPr>
      <w:rPr>
        <w:rFonts w:hint="default"/>
        <w:lang w:val="en-US" w:eastAsia="zh-CN" w:bidi="ar-SA"/>
      </w:rPr>
    </w:lvl>
    <w:lvl w:ilvl="5">
      <w:start w:val="0"/>
      <w:numFmt w:val="bullet"/>
      <w:lvlText w:val="•"/>
      <w:lvlJc w:val="left"/>
      <w:pPr>
        <w:ind w:left="4403" w:hanging="702"/>
      </w:pPr>
      <w:rPr>
        <w:rFonts w:hint="default"/>
        <w:lang w:val="en-US" w:eastAsia="zh-CN" w:bidi="ar-SA"/>
      </w:rPr>
    </w:lvl>
    <w:lvl w:ilvl="6">
      <w:start w:val="0"/>
      <w:numFmt w:val="bullet"/>
      <w:lvlText w:val="•"/>
      <w:lvlJc w:val="left"/>
      <w:pPr>
        <w:ind w:left="5259" w:hanging="702"/>
      </w:pPr>
      <w:rPr>
        <w:rFonts w:hint="default"/>
        <w:lang w:val="en-US" w:eastAsia="zh-CN" w:bidi="ar-SA"/>
      </w:rPr>
    </w:lvl>
    <w:lvl w:ilvl="7">
      <w:start w:val="0"/>
      <w:numFmt w:val="bullet"/>
      <w:lvlText w:val="•"/>
      <w:lvlJc w:val="left"/>
      <w:pPr>
        <w:ind w:left="6116" w:hanging="702"/>
      </w:pPr>
      <w:rPr>
        <w:rFonts w:hint="default"/>
        <w:lang w:val="en-US" w:eastAsia="zh-CN" w:bidi="ar-SA"/>
      </w:rPr>
    </w:lvl>
    <w:lvl w:ilvl="8">
      <w:start w:val="0"/>
      <w:numFmt w:val="bullet"/>
      <w:lvlText w:val="•"/>
      <w:lvlJc w:val="left"/>
      <w:pPr>
        <w:ind w:left="6973" w:hanging="702"/>
      </w:pPr>
      <w:rPr>
        <w:rFonts w:hint="default"/>
        <w:lang w:val="en-US" w:eastAsia="zh-CN" w:bidi="ar-SA"/>
      </w:rPr>
    </w:lvl>
  </w:abstractNum>
  <w:abstractNum w:abstractNumId="1">
    <w:multiLevelType w:val="hybridMultilevel"/>
    <w:lvl w:ilvl="0">
      <w:start w:val="1"/>
      <w:numFmt w:val="decimal"/>
      <w:lvlText w:val="（%1）"/>
      <w:lvlJc w:val="left"/>
      <w:pPr>
        <w:ind w:left="120" w:hanging="702"/>
        <w:jc w:val="left"/>
      </w:pPr>
      <w:rPr>
        <w:rFonts w:hint="default" w:ascii="仿宋" w:hAnsi="仿宋" w:eastAsia="仿宋" w:cs="仿宋"/>
        <w:spacing w:val="-32"/>
        <w:w w:val="100"/>
        <w:sz w:val="26"/>
        <w:szCs w:val="26"/>
        <w:lang w:val="en-US" w:eastAsia="zh-CN" w:bidi="ar-SA"/>
      </w:rPr>
    </w:lvl>
    <w:lvl w:ilvl="1">
      <w:start w:val="0"/>
      <w:numFmt w:val="bullet"/>
      <w:lvlText w:val="•"/>
      <w:lvlJc w:val="left"/>
      <w:pPr>
        <w:ind w:left="976" w:hanging="702"/>
      </w:pPr>
      <w:rPr>
        <w:rFonts w:hint="default"/>
        <w:lang w:val="en-US" w:eastAsia="zh-CN" w:bidi="ar-SA"/>
      </w:rPr>
    </w:lvl>
    <w:lvl w:ilvl="2">
      <w:start w:val="0"/>
      <w:numFmt w:val="bullet"/>
      <w:lvlText w:val="•"/>
      <w:lvlJc w:val="left"/>
      <w:pPr>
        <w:ind w:left="1833" w:hanging="702"/>
      </w:pPr>
      <w:rPr>
        <w:rFonts w:hint="default"/>
        <w:lang w:val="en-US" w:eastAsia="zh-CN" w:bidi="ar-SA"/>
      </w:rPr>
    </w:lvl>
    <w:lvl w:ilvl="3">
      <w:start w:val="0"/>
      <w:numFmt w:val="bullet"/>
      <w:lvlText w:val="•"/>
      <w:lvlJc w:val="left"/>
      <w:pPr>
        <w:ind w:left="2689" w:hanging="702"/>
      </w:pPr>
      <w:rPr>
        <w:rFonts w:hint="default"/>
        <w:lang w:val="en-US" w:eastAsia="zh-CN" w:bidi="ar-SA"/>
      </w:rPr>
    </w:lvl>
    <w:lvl w:ilvl="4">
      <w:start w:val="0"/>
      <w:numFmt w:val="bullet"/>
      <w:lvlText w:val="•"/>
      <w:lvlJc w:val="left"/>
      <w:pPr>
        <w:ind w:left="3546" w:hanging="702"/>
      </w:pPr>
      <w:rPr>
        <w:rFonts w:hint="default"/>
        <w:lang w:val="en-US" w:eastAsia="zh-CN" w:bidi="ar-SA"/>
      </w:rPr>
    </w:lvl>
    <w:lvl w:ilvl="5">
      <w:start w:val="0"/>
      <w:numFmt w:val="bullet"/>
      <w:lvlText w:val="•"/>
      <w:lvlJc w:val="left"/>
      <w:pPr>
        <w:ind w:left="4403" w:hanging="702"/>
      </w:pPr>
      <w:rPr>
        <w:rFonts w:hint="default"/>
        <w:lang w:val="en-US" w:eastAsia="zh-CN" w:bidi="ar-SA"/>
      </w:rPr>
    </w:lvl>
    <w:lvl w:ilvl="6">
      <w:start w:val="0"/>
      <w:numFmt w:val="bullet"/>
      <w:lvlText w:val="•"/>
      <w:lvlJc w:val="left"/>
      <w:pPr>
        <w:ind w:left="5259" w:hanging="702"/>
      </w:pPr>
      <w:rPr>
        <w:rFonts w:hint="default"/>
        <w:lang w:val="en-US" w:eastAsia="zh-CN" w:bidi="ar-SA"/>
      </w:rPr>
    </w:lvl>
    <w:lvl w:ilvl="7">
      <w:start w:val="0"/>
      <w:numFmt w:val="bullet"/>
      <w:lvlText w:val="•"/>
      <w:lvlJc w:val="left"/>
      <w:pPr>
        <w:ind w:left="6116" w:hanging="702"/>
      </w:pPr>
      <w:rPr>
        <w:rFonts w:hint="default"/>
        <w:lang w:val="en-US" w:eastAsia="zh-CN" w:bidi="ar-SA"/>
      </w:rPr>
    </w:lvl>
    <w:lvl w:ilvl="8">
      <w:start w:val="0"/>
      <w:numFmt w:val="bullet"/>
      <w:lvlText w:val="•"/>
      <w:lvlJc w:val="left"/>
      <w:pPr>
        <w:ind w:left="6973" w:hanging="702"/>
      </w:pPr>
      <w:rPr>
        <w:rFonts w:hint="default"/>
        <w:lang w:val="en-US" w:eastAsia="zh-CN" w:bidi="ar-SA"/>
      </w:rPr>
    </w:lvl>
  </w:abstractNum>
  <w:abstractNum w:abstractNumId="0">
    <w:multiLevelType w:val="hybridMultilevel"/>
    <w:lvl w:ilvl="0">
      <w:start w:val="1"/>
      <w:numFmt w:val="decimal"/>
      <w:lvlText w:val="%1."/>
      <w:lvlJc w:val="left"/>
      <w:pPr>
        <w:ind w:left="120" w:hanging="421"/>
        <w:jc w:val="left"/>
      </w:pPr>
      <w:rPr>
        <w:rFonts w:hint="default" w:ascii="仿宋" w:hAnsi="仿宋" w:eastAsia="仿宋" w:cs="仿宋"/>
        <w:spacing w:val="-82"/>
        <w:w w:val="100"/>
        <w:sz w:val="26"/>
        <w:szCs w:val="26"/>
        <w:lang w:val="en-US" w:eastAsia="zh-CN" w:bidi="ar-SA"/>
      </w:rPr>
    </w:lvl>
    <w:lvl w:ilvl="1">
      <w:start w:val="0"/>
      <w:numFmt w:val="bullet"/>
      <w:lvlText w:val="•"/>
      <w:lvlJc w:val="left"/>
      <w:pPr>
        <w:ind w:left="976" w:hanging="421"/>
      </w:pPr>
      <w:rPr>
        <w:rFonts w:hint="default"/>
        <w:lang w:val="en-US" w:eastAsia="zh-CN" w:bidi="ar-SA"/>
      </w:rPr>
    </w:lvl>
    <w:lvl w:ilvl="2">
      <w:start w:val="0"/>
      <w:numFmt w:val="bullet"/>
      <w:lvlText w:val="•"/>
      <w:lvlJc w:val="left"/>
      <w:pPr>
        <w:ind w:left="1833" w:hanging="421"/>
      </w:pPr>
      <w:rPr>
        <w:rFonts w:hint="default"/>
        <w:lang w:val="en-US" w:eastAsia="zh-CN" w:bidi="ar-SA"/>
      </w:rPr>
    </w:lvl>
    <w:lvl w:ilvl="3">
      <w:start w:val="0"/>
      <w:numFmt w:val="bullet"/>
      <w:lvlText w:val="•"/>
      <w:lvlJc w:val="left"/>
      <w:pPr>
        <w:ind w:left="2689" w:hanging="421"/>
      </w:pPr>
      <w:rPr>
        <w:rFonts w:hint="default"/>
        <w:lang w:val="en-US" w:eastAsia="zh-CN" w:bidi="ar-SA"/>
      </w:rPr>
    </w:lvl>
    <w:lvl w:ilvl="4">
      <w:start w:val="0"/>
      <w:numFmt w:val="bullet"/>
      <w:lvlText w:val="•"/>
      <w:lvlJc w:val="left"/>
      <w:pPr>
        <w:ind w:left="3546" w:hanging="421"/>
      </w:pPr>
      <w:rPr>
        <w:rFonts w:hint="default"/>
        <w:lang w:val="en-US" w:eastAsia="zh-CN" w:bidi="ar-SA"/>
      </w:rPr>
    </w:lvl>
    <w:lvl w:ilvl="5">
      <w:start w:val="0"/>
      <w:numFmt w:val="bullet"/>
      <w:lvlText w:val="•"/>
      <w:lvlJc w:val="left"/>
      <w:pPr>
        <w:ind w:left="4403" w:hanging="421"/>
      </w:pPr>
      <w:rPr>
        <w:rFonts w:hint="default"/>
        <w:lang w:val="en-US" w:eastAsia="zh-CN" w:bidi="ar-SA"/>
      </w:rPr>
    </w:lvl>
    <w:lvl w:ilvl="6">
      <w:start w:val="0"/>
      <w:numFmt w:val="bullet"/>
      <w:lvlText w:val="•"/>
      <w:lvlJc w:val="left"/>
      <w:pPr>
        <w:ind w:left="5259" w:hanging="421"/>
      </w:pPr>
      <w:rPr>
        <w:rFonts w:hint="default"/>
        <w:lang w:val="en-US" w:eastAsia="zh-CN" w:bidi="ar-SA"/>
      </w:rPr>
    </w:lvl>
    <w:lvl w:ilvl="7">
      <w:start w:val="0"/>
      <w:numFmt w:val="bullet"/>
      <w:lvlText w:val="•"/>
      <w:lvlJc w:val="left"/>
      <w:pPr>
        <w:ind w:left="6116" w:hanging="421"/>
      </w:pPr>
      <w:rPr>
        <w:rFonts w:hint="default"/>
        <w:lang w:val="en-US" w:eastAsia="zh-CN" w:bidi="ar-SA"/>
      </w:rPr>
    </w:lvl>
    <w:lvl w:ilvl="8">
      <w:start w:val="0"/>
      <w:numFmt w:val="bullet"/>
      <w:lvlText w:val="•"/>
      <w:lvlJc w:val="left"/>
      <w:pPr>
        <w:ind w:left="6973" w:hanging="421"/>
      </w:pPr>
      <w:rPr>
        <w:rFonts w:hint="default"/>
        <w:lang w:val="en-US" w:eastAsia="zh-CN"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lang w:val="en-US" w:eastAsia="zh-CN" w:bidi="ar-SA"/>
    </w:rPr>
  </w:style>
  <w:style w:styleId="BodyText" w:type="paragraph">
    <w:name w:val="Body Text"/>
    <w:basedOn w:val="Normal"/>
    <w:uiPriority w:val="1"/>
    <w:qFormat/>
    <w:pPr/>
    <w:rPr>
      <w:rFonts w:ascii="宋体" w:hAnsi="宋体" w:eastAsia="宋体" w:cs="宋体"/>
      <w:sz w:val="28"/>
      <w:szCs w:val="28"/>
      <w:lang w:val="en-US" w:eastAsia="zh-CN" w:bidi="ar-SA"/>
    </w:rPr>
  </w:style>
  <w:style w:styleId="Heading1" w:type="paragraph">
    <w:name w:val="Heading 1"/>
    <w:basedOn w:val="Normal"/>
    <w:uiPriority w:val="1"/>
    <w:qFormat/>
    <w:pPr>
      <w:spacing w:before="50"/>
      <w:ind w:left="830" w:right="1142"/>
      <w:jc w:val="center"/>
      <w:outlineLvl w:val="1"/>
    </w:pPr>
    <w:rPr>
      <w:rFonts w:ascii="宋体" w:hAnsi="宋体" w:eastAsia="宋体" w:cs="宋体"/>
      <w:b/>
      <w:bCs/>
      <w:sz w:val="36"/>
      <w:szCs w:val="36"/>
      <w:lang w:val="en-US" w:eastAsia="zh-CN" w:bidi="ar-SA"/>
    </w:rPr>
  </w:style>
  <w:style w:styleId="ListParagraph" w:type="paragraph">
    <w:name w:val="List Paragraph"/>
    <w:basedOn w:val="Normal"/>
    <w:uiPriority w:val="1"/>
    <w:qFormat/>
    <w:pPr>
      <w:ind w:left="120" w:firstLine="559"/>
    </w:pPr>
    <w:rPr>
      <w:rFonts w:ascii="仿宋" w:hAnsi="仿宋" w:eastAsia="仿宋" w:cs="仿宋"/>
      <w:lang w:val="en-US" w:eastAsia="zh-CN" w:bidi="ar-SA"/>
    </w:rPr>
  </w:style>
  <w:style w:styleId="TableParagraph" w:type="paragraph">
    <w:name w:val="Table Paragraph"/>
    <w:basedOn w:val="Normal"/>
    <w:uiPriority w:val="1"/>
    <w:qFormat/>
    <w:pPr/>
    <w:rPr>
      <w:lang w:val="en-US" w:eastAsia="zh-CN"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dc:title>管理会计应用指引第400号——营运管理</dc:title>
  <dcterms:created xsi:type="dcterms:W3CDTF">2022-02-11T13:13:08Z</dcterms:created>
  <dcterms:modified xsi:type="dcterms:W3CDTF">2022-02-11T13:13:08Z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2017-10-18T00:00:00Z</vt:filetime>
  </property>
  <property fmtid="{D5CDD505-2E9C-101B-9397-08002B2CF9AE}" pid="3" name="Creator">
    <vt:lpwstr>Microsoft® Word 2010</vt:lpwstr>
  </property>
  <property fmtid="{D5CDD505-2E9C-101B-9397-08002B2CF9AE}" pid="4" name="LastSaved">
    <vt:filetime>2022-02-11T00:00:00Z</vt:filetime>
  </property>
</Properties>
</file>