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4"/>
        <w:rPr>
          <w:rFonts w:ascii="黑体" w:eastAsia="黑体" w:hint="eastAsia"/>
        </w:rPr>
      </w:pPr>
      <w:r>
        <w:rPr>
          <w:rFonts w:ascii="黑体" w:eastAsia="黑体" w:hint="eastAsia"/>
        </w:rPr>
        <w:t>附件 5：</w:t>
      </w:r>
    </w:p>
    <w:p>
      <w:pPr>
        <w:pStyle w:val="BodyText"/>
        <w:ind w:left="0"/>
        <w:rPr>
          <w:rFonts w:ascii="黑体"/>
          <w:sz w:val="20"/>
        </w:rPr>
      </w:pPr>
    </w:p>
    <w:p>
      <w:pPr>
        <w:pStyle w:val="BodyText"/>
        <w:ind w:left="0"/>
        <w:rPr>
          <w:rFonts w:ascii="黑体"/>
          <w:sz w:val="20"/>
        </w:rPr>
      </w:pPr>
    </w:p>
    <w:p>
      <w:pPr>
        <w:pStyle w:val="BodyText"/>
        <w:spacing w:before="7"/>
        <w:ind w:left="0"/>
        <w:rPr>
          <w:rFonts w:ascii="黑体"/>
          <w:sz w:val="21"/>
        </w:rPr>
      </w:pPr>
    </w:p>
    <w:p>
      <w:pPr>
        <w:pStyle w:val="Heading1"/>
        <w:ind w:left="854"/>
        <w:jc w:val="left"/>
      </w:pPr>
      <w:r>
        <w:rPr/>
        <w:t>管理会计应用指引第 500 号</w:t>
      </w:r>
      <w:r>
        <w:rPr>
          <w:rFonts w:ascii="黑体" w:hAnsi="黑体" w:eastAsia="黑体" w:hint="eastAsia"/>
        </w:rPr>
        <w:t>——</w:t>
      </w:r>
      <w:r>
        <w:rPr/>
        <w:t>投融资管理</w:t>
      </w:r>
      <w:r>
        <w:rPr>
          <w:w w:val="99"/>
        </w:rPr>
        <w:t> </w:t>
      </w:r>
    </w:p>
    <w:p>
      <w:pPr>
        <w:pStyle w:val="BodyText"/>
        <w:ind w:left="0"/>
        <w:rPr>
          <w:b/>
          <w:sz w:val="20"/>
        </w:rPr>
      </w:pPr>
    </w:p>
    <w:p>
      <w:pPr>
        <w:pStyle w:val="BodyText"/>
        <w:ind w:left="0"/>
        <w:rPr>
          <w:b/>
          <w:sz w:val="20"/>
        </w:rPr>
      </w:pPr>
    </w:p>
    <w:p>
      <w:pPr>
        <w:pStyle w:val="BodyText"/>
        <w:spacing w:before="8"/>
        <w:ind w:left="0"/>
        <w:rPr>
          <w:b/>
          <w:sz w:val="20"/>
        </w:rPr>
      </w:pPr>
    </w:p>
    <w:p>
      <w:pPr>
        <w:pStyle w:val="BodyText"/>
        <w:spacing w:before="61"/>
        <w:ind w:left="464" w:right="599"/>
        <w:jc w:val="center"/>
        <w:rPr>
          <w:rFonts w:ascii="黑体" w:eastAsia="黑体" w:hint="eastAsia"/>
        </w:rPr>
      </w:pPr>
      <w:r>
        <w:rPr>
          <w:rFonts w:ascii="黑体" w:eastAsia="黑体" w:hint="eastAsia"/>
        </w:rPr>
        <w:t>第一章 总 则</w:t>
      </w:r>
    </w:p>
    <w:p>
      <w:pPr>
        <w:pStyle w:val="BodyText"/>
        <w:spacing w:before="10"/>
        <w:ind w:left="0"/>
        <w:rPr>
          <w:rFonts w:ascii="黑体"/>
          <w:sz w:val="20"/>
        </w:rPr>
      </w:pPr>
    </w:p>
    <w:p>
      <w:pPr>
        <w:pStyle w:val="BodyText"/>
        <w:spacing w:line="417" w:lineRule="auto"/>
        <w:ind w:right="253" w:firstLine="549"/>
        <w:jc w:val="both"/>
      </w:pPr>
      <w:r>
        <w:rPr>
          <w:rFonts w:ascii="黑体" w:eastAsia="黑体" w:hint="eastAsia"/>
        </w:rPr>
        <w:t>第一条</w:t>
      </w:r>
      <w:r>
        <w:rPr/>
        <w:t> 为了促进企业加强投融资管理，健全投融资决策机制， 降低投融资风险，提高投资效益，根据《管理会计基本指引》，制定本指引。 </w:t>
      </w:r>
    </w:p>
    <w:p>
      <w:pPr>
        <w:pStyle w:val="BodyText"/>
        <w:spacing w:line="358" w:lineRule="exact"/>
        <w:ind w:left="670"/>
      </w:pPr>
      <w:r>
        <w:rPr>
          <w:rFonts w:ascii="黑体" w:eastAsia="黑体" w:hint="eastAsia"/>
        </w:rPr>
        <w:t>第二条</w:t>
      </w:r>
      <w:r>
        <w:rPr/>
        <w:t> 投融资管理包括投资管理和融资管理。 </w:t>
      </w:r>
    </w:p>
    <w:p>
      <w:pPr>
        <w:pStyle w:val="BodyText"/>
        <w:spacing w:before="9"/>
        <w:ind w:left="0"/>
        <w:rPr>
          <w:sz w:val="20"/>
        </w:rPr>
      </w:pPr>
    </w:p>
    <w:p>
      <w:pPr>
        <w:pStyle w:val="BodyText"/>
        <w:spacing w:line="417" w:lineRule="auto"/>
        <w:ind w:right="254" w:firstLine="549"/>
      </w:pPr>
      <w:r>
        <w:rPr>
          <w:spacing w:val="-10"/>
        </w:rPr>
        <w:t>投资管理，是指企业根据自身战略发展规划，以企业价值最大化</w:t>
      </w:r>
      <w:r>
        <w:rPr>
          <w:spacing w:val="-3"/>
        </w:rPr>
        <w:t>为目标，对将资金投入营运进行的管理活动。 </w:t>
      </w:r>
    </w:p>
    <w:p>
      <w:pPr>
        <w:pStyle w:val="BodyText"/>
        <w:spacing w:line="417" w:lineRule="auto"/>
        <w:ind w:right="255" w:firstLine="549"/>
      </w:pPr>
      <w:r>
        <w:rPr>
          <w:spacing w:val="-10"/>
        </w:rPr>
        <w:t>融资管理，是指企业为实现既定的战略目标，在风险匹配的原则</w:t>
      </w:r>
      <w:r>
        <w:rPr>
          <w:spacing w:val="-3"/>
        </w:rPr>
        <w:t>下，对通过一定的融资方式和渠道筹集资金进行的管理活动。 </w:t>
      </w:r>
    </w:p>
    <w:p>
      <w:pPr>
        <w:pStyle w:val="BodyText"/>
        <w:spacing w:line="417" w:lineRule="auto"/>
        <w:ind w:right="252" w:firstLine="549"/>
      </w:pPr>
      <w:r>
        <w:rPr>
          <w:spacing w:val="-10"/>
        </w:rPr>
        <w:t>企业融资的规模、期限、结构等应与经营活动、投资活动等的需</w:t>
      </w:r>
      <w:r>
        <w:rPr>
          <w:spacing w:val="-2"/>
        </w:rPr>
        <w:t>要相匹配。</w:t>
      </w:r>
      <w:r>
        <w:rPr/>
        <w:t> </w:t>
      </w:r>
    </w:p>
    <w:p>
      <w:pPr>
        <w:pStyle w:val="BodyText"/>
        <w:spacing w:line="358" w:lineRule="exact"/>
        <w:ind w:left="670"/>
      </w:pPr>
      <w:r>
        <w:rPr>
          <w:rFonts w:ascii="黑体" w:eastAsia="黑体" w:hint="eastAsia"/>
        </w:rPr>
        <w:t>第三条</w:t>
      </w:r>
      <w:r>
        <w:rPr/>
        <w:t> 企业进行投融资管理，一般应遵循以下原则： </w:t>
      </w:r>
    </w:p>
    <w:p>
      <w:pPr>
        <w:pStyle w:val="BodyText"/>
        <w:spacing w:before="9"/>
        <w:ind w:left="0"/>
        <w:rPr>
          <w:sz w:val="20"/>
        </w:rPr>
      </w:pPr>
    </w:p>
    <w:p>
      <w:pPr>
        <w:pStyle w:val="BodyText"/>
        <w:ind w:left="670"/>
      </w:pPr>
      <w:r>
        <w:rPr/>
        <w:t>（一</w:t>
      </w:r>
      <w:r>
        <w:rPr>
          <w:spacing w:val="-113"/>
        </w:rPr>
        <w:t>）</w:t>
      </w:r>
      <w:r>
        <w:rPr>
          <w:spacing w:val="-17"/>
        </w:rPr>
        <w:t>价值创造原则。投融资管理应以持续创造企业价值为核心。</w:t>
      </w:r>
      <w:r>
        <w:rPr/>
        <w:t> </w:t>
      </w:r>
    </w:p>
    <w:p>
      <w:pPr>
        <w:pStyle w:val="BodyText"/>
        <w:spacing w:before="9"/>
        <w:ind w:left="0"/>
        <w:rPr>
          <w:sz w:val="20"/>
        </w:rPr>
      </w:pPr>
    </w:p>
    <w:p>
      <w:pPr>
        <w:pStyle w:val="BodyText"/>
        <w:spacing w:line="417" w:lineRule="auto"/>
        <w:ind w:right="172" w:firstLine="549"/>
      </w:pPr>
      <w:r>
        <w:rPr/>
        <w:t>（二）战略导向原则。投融资管理应符合企业发展战略与规划， 与企业战略布局和结构调整方向相一致。 </w:t>
      </w:r>
    </w:p>
    <w:p>
      <w:pPr>
        <w:pStyle w:val="BodyText"/>
        <w:spacing w:line="417" w:lineRule="auto"/>
        <w:ind w:right="177" w:firstLine="549"/>
      </w:pPr>
      <w:r>
        <w:rPr/>
        <w:t>（三）风险匹配原则。投融资管理应确保投融资对象的风险状况与企业的风险综合承受能力相匹配。 </w:t>
      </w:r>
    </w:p>
    <w:p>
      <w:pPr>
        <w:pStyle w:val="BodyText"/>
        <w:ind w:left="670"/>
      </w:pPr>
      <w:r>
        <w:rPr>
          <w:rFonts w:ascii="黑体" w:eastAsia="黑体" w:hint="eastAsia"/>
        </w:rPr>
        <w:t>第四条</w:t>
      </w:r>
      <w:r>
        <w:rPr/>
        <w:t> 投融资管理领域应用的管理会计工具方法，一般包括贴</w:t>
      </w:r>
    </w:p>
    <w:p>
      <w:pPr>
        <w:spacing w:after="0"/>
        <w:sectPr>
          <w:footerReference w:type="default" r:id="rId5"/>
          <w:type w:val="continuous"/>
          <w:pgSz w:w="11910" w:h="16840"/>
          <w:pgMar w:footer="977" w:top="1520" w:bottom="1160" w:left="1680" w:right="1540"/>
          <w:pgNumType w:start="1"/>
        </w:sectPr>
      </w:pPr>
    </w:p>
    <w:p>
      <w:pPr>
        <w:pStyle w:val="BodyText"/>
        <w:spacing w:before="34"/>
      </w:pPr>
      <w:r>
        <w:rPr/>
        <w:t>现现金流法、项目管理、情景分析、约束资源优化等。 </w:t>
      </w:r>
    </w:p>
    <w:p>
      <w:pPr>
        <w:pStyle w:val="BodyText"/>
        <w:ind w:left="0"/>
        <w:rPr>
          <w:sz w:val="20"/>
        </w:rPr>
      </w:pPr>
    </w:p>
    <w:p>
      <w:pPr>
        <w:pStyle w:val="BodyText"/>
        <w:ind w:left="0"/>
        <w:rPr>
          <w:sz w:val="20"/>
        </w:rPr>
      </w:pPr>
    </w:p>
    <w:p>
      <w:pPr>
        <w:pStyle w:val="BodyText"/>
        <w:spacing w:before="8"/>
        <w:ind w:left="0"/>
        <w:rPr>
          <w:sz w:val="24"/>
        </w:rPr>
      </w:pPr>
    </w:p>
    <w:p>
      <w:pPr>
        <w:pStyle w:val="BodyText"/>
        <w:spacing w:before="62"/>
        <w:ind w:left="463" w:right="599"/>
        <w:jc w:val="center"/>
        <w:rPr>
          <w:rFonts w:ascii="黑体" w:eastAsia="黑体" w:hint="eastAsia"/>
        </w:rPr>
      </w:pPr>
      <w:r>
        <w:rPr>
          <w:rFonts w:ascii="黑体" w:eastAsia="黑体" w:hint="eastAsia"/>
        </w:rPr>
        <w:t>第二章 投资管理程序</w:t>
      </w:r>
    </w:p>
    <w:p>
      <w:pPr>
        <w:pStyle w:val="BodyText"/>
        <w:spacing w:before="9"/>
        <w:ind w:left="0"/>
        <w:rPr>
          <w:rFonts w:ascii="黑体"/>
          <w:sz w:val="20"/>
        </w:rPr>
      </w:pPr>
    </w:p>
    <w:p>
      <w:pPr>
        <w:pStyle w:val="BodyText"/>
        <w:spacing w:line="417" w:lineRule="auto"/>
        <w:ind w:right="254" w:firstLine="549"/>
        <w:jc w:val="both"/>
      </w:pPr>
      <w:r>
        <w:rPr>
          <w:rFonts w:ascii="黑体" w:eastAsia="黑体" w:hint="eastAsia"/>
          <w:spacing w:val="10"/>
        </w:rPr>
        <w:t>第五条 </w:t>
      </w:r>
      <w:r>
        <w:rPr>
          <w:spacing w:val="-1"/>
        </w:rPr>
        <w:t>企业应建立健全投资管理的制度体系，根据组织架构特</w:t>
      </w:r>
      <w:r>
        <w:rPr>
          <w:spacing w:val="-10"/>
        </w:rPr>
        <w:t>点，设置能够满足投资管理活动所需的，由业务、财务、法律及审计</w:t>
      </w:r>
      <w:r>
        <w:rPr>
          <w:spacing w:val="-8"/>
        </w:rPr>
        <w:t>等相关人员组成的投资委员会或类似决策机构，对重大投资事项和投</w:t>
      </w:r>
      <w:r>
        <w:rPr>
          <w:spacing w:val="-11"/>
        </w:rPr>
        <w:t>资制度建设等进行审核，有条件的企业可以设置投资管理机构，组织</w:t>
      </w:r>
      <w:r>
        <w:rPr>
          <w:spacing w:val="-7"/>
        </w:rPr>
        <w:t>开展投资管理工作。 </w:t>
      </w:r>
    </w:p>
    <w:p>
      <w:pPr>
        <w:pStyle w:val="BodyText"/>
        <w:spacing w:line="417" w:lineRule="auto"/>
        <w:ind w:right="254" w:firstLine="549"/>
      </w:pPr>
      <w:r>
        <w:rPr>
          <w:rFonts w:ascii="黑体" w:eastAsia="黑体" w:hint="eastAsia"/>
        </w:rPr>
        <w:t>第六条</w:t>
      </w:r>
      <w:r>
        <w:rPr/>
        <w:t> 企业应用投资管理工具方法，一般按照制定投资计划、进行可行性分析、实施过程控制和投资后评价等程序进行。 </w:t>
      </w:r>
    </w:p>
    <w:p>
      <w:pPr>
        <w:pStyle w:val="BodyText"/>
        <w:spacing w:line="417" w:lineRule="auto"/>
        <w:ind w:right="254" w:firstLine="549"/>
      </w:pPr>
      <w:r>
        <w:rPr>
          <w:rFonts w:ascii="黑体" w:eastAsia="黑体" w:hint="eastAsia"/>
        </w:rPr>
        <w:t>第七条</w:t>
      </w:r>
      <w:r>
        <w:rPr/>
        <w:t> 企业投资管理机构应根据战略需要，定期编制中长期投资规划，并据此编制年度投资计划。 </w:t>
      </w:r>
    </w:p>
    <w:p>
      <w:pPr>
        <w:pStyle w:val="BodyText"/>
        <w:spacing w:line="417" w:lineRule="auto"/>
        <w:ind w:right="178" w:firstLine="549"/>
      </w:pPr>
      <w:r>
        <w:rPr/>
        <w:t>（一）中长期投资规划一般应明确指导思想、战略目标、投资规模、投资结构等。 </w:t>
      </w:r>
    </w:p>
    <w:p>
      <w:pPr>
        <w:pStyle w:val="BodyText"/>
        <w:spacing w:line="417" w:lineRule="auto"/>
        <w:ind w:right="255" w:firstLine="549"/>
        <w:jc w:val="both"/>
      </w:pPr>
      <w:r>
        <w:rPr/>
        <w:t>（二</w:t>
      </w:r>
      <w:r>
        <w:rPr>
          <w:spacing w:val="-29"/>
        </w:rPr>
        <w:t>）</w:t>
      </w:r>
      <w:r>
        <w:rPr>
          <w:spacing w:val="-8"/>
        </w:rPr>
        <w:t>年度投资计划一般包括编制依据、年度投资任务、年度投</w:t>
      </w:r>
      <w:r>
        <w:rPr>
          <w:spacing w:val="-12"/>
        </w:rPr>
        <w:t>资任务执行计划、投资项目的类别及名称、各项目投资额的估算及资</w:t>
      </w:r>
      <w:r>
        <w:rPr>
          <w:spacing w:val="-3"/>
        </w:rPr>
        <w:t>金来源构成等，并纳入企业预算管理。 </w:t>
      </w:r>
    </w:p>
    <w:p>
      <w:pPr>
        <w:pStyle w:val="BodyText"/>
        <w:spacing w:line="417" w:lineRule="auto"/>
        <w:ind w:right="165" w:firstLine="549"/>
        <w:jc w:val="both"/>
      </w:pPr>
      <w:r>
        <w:rPr>
          <w:rFonts w:ascii="黑体" w:eastAsia="黑体" w:hint="eastAsia"/>
        </w:rPr>
        <w:t>第八条</w:t>
      </w:r>
      <w:r>
        <w:rPr/>
        <w:t> 投资可行性分析的内容一般包括该投资在技术和经济上的可行性、可能产生的经济效益和社会效益、可以预测的投资风险、投资落实的各项保障条件等。 </w:t>
      </w:r>
    </w:p>
    <w:p>
      <w:pPr>
        <w:pStyle w:val="BodyText"/>
        <w:spacing w:line="417" w:lineRule="auto"/>
        <w:ind w:right="251" w:firstLine="549"/>
      </w:pPr>
      <w:r>
        <w:rPr>
          <w:rFonts w:ascii="黑体" w:eastAsia="黑体" w:hint="eastAsia"/>
        </w:rPr>
        <w:t>第九条</w:t>
      </w:r>
      <w:r>
        <w:rPr>
          <w:spacing w:val="-1"/>
        </w:rPr>
        <w:t> 企业进行投资管理，应当将投资控制贯穿于投资的实施</w:t>
      </w:r>
      <w:r>
        <w:rPr>
          <w:spacing w:val="-10"/>
        </w:rPr>
        <w:t>全过程。投资控制的主要内容一般包括进度控制、财务控制、变更控</w:t>
      </w:r>
    </w:p>
    <w:p>
      <w:pPr>
        <w:spacing w:after="0" w:line="417" w:lineRule="auto"/>
        <w:sectPr>
          <w:pgSz w:w="11910" w:h="16840"/>
          <w:pgMar w:header="0" w:footer="977" w:top="1520" w:bottom="1160" w:left="1680" w:right="1540"/>
        </w:sectPr>
      </w:pPr>
    </w:p>
    <w:p>
      <w:pPr>
        <w:pStyle w:val="BodyText"/>
        <w:spacing w:before="34"/>
      </w:pPr>
      <w:r>
        <w:rPr/>
        <w:t>制等。 </w:t>
      </w:r>
    </w:p>
    <w:p>
      <w:pPr>
        <w:pStyle w:val="BodyText"/>
        <w:spacing w:before="9"/>
        <w:ind w:left="0"/>
        <w:rPr>
          <w:sz w:val="20"/>
        </w:rPr>
      </w:pPr>
    </w:p>
    <w:p>
      <w:pPr>
        <w:pStyle w:val="BodyText"/>
        <w:spacing w:line="417" w:lineRule="auto" w:before="1"/>
        <w:ind w:right="256" w:firstLine="549"/>
      </w:pPr>
      <w:r>
        <w:rPr>
          <w:spacing w:val="-10"/>
        </w:rPr>
        <w:t>进度控制，是指对投资实际执行进度方面的规范与控制，主要由</w:t>
      </w:r>
      <w:r>
        <w:rPr>
          <w:spacing w:val="-2"/>
        </w:rPr>
        <w:t>投资执行部门负责。 </w:t>
      </w:r>
    </w:p>
    <w:p>
      <w:pPr>
        <w:pStyle w:val="BodyText"/>
        <w:spacing w:line="417" w:lineRule="auto"/>
        <w:ind w:right="255" w:firstLine="549"/>
      </w:pPr>
      <w:r>
        <w:rPr>
          <w:spacing w:val="-10"/>
        </w:rPr>
        <w:t>财务控制，是指对投资过程中资金使用、成本控制等方面的规范</w:t>
      </w:r>
      <w:r>
        <w:rPr>
          <w:spacing w:val="-3"/>
        </w:rPr>
        <w:t>与控制，主要由财务部门负责。</w:t>
      </w:r>
      <w:r>
        <w:rPr/>
        <w:t> </w:t>
      </w:r>
    </w:p>
    <w:p>
      <w:pPr>
        <w:pStyle w:val="BodyText"/>
        <w:spacing w:line="417" w:lineRule="auto"/>
        <w:ind w:right="254" w:firstLine="549"/>
      </w:pPr>
      <w:r>
        <w:rPr>
          <w:spacing w:val="-10"/>
        </w:rPr>
        <w:t>变更控制，是指对投资变更方面的规范与控制，主要由投资管理</w:t>
      </w:r>
      <w:r>
        <w:rPr>
          <w:spacing w:val="-2"/>
        </w:rPr>
        <w:t>部门负责。</w:t>
      </w:r>
      <w:r>
        <w:rPr/>
        <w:t> </w:t>
      </w:r>
    </w:p>
    <w:p>
      <w:pPr>
        <w:pStyle w:val="BodyText"/>
        <w:spacing w:line="417" w:lineRule="auto"/>
        <w:ind w:right="165" w:firstLine="549"/>
        <w:jc w:val="both"/>
      </w:pPr>
      <w:r>
        <w:rPr>
          <w:rFonts w:ascii="黑体" w:eastAsia="黑体" w:hint="eastAsia"/>
        </w:rPr>
        <w:t>第十条</w:t>
      </w:r>
      <w:r>
        <w:rPr/>
        <w:t> 投资项目实施完成后，企业应对照项目可行性分析和投</w:t>
      </w:r>
      <w:r>
        <w:rPr>
          <w:spacing w:val="-10"/>
        </w:rPr>
        <w:t>资计划组织开展投资后评价。投资后评价的主要内容一般包括投资过</w:t>
      </w:r>
      <w:r>
        <w:rPr>
          <w:spacing w:val="-8"/>
        </w:rPr>
        <w:t>程回顾、投资绩效和影响评价、投资目标实现程度和持续能力评价、</w:t>
      </w:r>
      <w:r>
        <w:rPr>
          <w:spacing w:val="-3"/>
        </w:rPr>
        <w:t>经验教训和对策建议等。 </w:t>
      </w:r>
    </w:p>
    <w:p>
      <w:pPr>
        <w:pStyle w:val="BodyText"/>
        <w:spacing w:line="417" w:lineRule="auto"/>
        <w:ind w:right="256" w:firstLine="559"/>
      </w:pPr>
      <w:r>
        <w:rPr>
          <w:rFonts w:ascii="黑体" w:eastAsia="黑体" w:hint="eastAsia"/>
        </w:rPr>
        <w:t>第十一条</w:t>
      </w:r>
      <w:r>
        <w:rPr/>
        <w:t> 投资报告应根据投资管理的情况和执行结果编制，反映企业投资管理的实施情况。投资报告主要包括以下两部分内容： </w:t>
      </w:r>
    </w:p>
    <w:p>
      <w:pPr>
        <w:pStyle w:val="BodyText"/>
        <w:spacing w:line="417" w:lineRule="auto"/>
        <w:ind w:right="251" w:firstLine="559"/>
        <w:jc w:val="both"/>
      </w:pPr>
      <w:r>
        <w:rPr/>
        <w:t>（一</w:t>
      </w:r>
      <w:r>
        <w:rPr>
          <w:spacing w:val="-24"/>
        </w:rPr>
        <w:t>）</w:t>
      </w:r>
      <w:r>
        <w:rPr>
          <w:spacing w:val="-9"/>
        </w:rPr>
        <w:t>投资管理的情况说明，一般包括投资对象、投资额度、投</w:t>
      </w:r>
      <w:r>
        <w:rPr>
          <w:spacing w:val="-11"/>
        </w:rPr>
        <w:t>资结构、投资风险、投资进度、投资效益及需要说明的其他重大事项</w:t>
      </w:r>
      <w:r>
        <w:rPr>
          <w:spacing w:val="-8"/>
        </w:rPr>
        <w:t>等；</w:t>
      </w:r>
      <w:r>
        <w:rPr/>
        <w:t> </w:t>
      </w:r>
    </w:p>
    <w:p>
      <w:pPr>
        <w:pStyle w:val="BodyText"/>
        <w:ind w:left="679"/>
      </w:pPr>
      <w:r>
        <w:rPr/>
        <w:t>（二</w:t>
      </w:r>
      <w:r>
        <w:rPr>
          <w:spacing w:val="-118"/>
        </w:rPr>
        <w:t>）</w:t>
      </w:r>
      <w:r>
        <w:rPr>
          <w:spacing w:val="-17"/>
        </w:rPr>
        <w:t>投资管理建议，可以根据需要以附件形式提供支持性文档。</w:t>
      </w:r>
      <w:r>
        <w:rPr/>
        <w:t> </w:t>
      </w:r>
    </w:p>
    <w:p>
      <w:pPr>
        <w:pStyle w:val="BodyText"/>
        <w:spacing w:before="7"/>
        <w:ind w:left="0"/>
        <w:rPr>
          <w:sz w:val="20"/>
        </w:rPr>
      </w:pPr>
    </w:p>
    <w:p>
      <w:pPr>
        <w:pStyle w:val="BodyText"/>
        <w:spacing w:line="417" w:lineRule="auto"/>
        <w:ind w:right="258" w:firstLine="559"/>
        <w:jc w:val="both"/>
      </w:pPr>
      <w:r>
        <w:rPr>
          <w:rFonts w:ascii="黑体" w:eastAsia="黑体" w:hint="eastAsia"/>
        </w:rPr>
        <w:t>第十二条</w:t>
      </w:r>
      <w:r>
        <w:rPr>
          <w:spacing w:val="-1"/>
        </w:rPr>
        <w:t> 投资报告是重要的管理会计报告，应确保内容真实、</w:t>
      </w:r>
      <w:r>
        <w:rPr>
          <w:spacing w:val="-12"/>
        </w:rPr>
        <w:t>数据可靠、分析客观、结论清楚，为报告使用者提供满足决策需要的</w:t>
      </w:r>
      <w:r>
        <w:rPr>
          <w:spacing w:val="-1"/>
        </w:rPr>
        <w:t>信息。</w:t>
      </w:r>
      <w:r>
        <w:rPr/>
        <w:t> </w:t>
      </w:r>
    </w:p>
    <w:p>
      <w:pPr>
        <w:pStyle w:val="BodyText"/>
        <w:spacing w:line="417" w:lineRule="auto"/>
        <w:ind w:right="254" w:firstLine="559"/>
      </w:pPr>
      <w:r>
        <w:rPr>
          <w:rFonts w:ascii="黑体" w:eastAsia="黑体" w:hint="eastAsia"/>
        </w:rPr>
        <w:t>第十三条</w:t>
      </w:r>
      <w:r>
        <w:rPr/>
        <w:t> 企业可定期编制投资报告，反映一定期间内投资管理</w:t>
      </w:r>
      <w:r>
        <w:rPr>
          <w:spacing w:val="-11"/>
        </w:rPr>
        <w:t>的总体情况，一般至少应于每个会计年度编制一份；也可根据需要编</w:t>
      </w:r>
    </w:p>
    <w:p>
      <w:pPr>
        <w:spacing w:after="0" w:line="417" w:lineRule="auto"/>
        <w:sectPr>
          <w:pgSz w:w="11910" w:h="16840"/>
          <w:pgMar w:header="0" w:footer="977" w:top="1520" w:bottom="1160" w:left="1680" w:right="1540"/>
        </w:sectPr>
      </w:pPr>
    </w:p>
    <w:p>
      <w:pPr>
        <w:pStyle w:val="BodyText"/>
        <w:spacing w:line="417" w:lineRule="auto" w:before="34"/>
        <w:ind w:right="254"/>
      </w:pPr>
      <w:r>
        <w:rPr>
          <w:spacing w:val="-12"/>
        </w:rPr>
        <w:t>制不定期投资报告，主要用于反映重要项目节点、特殊事项和特定项</w:t>
      </w:r>
      <w:r>
        <w:rPr>
          <w:spacing w:val="-3"/>
        </w:rPr>
        <w:t>目的投资管理情况。 </w:t>
      </w:r>
    </w:p>
    <w:p>
      <w:pPr>
        <w:pStyle w:val="BodyText"/>
        <w:spacing w:line="417" w:lineRule="auto"/>
        <w:ind w:right="258" w:firstLine="559"/>
      </w:pPr>
      <w:r>
        <w:rPr>
          <w:rFonts w:ascii="黑体" w:eastAsia="黑体" w:hint="eastAsia"/>
        </w:rPr>
        <w:t>第十四条</w:t>
      </w:r>
      <w:r>
        <w:rPr/>
        <w:t> 企业应及时进行回顾和分析，检查和评估投资管理的实施效果，不断优化投资管理流程，改进投资管理工作。 </w:t>
      </w:r>
    </w:p>
    <w:p>
      <w:pPr>
        <w:pStyle w:val="BodyText"/>
        <w:ind w:left="0"/>
        <w:rPr>
          <w:sz w:val="20"/>
        </w:rPr>
      </w:pPr>
    </w:p>
    <w:p>
      <w:pPr>
        <w:pStyle w:val="BodyText"/>
        <w:spacing w:before="12"/>
        <w:ind w:left="0"/>
        <w:rPr>
          <w:sz w:val="23"/>
        </w:rPr>
      </w:pPr>
    </w:p>
    <w:p>
      <w:pPr>
        <w:pStyle w:val="BodyText"/>
        <w:spacing w:before="61"/>
        <w:ind w:left="463" w:right="599"/>
        <w:jc w:val="center"/>
        <w:rPr>
          <w:rFonts w:ascii="黑体" w:eastAsia="黑体" w:hint="eastAsia"/>
        </w:rPr>
      </w:pPr>
      <w:r>
        <w:rPr>
          <w:rFonts w:ascii="黑体" w:eastAsia="黑体" w:hint="eastAsia"/>
        </w:rPr>
        <w:t>第三章 融资管理程序</w:t>
      </w:r>
    </w:p>
    <w:p>
      <w:pPr>
        <w:pStyle w:val="BodyText"/>
        <w:spacing w:before="9"/>
        <w:ind w:left="0"/>
        <w:rPr>
          <w:rFonts w:ascii="黑体"/>
          <w:sz w:val="20"/>
        </w:rPr>
      </w:pPr>
    </w:p>
    <w:p>
      <w:pPr>
        <w:pStyle w:val="BodyText"/>
        <w:spacing w:line="417" w:lineRule="auto"/>
        <w:ind w:right="251" w:firstLine="549"/>
      </w:pPr>
      <w:r>
        <w:rPr>
          <w:rFonts w:ascii="黑体" w:eastAsia="黑体" w:hint="eastAsia"/>
        </w:rPr>
        <w:t>第十五条</w:t>
      </w:r>
      <w:r>
        <w:rPr/>
        <w:t> 企业应建立健全融资管理的制度体系，融资管理一般采取审批制。 </w:t>
      </w:r>
    </w:p>
    <w:p>
      <w:pPr>
        <w:pStyle w:val="BodyText"/>
        <w:spacing w:line="417" w:lineRule="auto"/>
        <w:ind w:right="254" w:firstLine="549"/>
        <w:jc w:val="both"/>
      </w:pPr>
      <w:r>
        <w:rPr>
          <w:spacing w:val="-9"/>
        </w:rPr>
        <w:t>企业应设置满足融资管理所需的，由业务、财务、法律及审计等</w:t>
      </w:r>
      <w:r>
        <w:rPr>
          <w:spacing w:val="-8"/>
        </w:rPr>
        <w:t>相关人员组成的融资委员会或类似决策机构，对重大融资事项和融资</w:t>
      </w:r>
      <w:r>
        <w:rPr>
          <w:spacing w:val="-12"/>
        </w:rPr>
        <w:t>管理制度等进行审批，并设置专门归口管理部门牵头负责融资管理工</w:t>
      </w:r>
      <w:r>
        <w:rPr>
          <w:spacing w:val="-8"/>
        </w:rPr>
        <w:t>作。</w:t>
      </w:r>
      <w:r>
        <w:rPr/>
        <w:t> </w:t>
      </w:r>
    </w:p>
    <w:p>
      <w:pPr>
        <w:pStyle w:val="BodyText"/>
        <w:spacing w:line="417" w:lineRule="auto"/>
        <w:ind w:right="38" w:firstLine="549"/>
      </w:pPr>
      <w:r>
        <w:rPr>
          <w:rFonts w:ascii="黑体" w:eastAsia="黑体" w:hint="eastAsia"/>
        </w:rPr>
        <w:t>第十六条</w:t>
      </w:r>
      <w:r>
        <w:rPr/>
        <w:t> 企业应用融资管理工具方法，一般按照融资计划制定、融资决策分析、融资方案的实施与调整、融资管理分析等程序进行。 </w:t>
      </w:r>
    </w:p>
    <w:p>
      <w:pPr>
        <w:pStyle w:val="BodyText"/>
        <w:spacing w:line="417" w:lineRule="auto"/>
        <w:ind w:right="112" w:firstLine="549"/>
      </w:pPr>
      <w:r>
        <w:rPr>
          <w:rFonts w:ascii="黑体" w:eastAsia="黑体" w:hint="eastAsia"/>
        </w:rPr>
        <w:t>第十七条</w:t>
      </w:r>
      <w:r>
        <w:rPr/>
        <w:t> 企业对融资安排应实行年度统筹、季度平衡、月度执</w:t>
      </w:r>
      <w:r>
        <w:rPr>
          <w:spacing w:val="-18"/>
        </w:rPr>
        <w:t>行的管理方式，根据战略需要、业务计划和经营状况，预测现金流量， </w:t>
      </w:r>
      <w:r>
        <w:rPr>
          <w:spacing w:val="-11"/>
        </w:rPr>
        <w:t>统筹各项收支，编制年度融资计划，并据此分解至季度和月度融资计</w:t>
      </w:r>
      <w:r>
        <w:rPr>
          <w:spacing w:val="-7"/>
        </w:rPr>
        <w:t>划。必要时根据特定项目的需要，编制专项融资计划。 </w:t>
      </w:r>
    </w:p>
    <w:p>
      <w:pPr>
        <w:pStyle w:val="BodyText"/>
        <w:spacing w:line="417" w:lineRule="auto"/>
        <w:ind w:right="114" w:firstLine="549"/>
        <w:jc w:val="both"/>
      </w:pPr>
      <w:r>
        <w:rPr>
          <w:spacing w:val="-3"/>
        </w:rPr>
        <w:t>年度融资计划的内容一般包括编制依据、融资规模、融资方式、</w:t>
      </w:r>
      <w:r>
        <w:rPr>
          <w:spacing w:val="-11"/>
        </w:rPr>
        <w:t>资本成本等；季度和月度融资计划的内容一般包括年度经营计划、企</w:t>
      </w:r>
      <w:r>
        <w:rPr>
          <w:spacing w:val="-20"/>
        </w:rPr>
        <w:t>业经营情况和项目进展水平、资金周转水平、融资方式、资本成本等。</w:t>
      </w:r>
      <w:r>
        <w:rPr>
          <w:spacing w:val="-9"/>
        </w:rPr>
        <w:t>企业融资计划可作为预算管理的一部分，纳入企业预算管理。 </w:t>
      </w:r>
    </w:p>
    <w:p>
      <w:pPr>
        <w:spacing w:after="0" w:line="417" w:lineRule="auto"/>
        <w:jc w:val="both"/>
        <w:sectPr>
          <w:pgSz w:w="11910" w:h="16840"/>
          <w:pgMar w:header="0" w:footer="977" w:top="1520" w:bottom="1160" w:left="1680" w:right="1540"/>
        </w:sectPr>
      </w:pPr>
    </w:p>
    <w:p>
      <w:pPr>
        <w:pStyle w:val="BodyText"/>
        <w:spacing w:line="417" w:lineRule="auto" w:before="34"/>
        <w:ind w:right="115" w:firstLine="549"/>
      </w:pPr>
      <w:r>
        <w:rPr>
          <w:rFonts w:ascii="黑体" w:eastAsia="黑体" w:hint="eastAsia"/>
        </w:rPr>
        <w:t>第十八条</w:t>
      </w:r>
      <w:r>
        <w:rPr/>
        <w:t> 企业应根据融资决策分析的结果编制融资方案，融资</w:t>
      </w:r>
      <w:r>
        <w:rPr>
          <w:spacing w:val="-15"/>
        </w:rPr>
        <w:t>决策分析的内容一般包括资本结构、资本成本、融资用途、融资规模、</w:t>
      </w:r>
      <w:r>
        <w:rPr>
          <w:spacing w:val="-11"/>
        </w:rPr>
        <w:t>融资方式、融资机构的选择依据、偿付能力、融资潜在风险和应对措</w:t>
      </w:r>
      <w:r>
        <w:rPr>
          <w:spacing w:val="-7"/>
        </w:rPr>
        <w:t>施、还款计划等。 </w:t>
      </w:r>
    </w:p>
    <w:p>
      <w:pPr>
        <w:pStyle w:val="BodyText"/>
        <w:spacing w:line="417" w:lineRule="auto"/>
        <w:ind w:right="251" w:firstLine="549"/>
        <w:jc w:val="both"/>
      </w:pPr>
      <w:r>
        <w:rPr>
          <w:rFonts w:ascii="黑体" w:eastAsia="黑体" w:hint="eastAsia"/>
        </w:rPr>
        <w:t>第十九条</w:t>
      </w:r>
      <w:r>
        <w:rPr>
          <w:spacing w:val="-1"/>
        </w:rPr>
        <w:t> 融资方案经审批通过后，进入实施阶段，一般由归口</w:t>
      </w:r>
      <w:r>
        <w:rPr>
          <w:spacing w:val="-12"/>
        </w:rPr>
        <w:t>管理部门具体负责落实。如果融资活动受阻或者融资量无法达到融资</w:t>
      </w:r>
      <w:r>
        <w:rPr>
          <w:spacing w:val="-13"/>
        </w:rPr>
        <w:t>需求目标，归口管理部门应及时对融资方案进行调整，数额较大时应</w:t>
      </w:r>
      <w:r>
        <w:rPr>
          <w:spacing w:val="-8"/>
        </w:rPr>
        <w:t>按照融资管理程序重新报请融资委员会或类似决策机构审批。</w:t>
      </w:r>
      <w:r>
        <w:rPr/>
        <w:t> </w:t>
      </w:r>
    </w:p>
    <w:p>
      <w:pPr>
        <w:pStyle w:val="BodyText"/>
        <w:spacing w:line="417" w:lineRule="auto"/>
        <w:ind w:right="252" w:firstLine="549"/>
        <w:jc w:val="both"/>
      </w:pPr>
      <w:r>
        <w:rPr>
          <w:rFonts w:ascii="黑体" w:eastAsia="黑体" w:hint="eastAsia"/>
        </w:rPr>
        <w:t>第二十条</w:t>
      </w:r>
      <w:r>
        <w:rPr/>
        <w:t> 企业融资完成后，应对融资进行统一管理，必要时应</w:t>
      </w:r>
      <w:r>
        <w:rPr>
          <w:spacing w:val="-10"/>
        </w:rPr>
        <w:t>建立融资管理台账。企业应定期进行融资管理分析，内容一般包括还</w:t>
      </w:r>
      <w:r>
        <w:rPr>
          <w:spacing w:val="-13"/>
        </w:rPr>
        <w:t>款计划、还款期限、资本成本、偿付能力、融资潜在风险和应对措施</w:t>
      </w:r>
      <w:r>
        <w:rPr>
          <w:spacing w:val="-3"/>
        </w:rPr>
        <w:t>等。还款计划应纳入预算管理，以确保按期偿还融资。 </w:t>
      </w:r>
    </w:p>
    <w:p>
      <w:pPr>
        <w:pStyle w:val="BodyText"/>
        <w:spacing w:line="417" w:lineRule="auto"/>
        <w:ind w:right="115" w:firstLine="559"/>
      </w:pPr>
      <w:r>
        <w:rPr>
          <w:rFonts w:ascii="黑体" w:eastAsia="黑体" w:hint="eastAsia"/>
        </w:rPr>
        <w:t>第二十一条</w:t>
      </w:r>
      <w:r>
        <w:rPr/>
        <w:t> 融资报告应根据融资管理的执行结果编制，反映企业融资管理的情况和执行结果。融资报告主要包括以下两部分内容： </w:t>
      </w:r>
    </w:p>
    <w:p>
      <w:pPr>
        <w:pStyle w:val="BodyText"/>
        <w:spacing w:line="417" w:lineRule="auto"/>
        <w:ind w:right="112" w:firstLine="559"/>
      </w:pPr>
      <w:r>
        <w:rPr/>
        <w:t>（一</w:t>
      </w:r>
      <w:r>
        <w:rPr>
          <w:spacing w:val="-80"/>
        </w:rPr>
        <w:t>）</w:t>
      </w:r>
      <w:r>
        <w:rPr>
          <w:spacing w:val="-14"/>
        </w:rPr>
        <w:t>融资管理的情况说明，一般包括融资需求测算、融资渠道、</w:t>
      </w:r>
      <w:r>
        <w:rPr>
          <w:spacing w:val="-10"/>
        </w:rPr>
        <w:t>融资方式、融资成本、融资程序、融资风险及应对措施、需要说明的</w:t>
      </w:r>
      <w:r>
        <w:rPr>
          <w:spacing w:val="-8"/>
        </w:rPr>
        <w:t>重大事项等；</w:t>
      </w:r>
      <w:r>
        <w:rPr/>
        <w:t> </w:t>
      </w:r>
    </w:p>
    <w:p>
      <w:pPr>
        <w:pStyle w:val="BodyText"/>
        <w:ind w:left="679"/>
      </w:pPr>
      <w:r>
        <w:rPr/>
        <w:t>（二</w:t>
      </w:r>
      <w:r>
        <w:rPr>
          <w:spacing w:val="-118"/>
        </w:rPr>
        <w:t>）</w:t>
      </w:r>
      <w:r>
        <w:rPr>
          <w:spacing w:val="-17"/>
        </w:rPr>
        <w:t>融资管理建议，可以根据需要以附件形式提供支持性文档。</w:t>
      </w:r>
      <w:r>
        <w:rPr/>
        <w:t> </w:t>
      </w:r>
    </w:p>
    <w:p>
      <w:pPr>
        <w:pStyle w:val="BodyText"/>
        <w:spacing w:before="7"/>
        <w:ind w:left="0"/>
        <w:rPr>
          <w:sz w:val="20"/>
        </w:rPr>
      </w:pPr>
    </w:p>
    <w:p>
      <w:pPr>
        <w:pStyle w:val="BodyText"/>
        <w:spacing w:line="417" w:lineRule="auto"/>
        <w:ind w:right="116" w:firstLine="559"/>
      </w:pPr>
      <w:r>
        <w:rPr>
          <w:rFonts w:ascii="黑体" w:eastAsia="黑体" w:hint="eastAsia"/>
          <w:spacing w:val="-1"/>
        </w:rPr>
        <w:t>第二十二条</w:t>
      </w:r>
      <w:r>
        <w:rPr>
          <w:spacing w:val="-10"/>
        </w:rPr>
        <w:t> 融资报告是重要的管理会计报告，应确保内容真实、</w:t>
      </w:r>
      <w:r>
        <w:rPr>
          <w:spacing w:val="-12"/>
        </w:rPr>
        <w:t>数据可靠、分析客观、结论清楚，为报告使用者提供满足决策需要的</w:t>
      </w:r>
      <w:r>
        <w:rPr>
          <w:spacing w:val="-9"/>
        </w:rPr>
        <w:t>信息。</w:t>
      </w:r>
      <w:r>
        <w:rPr/>
        <w:t> </w:t>
      </w:r>
    </w:p>
    <w:p>
      <w:pPr>
        <w:pStyle w:val="BodyText"/>
        <w:spacing w:line="358" w:lineRule="exact"/>
        <w:ind w:left="679"/>
      </w:pPr>
      <w:r>
        <w:rPr>
          <w:rFonts w:ascii="黑体" w:eastAsia="黑体" w:hint="eastAsia"/>
        </w:rPr>
        <w:t>第二十三条</w:t>
      </w:r>
      <w:r>
        <w:rPr/>
        <w:t> 企业可定期编制融资报告，反映一定期间内融资管</w:t>
      </w:r>
    </w:p>
    <w:p>
      <w:pPr>
        <w:spacing w:after="0" w:line="358" w:lineRule="exact"/>
        <w:sectPr>
          <w:pgSz w:w="11910" w:h="16840"/>
          <w:pgMar w:header="0" w:footer="977" w:top="1520" w:bottom="1160" w:left="1680" w:right="1540"/>
        </w:sectPr>
      </w:pPr>
    </w:p>
    <w:p>
      <w:pPr>
        <w:pStyle w:val="BodyText"/>
        <w:spacing w:line="417" w:lineRule="auto" w:before="34"/>
        <w:ind w:right="253"/>
        <w:jc w:val="both"/>
      </w:pPr>
      <w:r>
        <w:rPr>
          <w:spacing w:val="-11"/>
        </w:rPr>
        <w:t>理的总体情况，一般至少应于每个会计年度出具一份；也可根据需要</w:t>
      </w:r>
      <w:r>
        <w:rPr>
          <w:spacing w:val="3"/>
        </w:rPr>
        <w:t>编制不定期报告，主要用于反映特殊事项和特定项目的融资管理情</w:t>
      </w:r>
      <w:r>
        <w:rPr/>
        <w:t>况。 </w:t>
      </w:r>
    </w:p>
    <w:p>
      <w:pPr>
        <w:pStyle w:val="BodyText"/>
        <w:spacing w:line="417" w:lineRule="auto"/>
        <w:ind w:right="115" w:firstLine="559"/>
      </w:pPr>
      <w:r>
        <w:rPr>
          <w:rFonts w:ascii="黑体" w:eastAsia="黑体" w:hint="eastAsia"/>
        </w:rPr>
        <w:t>第二十四条</w:t>
      </w:r>
      <w:r>
        <w:rPr/>
        <w:t> 企业应及时进行融资管理回顾和分析，检查和评估融资管理的实施效果，不断优化融资管理流程，改进融资管理工作。 </w:t>
      </w:r>
    </w:p>
    <w:p>
      <w:pPr>
        <w:pStyle w:val="BodyText"/>
        <w:ind w:left="0"/>
        <w:rPr>
          <w:sz w:val="20"/>
        </w:rPr>
      </w:pPr>
    </w:p>
    <w:p>
      <w:pPr>
        <w:pStyle w:val="BodyText"/>
        <w:spacing w:before="12"/>
        <w:ind w:left="0"/>
        <w:rPr>
          <w:sz w:val="23"/>
        </w:rPr>
      </w:pPr>
    </w:p>
    <w:p>
      <w:pPr>
        <w:pStyle w:val="BodyText"/>
        <w:spacing w:before="61"/>
        <w:ind w:left="464" w:right="599"/>
        <w:jc w:val="center"/>
        <w:rPr>
          <w:rFonts w:ascii="黑体" w:eastAsia="黑体" w:hint="eastAsia"/>
        </w:rPr>
      </w:pPr>
      <w:r>
        <w:rPr>
          <w:rFonts w:ascii="黑体" w:eastAsia="黑体" w:hint="eastAsia"/>
        </w:rPr>
        <w:t>第四章 附 则</w:t>
      </w:r>
    </w:p>
    <w:p>
      <w:pPr>
        <w:pStyle w:val="BodyText"/>
        <w:spacing w:before="9"/>
        <w:ind w:left="0"/>
        <w:rPr>
          <w:rFonts w:ascii="黑体"/>
          <w:sz w:val="20"/>
        </w:rPr>
      </w:pPr>
    </w:p>
    <w:p>
      <w:pPr>
        <w:pStyle w:val="BodyText"/>
        <w:ind w:left="670"/>
      </w:pPr>
      <w:r>
        <w:rPr>
          <w:rFonts w:ascii="黑体" w:eastAsia="黑体" w:hint="eastAsia"/>
        </w:rPr>
        <w:t>第二十五条</w:t>
      </w:r>
      <w:r>
        <w:rPr/>
        <w:t> 本指引由财政部负责解释。 </w:t>
      </w:r>
    </w:p>
    <w:p>
      <w:pPr>
        <w:spacing w:after="0"/>
        <w:sectPr>
          <w:pgSz w:w="11910" w:h="16840"/>
          <w:pgMar w:header="0" w:footer="977" w:top="1520" w:bottom="1160" w:left="1680" w:right="1540"/>
        </w:sectPr>
      </w:pPr>
    </w:p>
    <w:p>
      <w:pPr>
        <w:pStyle w:val="BodyText"/>
        <w:spacing w:before="34"/>
        <w:ind w:left="0"/>
        <w:jc w:val="center"/>
      </w:pPr>
      <w:r>
        <w:rPr>
          <w:w w:val="100"/>
        </w:rPr>
        <w:t> </w:t>
      </w:r>
    </w:p>
    <w:p>
      <w:pPr>
        <w:pStyle w:val="Heading1"/>
        <w:spacing w:before="215"/>
      </w:pPr>
      <w:r>
        <w:rPr>
          <w:w w:val="99"/>
        </w:rPr>
        <w:t> </w:t>
      </w:r>
    </w:p>
    <w:p>
      <w:pPr>
        <w:spacing w:before="162"/>
        <w:ind w:left="641" w:right="599" w:firstLine="0"/>
        <w:jc w:val="center"/>
        <w:rPr>
          <w:b/>
          <w:sz w:val="36"/>
        </w:rPr>
      </w:pPr>
      <w:r>
        <w:rPr>
          <w:b/>
          <w:sz w:val="36"/>
        </w:rPr>
        <w:t>管理会计应用指引第 501 号</w:t>
      </w:r>
      <w:r>
        <w:rPr>
          <w:rFonts w:ascii="黑体" w:hAnsi="黑体" w:eastAsia="黑体" w:hint="eastAsia"/>
          <w:sz w:val="36"/>
        </w:rPr>
        <w:t>——</w:t>
      </w:r>
      <w:r>
        <w:rPr>
          <w:b/>
          <w:sz w:val="36"/>
        </w:rPr>
        <w:t>贴现现金流法</w:t>
      </w:r>
      <w:r>
        <w:rPr>
          <w:b/>
          <w:w w:val="99"/>
          <w:sz w:val="36"/>
        </w:rPr>
        <w:t> </w:t>
      </w:r>
    </w:p>
    <w:p>
      <w:pPr>
        <w:pStyle w:val="BodyText"/>
        <w:ind w:left="0"/>
        <w:rPr>
          <w:b/>
          <w:sz w:val="20"/>
        </w:rPr>
      </w:pPr>
    </w:p>
    <w:p>
      <w:pPr>
        <w:pStyle w:val="BodyText"/>
        <w:ind w:left="0"/>
        <w:rPr>
          <w:b/>
          <w:sz w:val="20"/>
        </w:rPr>
      </w:pPr>
    </w:p>
    <w:p>
      <w:pPr>
        <w:pStyle w:val="BodyText"/>
        <w:spacing w:before="8"/>
        <w:ind w:left="0"/>
        <w:rPr>
          <w:b/>
          <w:sz w:val="20"/>
        </w:rPr>
      </w:pPr>
    </w:p>
    <w:p>
      <w:pPr>
        <w:pStyle w:val="BodyText"/>
        <w:spacing w:before="61"/>
        <w:ind w:left="464" w:right="599"/>
        <w:jc w:val="center"/>
        <w:rPr>
          <w:rFonts w:ascii="黑体" w:eastAsia="黑体" w:hint="eastAsia"/>
        </w:rPr>
      </w:pPr>
      <w:r>
        <w:rPr>
          <w:rFonts w:ascii="黑体" w:eastAsia="黑体" w:hint="eastAsia"/>
        </w:rPr>
        <w:t>第一章 总 则</w:t>
      </w:r>
    </w:p>
    <w:p>
      <w:pPr>
        <w:pStyle w:val="BodyText"/>
        <w:spacing w:before="10"/>
        <w:ind w:left="0"/>
        <w:rPr>
          <w:rFonts w:ascii="黑体"/>
          <w:sz w:val="20"/>
        </w:rPr>
      </w:pPr>
    </w:p>
    <w:p>
      <w:pPr>
        <w:pStyle w:val="BodyText"/>
        <w:spacing w:line="417" w:lineRule="auto"/>
        <w:ind w:right="254" w:firstLine="549"/>
        <w:jc w:val="both"/>
      </w:pPr>
      <w:r>
        <w:rPr>
          <w:rFonts w:ascii="黑体" w:eastAsia="黑体" w:hint="eastAsia"/>
        </w:rPr>
        <w:t>第一条</w:t>
      </w:r>
      <w:r>
        <w:rPr>
          <w:spacing w:val="-1"/>
        </w:rPr>
        <w:t> 贴现现金流法，是以明确的假设为基础，选择恰当的贴</w:t>
      </w:r>
      <w:r>
        <w:rPr>
          <w:spacing w:val="-10"/>
        </w:rPr>
        <w:t>现率对预期的各期现金流入、流出进行贴现，通过贴现值的计算和比</w:t>
      </w:r>
      <w:r>
        <w:rPr>
          <w:spacing w:val="-3"/>
        </w:rPr>
        <w:t>较，为财务合理性提供判断依据的价值评估方法。</w:t>
      </w:r>
      <w:r>
        <w:rPr/>
        <w:t> </w:t>
      </w:r>
    </w:p>
    <w:p>
      <w:pPr>
        <w:pStyle w:val="BodyText"/>
        <w:spacing w:line="417" w:lineRule="auto"/>
        <w:ind w:right="251" w:firstLine="549"/>
        <w:jc w:val="right"/>
      </w:pPr>
      <w:r>
        <w:rPr>
          <w:rFonts w:ascii="黑体" w:eastAsia="黑体" w:hint="eastAsia"/>
        </w:rPr>
        <w:t>第二条</w:t>
      </w:r>
      <w:r>
        <w:rPr>
          <w:spacing w:val="-1"/>
        </w:rPr>
        <w:t> 贴现现金流法一般适用于在企业日常经营过程中，与投</w:t>
      </w:r>
      <w:r>
        <w:rPr>
          <w:spacing w:val="-3"/>
        </w:rPr>
        <w:t>融资管理相关的资产价值评估、企业价值评估和项目投资决策等。</w:t>
      </w:r>
      <w:r>
        <w:rPr>
          <w:spacing w:val="-7"/>
        </w:rPr>
        <w:t>贴现现金流法也适用于其他价值评估方法不适用的企业，包括正</w:t>
      </w:r>
    </w:p>
    <w:p>
      <w:pPr>
        <w:pStyle w:val="BodyText"/>
        <w:spacing w:line="417" w:lineRule="auto"/>
        <w:ind w:right="165"/>
      </w:pPr>
      <w:r>
        <w:rPr/>
        <w:t>在经历重大变化的企业，如债务重组、重大转型、战略性重新定位、亏损或者处于开办期的企业等。 </w:t>
      </w:r>
    </w:p>
    <w:p>
      <w:pPr>
        <w:pStyle w:val="BodyText"/>
        <w:ind w:left="0"/>
        <w:rPr>
          <w:sz w:val="20"/>
        </w:rPr>
      </w:pPr>
    </w:p>
    <w:p>
      <w:pPr>
        <w:pStyle w:val="BodyText"/>
        <w:spacing w:before="10"/>
        <w:ind w:left="0"/>
        <w:rPr>
          <w:sz w:val="23"/>
        </w:rPr>
      </w:pPr>
    </w:p>
    <w:p>
      <w:pPr>
        <w:pStyle w:val="BodyText"/>
        <w:spacing w:before="62"/>
        <w:ind w:left="466" w:right="599"/>
        <w:jc w:val="center"/>
        <w:rPr>
          <w:rFonts w:ascii="黑体" w:eastAsia="黑体" w:hint="eastAsia"/>
        </w:rPr>
      </w:pPr>
      <w:r>
        <w:rPr>
          <w:rFonts w:ascii="黑体" w:eastAsia="黑体" w:hint="eastAsia"/>
        </w:rPr>
        <w:t>第二章 应用环境</w:t>
      </w:r>
    </w:p>
    <w:p>
      <w:pPr>
        <w:pStyle w:val="BodyText"/>
        <w:spacing w:before="9"/>
        <w:ind w:left="0"/>
        <w:rPr>
          <w:rFonts w:ascii="黑体"/>
          <w:sz w:val="20"/>
        </w:rPr>
      </w:pPr>
    </w:p>
    <w:p>
      <w:pPr>
        <w:pStyle w:val="BodyText"/>
        <w:spacing w:line="417" w:lineRule="auto"/>
        <w:ind w:right="254" w:firstLine="599"/>
      </w:pPr>
      <w:r>
        <w:rPr>
          <w:rFonts w:ascii="黑体" w:eastAsia="黑体" w:hint="eastAsia"/>
        </w:rPr>
        <w:t>第三条</w:t>
      </w:r>
      <w:r>
        <w:rPr/>
        <w:t> 企业应用贴现现金流法，应对企业战略、行业特征、外部信息等进行充分了解。 </w:t>
      </w:r>
    </w:p>
    <w:p>
      <w:pPr>
        <w:pStyle w:val="BodyText"/>
        <w:spacing w:line="417" w:lineRule="auto"/>
        <w:ind w:right="119" w:firstLine="599"/>
      </w:pPr>
      <w:r>
        <w:rPr>
          <w:rFonts w:ascii="黑体" w:eastAsia="黑体" w:hint="eastAsia"/>
        </w:rPr>
        <w:t>第四条</w:t>
      </w:r>
      <w:r>
        <w:rPr>
          <w:spacing w:val="-3"/>
        </w:rPr>
        <w:t> 企业应用贴现现金流法，应从战略层面明确贴现现金流</w:t>
      </w:r>
      <w:r>
        <w:rPr>
          <w:spacing w:val="-11"/>
        </w:rPr>
        <w:t>法应用的可行性，并根据实际情况，建立适宜贴现现金流法开展的沟</w:t>
      </w:r>
      <w:r>
        <w:rPr>
          <w:spacing w:val="-19"/>
        </w:rPr>
        <w:t>通协调程序和操作制度，明确信息提供的责任主体、基本程序和方式， </w:t>
      </w:r>
      <w:r>
        <w:rPr>
          <w:spacing w:val="-9"/>
        </w:rPr>
        <w:t>确保信息提供的充分性和可靠性。同时，企业应考虑评估标的未来将</w:t>
      </w:r>
      <w:r>
        <w:rPr>
          <w:spacing w:val="3"/>
        </w:rPr>
        <w:t>采取的会计政策和评估基准日时所采用的会计政策在重要方面是否</w:t>
      </w:r>
    </w:p>
    <w:p>
      <w:pPr>
        <w:spacing w:after="0" w:line="417" w:lineRule="auto"/>
        <w:sectPr>
          <w:pgSz w:w="11910" w:h="16840"/>
          <w:pgMar w:header="0" w:footer="977" w:top="1520" w:bottom="1160" w:left="1680" w:right="1540"/>
        </w:sectPr>
      </w:pPr>
    </w:p>
    <w:p>
      <w:pPr>
        <w:pStyle w:val="BodyText"/>
        <w:spacing w:before="34"/>
      </w:pPr>
      <w:r>
        <w:rPr/>
        <w:t>基本一致。 </w:t>
      </w:r>
    </w:p>
    <w:p>
      <w:pPr>
        <w:pStyle w:val="BodyText"/>
        <w:spacing w:before="9"/>
        <w:ind w:left="0"/>
        <w:rPr>
          <w:sz w:val="20"/>
        </w:rPr>
      </w:pPr>
    </w:p>
    <w:p>
      <w:pPr>
        <w:pStyle w:val="BodyText"/>
        <w:spacing w:line="417" w:lineRule="auto" w:before="1"/>
        <w:ind w:right="253" w:firstLine="599"/>
        <w:jc w:val="both"/>
      </w:pPr>
      <w:r>
        <w:rPr>
          <w:rFonts w:ascii="黑体" w:eastAsia="黑体" w:hint="eastAsia"/>
        </w:rPr>
        <w:t>第五条</w:t>
      </w:r>
      <w:r>
        <w:rPr>
          <w:spacing w:val="-4"/>
        </w:rPr>
        <w:t> 企业应用贴现现金流法，应确认内外部环境对贴现现金</w:t>
      </w:r>
      <w:r>
        <w:rPr>
          <w:spacing w:val="-9"/>
        </w:rPr>
        <w:t>流法的应用可提供充分支持，如现金流入和现金流出的可预测性、贴</w:t>
      </w:r>
      <w:r>
        <w:rPr>
          <w:spacing w:val="-12"/>
        </w:rPr>
        <w:t>现率的可获取性，以及所有数据的可计量特征等。通常需要考虑以下</w:t>
      </w:r>
      <w:r>
        <w:rPr>
          <w:spacing w:val="-1"/>
        </w:rPr>
        <w:t>内容：</w:t>
      </w:r>
      <w:r>
        <w:rPr/>
        <w:t> </w:t>
      </w:r>
    </w:p>
    <w:p>
      <w:pPr>
        <w:pStyle w:val="BodyText"/>
        <w:spacing w:line="417" w:lineRule="auto"/>
        <w:ind w:right="256" w:firstLine="599"/>
      </w:pPr>
      <w:r>
        <w:rPr/>
        <w:t>（一</w:t>
      </w:r>
      <w:r>
        <w:rPr>
          <w:spacing w:val="-68"/>
        </w:rPr>
        <w:t>）</w:t>
      </w:r>
      <w:r>
        <w:rPr>
          <w:spacing w:val="-9"/>
        </w:rPr>
        <w:t>国家现行的有关法律法规及政策、国家宏观经济形势有无</w:t>
      </w:r>
      <w:r>
        <w:rPr>
          <w:spacing w:val="-3"/>
        </w:rPr>
        <w:t>重大变化，各方所处地区的政治、经济和社会环境有无重大变化；</w:t>
      </w:r>
      <w:r>
        <w:rPr/>
        <w:t> </w:t>
      </w:r>
    </w:p>
    <w:p>
      <w:pPr>
        <w:pStyle w:val="BodyText"/>
        <w:spacing w:line="358" w:lineRule="exact"/>
        <w:ind w:left="720"/>
      </w:pPr>
      <w:r>
        <w:rPr/>
        <w:t>（二）有关利率、汇率、税基及税率等是否发生重大变化； </w:t>
      </w:r>
    </w:p>
    <w:p>
      <w:pPr>
        <w:pStyle w:val="BodyText"/>
        <w:spacing w:before="8"/>
        <w:ind w:left="0"/>
        <w:rPr>
          <w:sz w:val="20"/>
        </w:rPr>
      </w:pPr>
    </w:p>
    <w:p>
      <w:pPr>
        <w:pStyle w:val="BodyText"/>
        <w:spacing w:line="417" w:lineRule="auto"/>
        <w:ind w:right="122" w:firstLine="599"/>
      </w:pPr>
      <w:r>
        <w:rPr/>
        <w:t>（三）</w:t>
      </w:r>
      <w:r>
        <w:rPr>
          <w:spacing w:val="-4"/>
        </w:rPr>
        <w:t>评估标的的所有者和使用者是否完全遵守有关法律法规， </w:t>
      </w:r>
      <w:r>
        <w:rPr>
          <w:spacing w:val="-8"/>
        </w:rPr>
        <w:t>评估标的在现有的管理方式和管理水平的基础上，经营范围、方式与</w:t>
      </w:r>
      <w:r>
        <w:rPr>
          <w:spacing w:val="-5"/>
        </w:rPr>
        <w:t>目前方向是否保持一致；</w:t>
      </w:r>
      <w:r>
        <w:rPr/>
        <w:t> </w:t>
      </w:r>
    </w:p>
    <w:p>
      <w:pPr>
        <w:pStyle w:val="BodyText"/>
        <w:spacing w:line="417" w:lineRule="auto"/>
        <w:ind w:right="258" w:firstLine="599"/>
      </w:pPr>
      <w:r>
        <w:rPr/>
        <w:t>（四</w:t>
      </w:r>
      <w:r>
        <w:rPr>
          <w:spacing w:val="-135"/>
        </w:rPr>
        <w:t>）</w:t>
      </w:r>
      <w:r>
        <w:rPr>
          <w:spacing w:val="-4"/>
        </w:rPr>
        <w:t>有无其他不可抗拒因素及不可预见因素对企业造成重大不</w:t>
      </w:r>
      <w:r>
        <w:rPr>
          <w:spacing w:val="-1"/>
        </w:rPr>
        <w:t>利影响。</w:t>
      </w:r>
      <w:r>
        <w:rPr/>
        <w:t> </w:t>
      </w:r>
    </w:p>
    <w:p>
      <w:pPr>
        <w:pStyle w:val="BodyText"/>
        <w:ind w:left="0"/>
        <w:rPr>
          <w:sz w:val="20"/>
        </w:rPr>
      </w:pPr>
    </w:p>
    <w:p>
      <w:pPr>
        <w:pStyle w:val="BodyText"/>
        <w:spacing w:before="11"/>
        <w:ind w:left="0"/>
        <w:rPr>
          <w:sz w:val="23"/>
        </w:rPr>
      </w:pPr>
    </w:p>
    <w:p>
      <w:pPr>
        <w:pStyle w:val="BodyText"/>
        <w:spacing w:before="62"/>
        <w:ind w:left="466" w:right="599"/>
        <w:jc w:val="center"/>
        <w:rPr>
          <w:rFonts w:ascii="黑体" w:eastAsia="黑体" w:hint="eastAsia"/>
        </w:rPr>
      </w:pPr>
      <w:r>
        <w:rPr>
          <w:rFonts w:ascii="黑体" w:eastAsia="黑体" w:hint="eastAsia"/>
        </w:rPr>
        <w:t>第三章 应用程序</w:t>
      </w:r>
    </w:p>
    <w:p>
      <w:pPr>
        <w:pStyle w:val="BodyText"/>
        <w:spacing w:before="8"/>
        <w:ind w:left="0"/>
        <w:rPr>
          <w:rFonts w:ascii="黑体"/>
          <w:sz w:val="20"/>
        </w:rPr>
      </w:pPr>
    </w:p>
    <w:p>
      <w:pPr>
        <w:pStyle w:val="BodyText"/>
        <w:spacing w:before="1"/>
        <w:ind w:left="670"/>
      </w:pPr>
      <w:r>
        <w:rPr>
          <w:rFonts w:ascii="黑体" w:eastAsia="黑体" w:hint="eastAsia"/>
        </w:rPr>
        <w:t>第六条</w:t>
      </w:r>
      <w:r>
        <w:rPr/>
        <w:t> 企业应用贴现现金流法，一般按以下程序进行： </w:t>
      </w:r>
    </w:p>
    <w:p>
      <w:pPr>
        <w:pStyle w:val="BodyText"/>
        <w:spacing w:before="9"/>
        <w:ind w:left="0"/>
        <w:rPr>
          <w:sz w:val="20"/>
        </w:rPr>
      </w:pPr>
    </w:p>
    <w:p>
      <w:pPr>
        <w:pStyle w:val="BodyText"/>
        <w:spacing w:line="417" w:lineRule="auto"/>
        <w:ind w:right="177" w:firstLine="549"/>
      </w:pPr>
      <w:r>
        <w:rPr/>
        <w:t>（一）估计贴现现金流法的三个要素，即，贴现期、现金流、贴现率； </w:t>
      </w:r>
    </w:p>
    <w:p>
      <w:pPr>
        <w:pStyle w:val="BodyText"/>
        <w:spacing w:line="358" w:lineRule="exact"/>
        <w:ind w:left="670"/>
      </w:pPr>
      <w:r>
        <w:rPr/>
        <w:t>（二）在贴现期内，采用合理的贴现率对现金流进行贴现； </w:t>
      </w:r>
    </w:p>
    <w:p>
      <w:pPr>
        <w:pStyle w:val="BodyText"/>
        <w:spacing w:before="9"/>
        <w:ind w:left="0"/>
        <w:rPr>
          <w:sz w:val="20"/>
        </w:rPr>
      </w:pPr>
    </w:p>
    <w:p>
      <w:pPr>
        <w:pStyle w:val="BodyText"/>
        <w:ind w:left="670"/>
      </w:pPr>
      <w:r>
        <w:rPr/>
        <w:t>（三）进行合理性判断； </w:t>
      </w:r>
    </w:p>
    <w:p>
      <w:pPr>
        <w:pStyle w:val="BodyText"/>
        <w:spacing w:before="9"/>
        <w:ind w:left="0"/>
        <w:rPr>
          <w:sz w:val="20"/>
        </w:rPr>
      </w:pPr>
    </w:p>
    <w:p>
      <w:pPr>
        <w:pStyle w:val="BodyText"/>
        <w:ind w:left="670"/>
      </w:pPr>
      <w:r>
        <w:rPr/>
        <w:t>（四）形成分析报告。 </w:t>
      </w:r>
    </w:p>
    <w:p>
      <w:pPr>
        <w:pStyle w:val="BodyText"/>
        <w:spacing w:before="9"/>
        <w:ind w:left="0"/>
        <w:rPr>
          <w:sz w:val="20"/>
        </w:rPr>
      </w:pPr>
    </w:p>
    <w:p>
      <w:pPr>
        <w:pStyle w:val="BodyText"/>
        <w:spacing w:before="1"/>
        <w:ind w:left="670"/>
      </w:pPr>
      <w:r>
        <w:rPr>
          <w:rFonts w:ascii="黑体" w:eastAsia="黑体" w:hint="eastAsia"/>
        </w:rPr>
        <w:t>第七条</w:t>
      </w:r>
      <w:r>
        <w:rPr/>
        <w:t> 企业应充分考虑标的特点、所处市场因素波动的影响以</w:t>
      </w:r>
    </w:p>
    <w:p>
      <w:pPr>
        <w:spacing w:after="0"/>
        <w:sectPr>
          <w:pgSz w:w="11910" w:h="16840"/>
          <w:pgMar w:header="0" w:footer="977" w:top="1520" w:bottom="1160" w:left="1680" w:right="1540"/>
        </w:sectPr>
      </w:pPr>
    </w:p>
    <w:p>
      <w:pPr>
        <w:pStyle w:val="BodyText"/>
        <w:spacing w:line="417" w:lineRule="auto" w:before="34"/>
        <w:ind w:right="253"/>
      </w:pPr>
      <w:r>
        <w:rPr>
          <w:spacing w:val="-10"/>
        </w:rPr>
        <w:t>及有关法律法规的规定等，合理确定贴现期限，确保贴现期与现金流</w:t>
      </w:r>
      <w:r>
        <w:rPr>
          <w:spacing w:val="-7"/>
        </w:rPr>
        <w:t>发生期间相匹配。 </w:t>
      </w:r>
    </w:p>
    <w:p>
      <w:pPr>
        <w:pStyle w:val="BodyText"/>
        <w:spacing w:line="417" w:lineRule="auto"/>
        <w:ind w:right="253" w:firstLine="549"/>
        <w:jc w:val="both"/>
      </w:pPr>
      <w:r>
        <w:rPr>
          <w:spacing w:val="-11"/>
        </w:rPr>
        <w:t>贴现期可采用项目已有限期，亦可采用分段式，如以 </w:t>
      </w:r>
      <w:r>
        <w:rPr/>
        <w:t>5</w:t>
      </w:r>
      <w:r>
        <w:rPr>
          <w:spacing w:val="-16"/>
        </w:rPr>
        <w:t> 年作为一</w:t>
      </w:r>
      <w:r>
        <w:rPr>
          <w:spacing w:val="-11"/>
        </w:rPr>
        <w:t>个期间段。企业在进行资产价值评估时，尤其要注意标的资产的技术</w:t>
      </w:r>
      <w:r>
        <w:rPr>
          <w:spacing w:val="-7"/>
        </w:rPr>
        <w:t>寿命期限对合同约定期限或者法定使用期限的影响。 </w:t>
      </w:r>
    </w:p>
    <w:p>
      <w:pPr>
        <w:pStyle w:val="BodyText"/>
        <w:spacing w:line="417" w:lineRule="auto"/>
        <w:ind w:right="256" w:firstLine="549"/>
        <w:jc w:val="both"/>
      </w:pPr>
      <w:r>
        <w:rPr>
          <w:rFonts w:ascii="黑体" w:eastAsia="黑体" w:hint="eastAsia"/>
        </w:rPr>
        <w:t>第八条</w:t>
      </w:r>
      <w:r>
        <w:rPr>
          <w:spacing w:val="-1"/>
        </w:rPr>
        <w:t> 企业应用贴现现金流法，应当说明和反映影响现金流入</w:t>
      </w:r>
      <w:r>
        <w:rPr>
          <w:spacing w:val="-9"/>
        </w:rPr>
        <w:t>和现金流出的事项和因素，既要反映现金流的变化总趋势，也要反映</w:t>
      </w:r>
      <w:r>
        <w:rPr>
          <w:spacing w:val="-3"/>
        </w:rPr>
        <w:t>某些重要项目的具体趋势。 </w:t>
      </w:r>
    </w:p>
    <w:p>
      <w:pPr>
        <w:pStyle w:val="BodyText"/>
        <w:spacing w:line="417" w:lineRule="auto"/>
        <w:ind w:right="119" w:firstLine="549"/>
      </w:pPr>
      <w:r>
        <w:rPr/>
        <w:t>（一</w:t>
      </w:r>
      <w:r>
        <w:rPr>
          <w:spacing w:val="-44"/>
        </w:rPr>
        <w:t>）</w:t>
      </w:r>
      <w:r>
        <w:rPr>
          <w:spacing w:val="-6"/>
        </w:rPr>
        <w:t>企业应用贴现现金流法进行资产价值评估，要基于行业市</w:t>
      </w:r>
      <w:r>
        <w:rPr>
          <w:spacing w:val="-12"/>
        </w:rPr>
        <w:t>场需求情况、经营风险、技术风险和管理难度等，分析与之有关的预期现金流，以及与收益有关的成本费用、配套资产等；并合理区分标</w:t>
      </w:r>
      <w:r>
        <w:rPr>
          <w:spacing w:val="-11"/>
        </w:rPr>
        <w:t>的资产与其他配套资产或者作为企业资产的组成部分，所获得的收益</w:t>
      </w:r>
      <w:r>
        <w:rPr>
          <w:spacing w:val="-19"/>
        </w:rPr>
        <w:t>和所受的影响；同时，要准确评估标的资产使用权和收益权的完整性， </w:t>
      </w:r>
      <w:r>
        <w:rPr>
          <w:spacing w:val="-3"/>
        </w:rPr>
        <w:t>并评估其对资产预测现金流所产生的影响。 </w:t>
      </w:r>
    </w:p>
    <w:p>
      <w:pPr>
        <w:pStyle w:val="BodyText"/>
        <w:spacing w:line="417" w:lineRule="auto"/>
        <w:ind w:right="177" w:firstLine="549"/>
      </w:pPr>
      <w:r>
        <w:rPr/>
        <w:t>（二）企业应用贴现现金流法进行企业价值评估，一般按照以下程序进行： </w:t>
      </w:r>
    </w:p>
    <w:p>
      <w:pPr>
        <w:pStyle w:val="ListParagraph"/>
        <w:numPr>
          <w:ilvl w:val="0"/>
          <w:numId w:val="1"/>
        </w:numPr>
        <w:tabs>
          <w:tab w:pos="1096" w:val="left" w:leader="none"/>
        </w:tabs>
        <w:spacing w:line="417" w:lineRule="auto" w:before="0" w:after="0"/>
        <w:ind w:left="120" w:right="164" w:firstLine="549"/>
        <w:jc w:val="left"/>
        <w:rPr>
          <w:sz w:val="28"/>
        </w:rPr>
      </w:pPr>
      <w:r>
        <w:rPr>
          <w:sz w:val="28"/>
        </w:rPr>
        <w:t>从相关当事方获取标的企业未来经营状况和收益状况的预测</w:t>
      </w:r>
      <w:r>
        <w:rPr>
          <w:spacing w:val="-4"/>
          <w:sz w:val="28"/>
        </w:rPr>
        <w:t>资料，充分考虑并分析标的企业的资本结构、经营状况、历史业绩、</w:t>
      </w:r>
      <w:r>
        <w:rPr>
          <w:spacing w:val="-8"/>
          <w:sz w:val="28"/>
        </w:rPr>
        <w:t>发展前景和影响标的企业生产经营的宏观经济因素、标的企业所在行</w:t>
      </w:r>
      <w:r>
        <w:rPr>
          <w:spacing w:val="-11"/>
          <w:sz w:val="28"/>
        </w:rPr>
        <w:t>业发展状况与前景，以及未来各种可能性发生的概率及其影响，合理</w:t>
      </w:r>
      <w:r>
        <w:rPr>
          <w:spacing w:val="-7"/>
          <w:sz w:val="28"/>
        </w:rPr>
        <w:t>确定预测假设和权重，进行未来收益预测。 </w:t>
      </w:r>
    </w:p>
    <w:p>
      <w:pPr>
        <w:pStyle w:val="ListParagraph"/>
        <w:numPr>
          <w:ilvl w:val="0"/>
          <w:numId w:val="1"/>
        </w:numPr>
        <w:tabs>
          <w:tab w:pos="1096" w:val="left" w:leader="none"/>
        </w:tabs>
        <w:spacing w:line="358" w:lineRule="exact" w:before="0" w:after="0"/>
        <w:ind w:left="1095" w:right="0" w:hanging="426"/>
        <w:jc w:val="left"/>
        <w:rPr>
          <w:sz w:val="28"/>
        </w:rPr>
      </w:pPr>
      <w:r>
        <w:rPr>
          <w:sz w:val="28"/>
        </w:rPr>
        <w:t>确定预测现金流中的主要参数的合理性，一般包括主营业务</w:t>
      </w:r>
    </w:p>
    <w:p>
      <w:pPr>
        <w:spacing w:after="0" w:line="358" w:lineRule="exact"/>
        <w:jc w:val="left"/>
        <w:rPr>
          <w:sz w:val="28"/>
        </w:rPr>
        <w:sectPr>
          <w:pgSz w:w="11910" w:h="16840"/>
          <w:pgMar w:header="0" w:footer="977" w:top="1520" w:bottom="1160" w:left="1680" w:right="1540"/>
        </w:sectPr>
      </w:pPr>
    </w:p>
    <w:p>
      <w:pPr>
        <w:pStyle w:val="BodyText"/>
        <w:spacing w:line="417" w:lineRule="auto" w:before="34"/>
        <w:ind w:right="253"/>
        <w:jc w:val="both"/>
      </w:pPr>
      <w:r>
        <w:rPr>
          <w:spacing w:val="-11"/>
        </w:rPr>
        <w:t>收入、毛利率、营运资金、资本性支出、成本及费用构成等，尤其要注意企业会计盈余质量对企业估值所产生的影响，需要调整并减少企</w:t>
      </w:r>
      <w:r>
        <w:rPr>
          <w:spacing w:val="-7"/>
        </w:rPr>
        <w:t>业的非经常性损益、重组成本、非主营业务对会计报表的影响。 </w:t>
      </w:r>
    </w:p>
    <w:p>
      <w:pPr>
        <w:pStyle w:val="ListParagraph"/>
        <w:numPr>
          <w:ilvl w:val="0"/>
          <w:numId w:val="1"/>
        </w:numPr>
        <w:tabs>
          <w:tab w:pos="1096" w:val="left" w:leader="none"/>
        </w:tabs>
        <w:spacing w:line="417" w:lineRule="auto" w:before="0" w:after="0"/>
        <w:ind w:left="120" w:right="254" w:firstLine="549"/>
        <w:jc w:val="both"/>
        <w:rPr>
          <w:sz w:val="28"/>
        </w:rPr>
      </w:pPr>
      <w:r>
        <w:rPr>
          <w:spacing w:val="-1"/>
          <w:sz w:val="28"/>
        </w:rPr>
        <w:t>确定预测现金流，应区分以企业整体还是以所有者权益作为</w:t>
      </w:r>
      <w:r>
        <w:rPr>
          <w:spacing w:val="-12"/>
          <w:sz w:val="28"/>
        </w:rPr>
        <w:t>企业价值评估的基础。通常，企业整体价值评估采用企业自由现金流</w:t>
      </w:r>
      <w:r>
        <w:rPr>
          <w:spacing w:val="-13"/>
          <w:sz w:val="28"/>
        </w:rPr>
        <w:t>作为预测现金流的基础；企业所有者权益价值评估采用股权自由现金</w:t>
      </w:r>
      <w:r>
        <w:rPr>
          <w:spacing w:val="-8"/>
          <w:sz w:val="28"/>
        </w:rPr>
        <w:t>流作为预测现金流的基础。 </w:t>
      </w:r>
    </w:p>
    <w:p>
      <w:pPr>
        <w:pStyle w:val="BodyText"/>
        <w:spacing w:line="417" w:lineRule="auto"/>
        <w:ind w:right="119" w:firstLine="549"/>
      </w:pPr>
      <w:r>
        <w:rPr/>
        <w:t>（三</w:t>
      </w:r>
      <w:r>
        <w:rPr>
          <w:spacing w:val="-44"/>
        </w:rPr>
        <w:t>）</w:t>
      </w:r>
      <w:r>
        <w:rPr>
          <w:spacing w:val="-6"/>
        </w:rPr>
        <w:t>企业应用贴现现金流法进行项目投资决策，需要充分考虑</w:t>
      </w:r>
      <w:r>
        <w:rPr>
          <w:spacing w:val="-11"/>
        </w:rPr>
        <w:t>并分析项目的资本结构、经营状况、历史业绩、发展前景，影响项目</w:t>
      </w:r>
      <w:r>
        <w:rPr>
          <w:spacing w:val="-13"/>
        </w:rPr>
        <w:t>运行的市场行业因素和宏观经济因素，并要明确区分项目的预测现金</w:t>
      </w:r>
      <w:r>
        <w:rPr>
          <w:spacing w:val="-19"/>
        </w:rPr>
        <w:t>流，同时要合理区分标的项目与其他项目，或者作为企业的组成部分， </w:t>
      </w:r>
      <w:r>
        <w:rPr>
          <w:spacing w:val="-9"/>
        </w:rPr>
        <w:t>所获得的收益和所受到的影响，尤其要注意可能存在的关联交易，包</w:t>
      </w:r>
      <w:r>
        <w:rPr>
          <w:spacing w:val="-6"/>
        </w:rPr>
        <w:t>括关联交易性质及定价原则等对预测现金流的影响。 </w:t>
      </w:r>
    </w:p>
    <w:p>
      <w:pPr>
        <w:pStyle w:val="BodyText"/>
        <w:spacing w:line="417" w:lineRule="auto"/>
        <w:ind w:right="253" w:firstLine="549"/>
        <w:jc w:val="both"/>
      </w:pPr>
      <w:r>
        <w:rPr>
          <w:rFonts w:ascii="黑体" w:eastAsia="黑体" w:hint="eastAsia"/>
        </w:rPr>
        <w:t>第九条</w:t>
      </w:r>
      <w:r>
        <w:rPr/>
        <w:t> 贴现率是反映当前市场货币时间价值和标的风险的回报</w:t>
      </w:r>
      <w:r>
        <w:rPr>
          <w:spacing w:val="-11"/>
        </w:rPr>
        <w:t>率。贴现率的设定要充分体现标的特点，通常应当反映评估基准日类似地区同类标的平均回报水平和评估对象的特定风险。同时，贴现率</w:t>
      </w:r>
      <w:r>
        <w:rPr>
          <w:spacing w:val="-12"/>
        </w:rPr>
        <w:t>应当与贴现期、现金流相匹配，当使用非年度的时间间隔</w:t>
      </w:r>
      <w:r>
        <w:rPr/>
        <w:t>（</w:t>
      </w:r>
      <w:r>
        <w:rPr>
          <w:spacing w:val="-2"/>
        </w:rPr>
        <w:t>比如按月或按日</w:t>
      </w:r>
      <w:r>
        <w:rPr>
          <w:spacing w:val="-49"/>
        </w:rPr>
        <w:t>）</w:t>
      </w:r>
      <w:r>
        <w:rPr>
          <w:spacing w:val="-9"/>
        </w:rPr>
        <w:t>进行分析时，年度名义贴现率应调整为相应期间的实际贴现</w:t>
      </w:r>
      <w:r>
        <w:rPr>
          <w:spacing w:val="-6"/>
        </w:rPr>
        <w:t>率。</w:t>
      </w:r>
      <w:r>
        <w:rPr/>
        <w:t> </w:t>
      </w:r>
    </w:p>
    <w:p>
      <w:pPr>
        <w:pStyle w:val="BodyText"/>
        <w:spacing w:line="417" w:lineRule="auto"/>
        <w:ind w:right="115" w:firstLine="549"/>
        <w:jc w:val="both"/>
      </w:pPr>
      <w:r>
        <w:rPr/>
        <w:t>（一</w:t>
      </w:r>
      <w:r>
        <w:rPr>
          <w:spacing w:val="-44"/>
        </w:rPr>
        <w:t>）</w:t>
      </w:r>
      <w:r>
        <w:rPr>
          <w:spacing w:val="-7"/>
        </w:rPr>
        <w:t>资产价值评估采用的贴现率，通常根据与资产使用寿命相</w:t>
      </w:r>
      <w:r>
        <w:rPr>
          <w:spacing w:val="-10"/>
        </w:rPr>
        <w:t>匹配的无风险报酬率进行风险调整后确定。无风险报酬率通常选择对</w:t>
      </w:r>
      <w:r>
        <w:rPr>
          <w:spacing w:val="-19"/>
        </w:rPr>
        <w:t>应期限的国债利率，风险调整因素有政治风险、市场风险、技术风险、</w:t>
      </w:r>
    </w:p>
    <w:p>
      <w:pPr>
        <w:spacing w:after="0" w:line="417" w:lineRule="auto"/>
        <w:jc w:val="both"/>
        <w:sectPr>
          <w:pgSz w:w="11910" w:h="16840"/>
          <w:pgMar w:header="0" w:footer="977" w:top="1520" w:bottom="1160" w:left="1680" w:right="1540"/>
        </w:sectPr>
      </w:pPr>
    </w:p>
    <w:p>
      <w:pPr>
        <w:pStyle w:val="BodyText"/>
        <w:spacing w:before="34"/>
      </w:pPr>
      <w:r>
        <w:rPr/>
        <w:t>经营风险和财务风险等。 </w:t>
      </w:r>
    </w:p>
    <w:p>
      <w:pPr>
        <w:pStyle w:val="BodyText"/>
        <w:spacing w:before="9"/>
        <w:ind w:left="0"/>
        <w:rPr>
          <w:sz w:val="20"/>
        </w:rPr>
      </w:pPr>
    </w:p>
    <w:p>
      <w:pPr>
        <w:pStyle w:val="BodyText"/>
        <w:spacing w:line="417" w:lineRule="auto" w:before="1"/>
        <w:ind w:right="254" w:firstLine="549"/>
        <w:jc w:val="both"/>
      </w:pPr>
      <w:r>
        <w:rPr/>
        <w:t>（二</w:t>
      </w:r>
      <w:r>
        <w:rPr>
          <w:spacing w:val="-44"/>
        </w:rPr>
        <w:t>）</w:t>
      </w:r>
      <w:r>
        <w:rPr>
          <w:spacing w:val="-7"/>
        </w:rPr>
        <w:t>进行企业价值评估采用的贴现率，需要区分是以企业整体</w:t>
      </w:r>
      <w:r>
        <w:rPr>
          <w:spacing w:val="-9"/>
        </w:rPr>
        <w:t>还是以所有者权益作为价值评估的基础。通常，企业整体价值评估采</w:t>
      </w:r>
      <w:r>
        <w:rPr>
          <w:spacing w:val="3"/>
        </w:rPr>
        <w:t>用股权资本成本和债务资本成本的加权平均资本成本作为贴现率的</w:t>
      </w:r>
      <w:r>
        <w:rPr>
          <w:spacing w:val="-10"/>
        </w:rPr>
        <w:t>确定依据；企业所有者权益价值评估采用股权资本成本作为贴现率的</w:t>
      </w:r>
      <w:r>
        <w:rPr>
          <w:spacing w:val="-8"/>
        </w:rPr>
        <w:t>确定依据。</w:t>
      </w:r>
      <w:r>
        <w:rPr/>
        <w:t> </w:t>
      </w:r>
    </w:p>
    <w:p>
      <w:pPr>
        <w:pStyle w:val="BodyText"/>
        <w:spacing w:line="417" w:lineRule="auto"/>
        <w:ind w:right="254" w:firstLine="549"/>
      </w:pPr>
      <w:r>
        <w:rPr>
          <w:spacing w:val="-10"/>
        </w:rPr>
        <w:t>资本成本，是指筹集和使用资金的成本率，或进行投资时所要求</w:t>
      </w:r>
      <w:r>
        <w:rPr>
          <w:spacing w:val="-3"/>
        </w:rPr>
        <w:t>的必要报酬率，一般用相对数即资本成本率表达。 </w:t>
      </w:r>
    </w:p>
    <w:p>
      <w:pPr>
        <w:pStyle w:val="BodyText"/>
        <w:spacing w:line="417" w:lineRule="auto"/>
        <w:ind w:right="172" w:firstLine="549"/>
        <w:jc w:val="both"/>
      </w:pPr>
      <w:r>
        <w:rPr>
          <w:spacing w:val="-4"/>
        </w:rPr>
        <w:t>企业的股权资本成本通常以资本资产定价模型为基础进行估计， </w:t>
      </w:r>
      <w:r>
        <w:rPr>
          <w:spacing w:val="-10"/>
        </w:rPr>
        <w:t>综合考虑控制权程度、股权流动性、企业经营情况、历史业绩、发展</w:t>
      </w:r>
      <w:r>
        <w:rPr>
          <w:spacing w:val="-12"/>
        </w:rPr>
        <w:t>前景和影响标的企业生产经营的宏观经济因素、标的企业所在行业发</w:t>
      </w:r>
      <w:r>
        <w:rPr>
          <w:spacing w:val="-7"/>
        </w:rPr>
        <w:t>展状况与前景等调整因素。</w:t>
      </w:r>
      <w:r>
        <w:rPr/>
        <w:t> </w:t>
      </w:r>
    </w:p>
    <w:p>
      <w:pPr>
        <w:pStyle w:val="BodyText"/>
        <w:spacing w:line="417" w:lineRule="auto"/>
        <w:ind w:right="164" w:firstLine="549"/>
      </w:pPr>
      <w:r>
        <w:rPr/>
        <w:t>（三</w:t>
      </w:r>
      <w:r>
        <w:rPr>
          <w:spacing w:val="-44"/>
        </w:rPr>
        <w:t>）</w:t>
      </w:r>
      <w:r>
        <w:rPr>
          <w:spacing w:val="-7"/>
        </w:rPr>
        <w:t>项目投资决策采用的贴现率，应根据市场回报率和标的项</w:t>
      </w:r>
      <w:r>
        <w:rPr>
          <w:spacing w:val="-6"/>
        </w:rPr>
        <w:t>目本身的预期风险来确定。一般地，可以按照标的项目本身的特点， </w:t>
      </w:r>
      <w:r>
        <w:rPr>
          <w:spacing w:val="-7"/>
        </w:rPr>
        <w:t>适用资产价值评估和企业价值评估的贴现率确定方法，但要注意区分</w:t>
      </w:r>
      <w:r>
        <w:rPr>
          <w:spacing w:val="-12"/>
        </w:rPr>
        <w:t>标的项目与其他项目，或者作为企业组成部分所产生的风险影响，对</w:t>
      </w:r>
      <w:r>
        <w:rPr>
          <w:spacing w:val="-7"/>
        </w:rPr>
        <w:t>贴现率进行调整。 </w:t>
      </w:r>
    </w:p>
    <w:p>
      <w:pPr>
        <w:pStyle w:val="BodyText"/>
        <w:spacing w:line="417" w:lineRule="auto"/>
        <w:ind w:right="254" w:firstLine="549"/>
      </w:pPr>
      <w:r>
        <w:rPr>
          <w:rFonts w:ascii="黑体" w:eastAsia="黑体" w:hint="eastAsia"/>
        </w:rPr>
        <w:t>第十条</w:t>
      </w:r>
      <w:r>
        <w:rPr>
          <w:spacing w:val="-1"/>
        </w:rPr>
        <w:t> 企业应用贴现现金流法进行价值评估，一般从以下方面</w:t>
      </w:r>
      <w:r>
        <w:rPr>
          <w:spacing w:val="-2"/>
        </w:rPr>
        <w:t>进行合理性判断： </w:t>
      </w:r>
    </w:p>
    <w:p>
      <w:pPr>
        <w:pStyle w:val="BodyText"/>
        <w:spacing w:line="417" w:lineRule="auto"/>
        <w:ind w:right="253" w:firstLine="549"/>
        <w:jc w:val="both"/>
      </w:pPr>
      <w:r>
        <w:rPr/>
        <w:t>（一</w:t>
      </w:r>
      <w:r>
        <w:rPr>
          <w:spacing w:val="-44"/>
        </w:rPr>
        <w:t>）</w:t>
      </w:r>
      <w:r>
        <w:rPr>
          <w:spacing w:val="-7"/>
        </w:rPr>
        <w:t>客户要求。当客户提出的特殊要求不符合市场价值为基础</w:t>
      </w:r>
      <w:r>
        <w:rPr>
          <w:spacing w:val="-12"/>
        </w:rPr>
        <w:t>的评估对有关贴现期、现金流或贴现率的相关规定时，其估值结果是</w:t>
      </w:r>
      <w:r>
        <w:rPr>
          <w:spacing w:val="-7"/>
        </w:rPr>
        <w:t>基于客户特殊要求下的投资价值而不是市场价值。 </w:t>
      </w:r>
    </w:p>
    <w:p>
      <w:pPr>
        <w:spacing w:after="0" w:line="417" w:lineRule="auto"/>
        <w:jc w:val="both"/>
        <w:sectPr>
          <w:pgSz w:w="11910" w:h="16840"/>
          <w:pgMar w:header="0" w:footer="977" w:top="1520" w:bottom="1160" w:left="1680" w:right="1540"/>
        </w:sectPr>
      </w:pPr>
    </w:p>
    <w:p>
      <w:pPr>
        <w:pStyle w:val="BodyText"/>
        <w:spacing w:line="417" w:lineRule="auto" w:before="34"/>
        <w:ind w:right="256" w:firstLine="549"/>
        <w:jc w:val="both"/>
      </w:pPr>
      <w:r>
        <w:rPr/>
        <w:t>（二</w:t>
      </w:r>
      <w:r>
        <w:rPr>
          <w:spacing w:val="-29"/>
        </w:rPr>
        <w:t>）</w:t>
      </w:r>
      <w:r>
        <w:rPr>
          <w:spacing w:val="-9"/>
        </w:rPr>
        <w:t>评判标准。贴现现金流法作为一项预测技术，评判标准不</w:t>
      </w:r>
      <w:r>
        <w:rPr>
          <w:spacing w:val="-10"/>
        </w:rPr>
        <w:t>在于贴现现金流预测最终是否完全实现，而应关注预测时的数据对贴</w:t>
      </w:r>
      <w:r>
        <w:rPr>
          <w:spacing w:val="-3"/>
        </w:rPr>
        <w:t>现现金流预测的支持程度。 </w:t>
      </w:r>
    </w:p>
    <w:p>
      <w:pPr>
        <w:pStyle w:val="BodyText"/>
        <w:spacing w:line="417" w:lineRule="auto"/>
        <w:ind w:right="256" w:firstLine="549"/>
        <w:jc w:val="both"/>
      </w:pPr>
      <w:r>
        <w:rPr>
          <w:rFonts w:ascii="黑体" w:eastAsia="黑体" w:hint="eastAsia"/>
        </w:rPr>
        <w:t>第十一条</w:t>
      </w:r>
      <w:r>
        <w:rPr>
          <w:spacing w:val="-1"/>
        </w:rPr>
        <w:t> 贴现现金流法分析报告的形式可以根据业务的性质、</w:t>
      </w:r>
      <w:r>
        <w:rPr>
          <w:spacing w:val="-11"/>
        </w:rPr>
        <w:t>服务对象的需求等确定，也可在资产评估报告中整体呈现。当企业需</w:t>
      </w:r>
      <w:r>
        <w:rPr>
          <w:spacing w:val="-10"/>
        </w:rPr>
        <w:t>要单独提供贴现现金流法分析报告时，应确保内容的客观与详实。贴</w:t>
      </w:r>
      <w:r>
        <w:rPr>
          <w:spacing w:val="-3"/>
        </w:rPr>
        <w:t>现现金流法分析报告一般包括以下内容：</w:t>
      </w:r>
      <w:r>
        <w:rPr/>
        <w:t> </w:t>
      </w:r>
    </w:p>
    <w:p>
      <w:pPr>
        <w:pStyle w:val="BodyText"/>
        <w:spacing w:line="417" w:lineRule="auto"/>
        <w:ind w:right="178" w:firstLine="549"/>
      </w:pPr>
      <w:r>
        <w:rPr/>
        <w:t>（一）假设条件。贴现现金流法分析报告应当对贴现现金流法应用过程中的所有假设进行披露。 </w:t>
      </w:r>
    </w:p>
    <w:p>
      <w:pPr>
        <w:pStyle w:val="BodyText"/>
        <w:spacing w:line="417" w:lineRule="auto"/>
        <w:ind w:right="178" w:firstLine="549"/>
      </w:pPr>
      <w:r>
        <w:rPr/>
        <w:t>（二）数据来源。贴现现金流法分析报告应当清楚地说明并提供分析中所使用的有关数据及来源。 </w:t>
      </w:r>
    </w:p>
    <w:p>
      <w:pPr>
        <w:pStyle w:val="BodyText"/>
        <w:spacing w:line="417" w:lineRule="auto"/>
        <w:ind w:right="256" w:firstLine="549"/>
        <w:jc w:val="both"/>
      </w:pPr>
      <w:r>
        <w:rPr/>
        <w:t>（三</w:t>
      </w:r>
      <w:r>
        <w:rPr>
          <w:spacing w:val="-44"/>
        </w:rPr>
        <w:t>）</w:t>
      </w:r>
      <w:r>
        <w:rPr>
          <w:spacing w:val="-7"/>
        </w:rPr>
        <w:t>实施程序。编制贴现现金流法分析报告一般按照以下程序</w:t>
      </w:r>
      <w:r>
        <w:rPr>
          <w:spacing w:val="-12"/>
        </w:rPr>
        <w:t>进行：合理选择评估方法；评估方法的运用和逻辑推理；主要参数的</w:t>
      </w:r>
      <w:r>
        <w:rPr>
          <w:spacing w:val="-7"/>
        </w:rPr>
        <w:t>来源、分析、比较和测算；对评估结论进行分析，形成评估结论。</w:t>
      </w:r>
      <w:r>
        <w:rPr/>
        <w:t> </w:t>
      </w:r>
    </w:p>
    <w:p>
      <w:pPr>
        <w:pStyle w:val="BodyText"/>
        <w:spacing w:line="417" w:lineRule="auto"/>
        <w:ind w:right="254" w:firstLine="549"/>
        <w:jc w:val="both"/>
      </w:pPr>
      <w:r>
        <w:rPr/>
        <w:t>（四</w:t>
      </w:r>
      <w:r>
        <w:rPr>
          <w:spacing w:val="-29"/>
        </w:rPr>
        <w:t>）</w:t>
      </w:r>
      <w:r>
        <w:rPr>
          <w:spacing w:val="-8"/>
        </w:rPr>
        <w:t>评估者身份。当以内部评估人员身份开展评估工作时，评</w:t>
      </w:r>
      <w:r>
        <w:rPr>
          <w:spacing w:val="-7"/>
        </w:rPr>
        <w:t>估人员与控制资产的实体之间的关系应当在评估报告中披露；当以外</w:t>
      </w:r>
      <w:r>
        <w:rPr>
          <w:spacing w:val="-9"/>
        </w:rPr>
        <w:t>部评估人员身份开展评估工作且以盈利为目的为委托方工作时，评估</w:t>
      </w:r>
      <w:r>
        <w:rPr>
          <w:spacing w:val="-6"/>
        </w:rPr>
        <w:t>人员应当对这种关系予以披露。 </w:t>
      </w:r>
    </w:p>
    <w:p>
      <w:pPr>
        <w:pStyle w:val="BodyText"/>
        <w:ind w:left="0"/>
        <w:rPr>
          <w:sz w:val="20"/>
        </w:rPr>
      </w:pPr>
    </w:p>
    <w:p>
      <w:pPr>
        <w:pStyle w:val="BodyText"/>
        <w:spacing w:before="10"/>
        <w:ind w:left="0"/>
        <w:rPr>
          <w:sz w:val="23"/>
        </w:rPr>
      </w:pPr>
    </w:p>
    <w:p>
      <w:pPr>
        <w:pStyle w:val="BodyText"/>
        <w:spacing w:before="61"/>
        <w:ind w:left="463" w:right="599"/>
        <w:jc w:val="center"/>
        <w:rPr>
          <w:rFonts w:ascii="黑体" w:eastAsia="黑体" w:hint="eastAsia"/>
        </w:rPr>
      </w:pPr>
      <w:r>
        <w:rPr>
          <w:rFonts w:ascii="黑体" w:eastAsia="黑体" w:hint="eastAsia"/>
        </w:rPr>
        <w:t>第四章 工具方法评价</w:t>
      </w:r>
    </w:p>
    <w:p>
      <w:pPr>
        <w:pStyle w:val="BodyText"/>
        <w:spacing w:before="9"/>
        <w:ind w:left="0"/>
        <w:rPr>
          <w:rFonts w:ascii="黑体"/>
          <w:sz w:val="20"/>
        </w:rPr>
      </w:pPr>
    </w:p>
    <w:p>
      <w:pPr>
        <w:pStyle w:val="BodyText"/>
        <w:spacing w:line="417" w:lineRule="auto"/>
        <w:ind w:right="37" w:firstLine="549"/>
      </w:pPr>
      <w:r>
        <w:rPr>
          <w:rFonts w:ascii="黑体" w:eastAsia="黑体" w:hint="eastAsia"/>
        </w:rPr>
        <w:t>第十二条</w:t>
      </w:r>
      <w:r>
        <w:rPr/>
        <w:t> 贴现现金流法的主要优点是，结合历史情况进行预测， 并将未来经营战略融入模型，有助于更全面的反映企业价值。 </w:t>
      </w:r>
    </w:p>
    <w:p>
      <w:pPr>
        <w:spacing w:after="0" w:line="417" w:lineRule="auto"/>
        <w:sectPr>
          <w:pgSz w:w="11910" w:h="16840"/>
          <w:pgMar w:header="0" w:footer="977" w:top="1520" w:bottom="1160" w:left="1680" w:right="1540"/>
        </w:sectPr>
      </w:pPr>
    </w:p>
    <w:p>
      <w:pPr>
        <w:pStyle w:val="BodyText"/>
        <w:spacing w:line="417" w:lineRule="auto" w:before="34"/>
        <w:ind w:right="115" w:firstLine="549"/>
      </w:pPr>
      <w:r>
        <w:rPr>
          <w:rFonts w:ascii="黑体" w:eastAsia="黑体" w:hint="eastAsia"/>
        </w:rPr>
        <w:t>第十三条</w:t>
      </w:r>
      <w:r>
        <w:rPr>
          <w:spacing w:val="-9"/>
        </w:rPr>
        <w:t> 贴现现金流法的主要缺点是：测算过程相对较为复杂， </w:t>
      </w:r>
      <w:r>
        <w:rPr>
          <w:spacing w:val="-8"/>
        </w:rPr>
        <w:t>对数据采集和假设的验证要求繁复，资本成本、增长率、未来现金流</w:t>
      </w:r>
      <w:r>
        <w:rPr>
          <w:spacing w:val="-10"/>
        </w:rPr>
        <w:t>量的性质等变量很难得到准确的预测、计算，往往会使得实务中的评</w:t>
      </w:r>
      <w:r>
        <w:rPr>
          <w:spacing w:val="-7"/>
        </w:rPr>
        <w:t>估精度大大降低。 </w:t>
      </w:r>
    </w:p>
    <w:p>
      <w:pPr>
        <w:pStyle w:val="BodyText"/>
        <w:ind w:left="0"/>
        <w:rPr>
          <w:sz w:val="20"/>
        </w:rPr>
      </w:pPr>
    </w:p>
    <w:p>
      <w:pPr>
        <w:pStyle w:val="BodyText"/>
        <w:spacing w:before="12"/>
        <w:ind w:left="0"/>
        <w:rPr>
          <w:sz w:val="23"/>
        </w:rPr>
      </w:pPr>
    </w:p>
    <w:p>
      <w:pPr>
        <w:pStyle w:val="BodyText"/>
        <w:spacing w:line="417" w:lineRule="auto" w:before="61"/>
        <w:ind w:left="670" w:right="3253" w:firstLine="2623"/>
      </w:pPr>
      <w:r>
        <w:rPr>
          <w:rFonts w:ascii="黑体" w:eastAsia="黑体" w:hint="eastAsia"/>
        </w:rPr>
        <w:t>第五章 附  则第十四条</w:t>
      </w:r>
      <w:r>
        <w:rPr/>
        <w:t> 本指引由财政部负责解释。 </w:t>
      </w:r>
    </w:p>
    <w:p>
      <w:pPr>
        <w:spacing w:after="0" w:line="417" w:lineRule="auto"/>
        <w:sectPr>
          <w:pgSz w:w="11910" w:h="16840"/>
          <w:pgMar w:header="0" w:footer="977" w:top="1520" w:bottom="1160" w:left="1680" w:right="1540"/>
        </w:sectPr>
      </w:pPr>
    </w:p>
    <w:p>
      <w:pPr>
        <w:pStyle w:val="BodyText"/>
        <w:ind w:left="0"/>
        <w:rPr>
          <w:sz w:val="20"/>
        </w:rPr>
      </w:pPr>
    </w:p>
    <w:p>
      <w:pPr>
        <w:pStyle w:val="BodyText"/>
        <w:spacing w:before="12"/>
        <w:ind w:left="0"/>
        <w:rPr>
          <w:sz w:val="21"/>
        </w:rPr>
      </w:pPr>
    </w:p>
    <w:p>
      <w:pPr>
        <w:spacing w:before="61"/>
        <w:ind w:left="0" w:right="0" w:firstLine="0"/>
        <w:jc w:val="center"/>
        <w:rPr>
          <w:b/>
          <w:sz w:val="28"/>
        </w:rPr>
      </w:pPr>
      <w:r>
        <w:rPr>
          <w:b/>
          <w:w w:val="99"/>
          <w:sz w:val="28"/>
        </w:rPr>
        <w:t> </w:t>
      </w:r>
    </w:p>
    <w:p>
      <w:pPr>
        <w:pStyle w:val="Heading1"/>
        <w:spacing w:before="214"/>
        <w:ind w:left="638" w:right="599"/>
      </w:pPr>
      <w:r>
        <w:rPr/>
        <w:t>管理会计应用指引第 502 号</w:t>
      </w:r>
      <w:r>
        <w:rPr>
          <w:rFonts w:ascii="黑体" w:hAnsi="黑体" w:eastAsia="黑体" w:hint="eastAsia"/>
          <w:b w:val="0"/>
        </w:rPr>
        <w:t>——</w:t>
      </w:r>
      <w:r>
        <w:rPr/>
        <w:t>项目管理</w:t>
      </w:r>
      <w:r>
        <w:rPr>
          <w:w w:val="99"/>
        </w:rPr>
        <w:t> </w:t>
      </w:r>
    </w:p>
    <w:p>
      <w:pPr>
        <w:pStyle w:val="BodyText"/>
        <w:ind w:left="0"/>
        <w:rPr>
          <w:b/>
          <w:sz w:val="20"/>
        </w:rPr>
      </w:pPr>
    </w:p>
    <w:p>
      <w:pPr>
        <w:pStyle w:val="BodyText"/>
        <w:ind w:left="0"/>
        <w:rPr>
          <w:b/>
          <w:sz w:val="20"/>
        </w:rPr>
      </w:pPr>
    </w:p>
    <w:p>
      <w:pPr>
        <w:pStyle w:val="BodyText"/>
        <w:spacing w:before="8"/>
        <w:ind w:left="0"/>
        <w:rPr>
          <w:b/>
          <w:sz w:val="20"/>
        </w:rPr>
      </w:pPr>
    </w:p>
    <w:p>
      <w:pPr>
        <w:pStyle w:val="BodyText"/>
        <w:spacing w:before="61"/>
        <w:ind w:left="464" w:right="599"/>
        <w:jc w:val="center"/>
        <w:rPr>
          <w:rFonts w:ascii="黑体" w:eastAsia="黑体" w:hint="eastAsia"/>
        </w:rPr>
      </w:pPr>
      <w:r>
        <w:rPr>
          <w:rFonts w:ascii="黑体" w:eastAsia="黑体" w:hint="eastAsia"/>
        </w:rPr>
        <w:t>第一章 总 则</w:t>
      </w:r>
    </w:p>
    <w:p>
      <w:pPr>
        <w:pStyle w:val="BodyText"/>
        <w:spacing w:before="10"/>
        <w:ind w:left="0"/>
        <w:rPr>
          <w:rFonts w:ascii="黑体"/>
          <w:sz w:val="20"/>
        </w:rPr>
      </w:pPr>
    </w:p>
    <w:p>
      <w:pPr>
        <w:pStyle w:val="BodyText"/>
        <w:spacing w:line="417" w:lineRule="auto"/>
        <w:ind w:right="255" w:firstLine="549"/>
        <w:jc w:val="both"/>
      </w:pPr>
      <w:r>
        <w:rPr>
          <w:rFonts w:ascii="黑体" w:eastAsia="黑体" w:hint="eastAsia"/>
        </w:rPr>
        <w:t>第一条</w:t>
      </w:r>
      <w:r>
        <w:rPr>
          <w:spacing w:val="-1"/>
        </w:rPr>
        <w:t> 项目管理，是指通过项目各参与方的合作，运用专门的</w:t>
      </w:r>
      <w:r>
        <w:rPr>
          <w:spacing w:val="-11"/>
        </w:rPr>
        <w:t>知识、工具和方法，对各项资源进行计划、组织、协调、控制，使项目能够在规定的时间、预算和质量范围内，实现或超过既定目标的管</w:t>
      </w:r>
      <w:r>
        <w:rPr>
          <w:spacing w:val="-1"/>
        </w:rPr>
        <w:t>理活动。</w:t>
      </w:r>
      <w:r>
        <w:rPr/>
        <w:t> </w:t>
      </w:r>
    </w:p>
    <w:p>
      <w:pPr>
        <w:pStyle w:val="BodyText"/>
        <w:spacing w:line="417" w:lineRule="auto"/>
        <w:ind w:right="165" w:firstLine="549"/>
      </w:pPr>
      <w:r>
        <w:rPr>
          <w:rFonts w:ascii="黑体" w:eastAsia="黑体" w:hint="eastAsia"/>
        </w:rPr>
        <w:t>第二条</w:t>
      </w:r>
      <w:r>
        <w:rPr/>
        <w:t> 本指引适用于以一次性活动为主要特征的项目活动，如一项工程、服务、研究课题、研发项目、赛事、会展或活动演出等； 也可以适用于以项目制为主要经营单元的各类经济主体。 </w:t>
      </w:r>
    </w:p>
    <w:p>
      <w:pPr>
        <w:pStyle w:val="BodyText"/>
        <w:spacing w:line="358" w:lineRule="exact"/>
        <w:ind w:left="670"/>
      </w:pPr>
      <w:r>
        <w:rPr>
          <w:rFonts w:ascii="黑体" w:eastAsia="黑体" w:hint="eastAsia"/>
        </w:rPr>
        <w:t>第三条</w:t>
      </w:r>
      <w:r>
        <w:rPr/>
        <w:t> 企业进行项目管理时，一般应遵循以下原则： </w:t>
      </w:r>
    </w:p>
    <w:p>
      <w:pPr>
        <w:pStyle w:val="BodyText"/>
        <w:spacing w:before="8"/>
        <w:ind w:left="0"/>
        <w:rPr>
          <w:sz w:val="20"/>
        </w:rPr>
      </w:pPr>
    </w:p>
    <w:p>
      <w:pPr>
        <w:pStyle w:val="BodyText"/>
        <w:spacing w:line="417" w:lineRule="auto"/>
        <w:ind w:right="178" w:firstLine="549"/>
      </w:pPr>
      <w:r>
        <w:rPr/>
        <w:t>（一）注重实效，协同创新。项目应围绕项目管理的目标，强调成本效益原则，实现项目各责任主体间的协同发展、自主创新。 </w:t>
      </w:r>
    </w:p>
    <w:p>
      <w:pPr>
        <w:pStyle w:val="BodyText"/>
        <w:spacing w:line="417" w:lineRule="auto"/>
        <w:ind w:right="252" w:firstLine="549"/>
        <w:jc w:val="both"/>
      </w:pPr>
      <w:r>
        <w:rPr/>
        <w:t>（二</w:t>
      </w:r>
      <w:r>
        <w:rPr>
          <w:spacing w:val="-22"/>
        </w:rPr>
        <w:t>）</w:t>
      </w:r>
      <w:r>
        <w:rPr>
          <w:spacing w:val="-10"/>
        </w:rPr>
        <w:t>按级负责，分工管理。项目各责任主体，应当根据管理层</w:t>
      </w:r>
      <w:r>
        <w:rPr>
          <w:spacing w:val="-9"/>
        </w:rPr>
        <w:t>次和任务分工的不同，有效行使管理职责，履行管理义务，确保项目</w:t>
      </w:r>
      <w:r>
        <w:rPr>
          <w:spacing w:val="-7"/>
        </w:rPr>
        <w:t>取得实效。</w:t>
      </w:r>
      <w:r>
        <w:rPr/>
        <w:t> </w:t>
      </w:r>
    </w:p>
    <w:p>
      <w:pPr>
        <w:pStyle w:val="BodyText"/>
        <w:spacing w:line="417" w:lineRule="auto"/>
        <w:ind w:right="178" w:firstLine="549"/>
      </w:pPr>
      <w:r>
        <w:rPr/>
        <w:t>（三）科学安排，合理配置。严格按照项目的目标和任务，科学合理编制预算，严格执行预算。 </w:t>
      </w:r>
    </w:p>
    <w:p>
      <w:pPr>
        <w:pStyle w:val="BodyText"/>
        <w:ind w:left="0"/>
        <w:rPr>
          <w:sz w:val="20"/>
        </w:rPr>
      </w:pPr>
    </w:p>
    <w:p>
      <w:pPr>
        <w:pStyle w:val="BodyText"/>
        <w:spacing w:before="11"/>
        <w:ind w:left="0"/>
        <w:rPr>
          <w:sz w:val="23"/>
        </w:rPr>
      </w:pPr>
    </w:p>
    <w:p>
      <w:pPr>
        <w:pStyle w:val="BodyText"/>
        <w:spacing w:before="62"/>
        <w:ind w:left="461" w:right="599"/>
        <w:jc w:val="center"/>
        <w:rPr>
          <w:rFonts w:ascii="黑体" w:eastAsia="黑体" w:hint="eastAsia"/>
        </w:rPr>
      </w:pPr>
      <w:r>
        <w:rPr>
          <w:rFonts w:ascii="黑体" w:eastAsia="黑体" w:hint="eastAsia"/>
        </w:rPr>
        <w:t>第二章 项目管理的基本程序</w:t>
      </w:r>
    </w:p>
    <w:p>
      <w:pPr>
        <w:spacing w:after="0"/>
        <w:jc w:val="center"/>
        <w:rPr>
          <w:rFonts w:ascii="黑体" w:eastAsia="黑体" w:hint="eastAsia"/>
        </w:rPr>
        <w:sectPr>
          <w:pgSz w:w="11910" w:h="16840"/>
          <w:pgMar w:header="0" w:footer="977" w:top="1580" w:bottom="1160" w:left="1680" w:right="1540"/>
        </w:sectPr>
      </w:pPr>
    </w:p>
    <w:p>
      <w:pPr>
        <w:pStyle w:val="BodyText"/>
        <w:spacing w:line="417" w:lineRule="auto" w:before="34"/>
        <w:ind w:right="251" w:firstLine="549"/>
        <w:jc w:val="right"/>
      </w:pPr>
      <w:r>
        <w:rPr>
          <w:rFonts w:ascii="黑体" w:eastAsia="黑体" w:hint="eastAsia"/>
        </w:rPr>
        <w:t>第四条</w:t>
      </w:r>
      <w:r>
        <w:rPr>
          <w:spacing w:val="-1"/>
        </w:rPr>
        <w:t> 企业应用项目管理工具方法一般按照可行性研究、项目</w:t>
      </w:r>
      <w:r>
        <w:rPr>
          <w:spacing w:val="-3"/>
        </w:rPr>
        <w:t>立项、项目计划、项目实施、项目验收和项目后评价等程序进行。</w:t>
      </w:r>
      <w:r>
        <w:rPr>
          <w:rFonts w:ascii="黑体" w:eastAsia="黑体" w:hint="eastAsia"/>
        </w:rPr>
        <w:t>第五条</w:t>
      </w:r>
      <w:r>
        <w:rPr/>
        <w:t> 可行性研究，是指通过对项目在技术上是否可行、经济</w:t>
      </w:r>
    </w:p>
    <w:p>
      <w:pPr>
        <w:pStyle w:val="BodyText"/>
        <w:spacing w:line="417" w:lineRule="auto"/>
        <w:ind w:right="257"/>
      </w:pPr>
      <w:r>
        <w:rPr>
          <w:spacing w:val="-11"/>
        </w:rPr>
        <w:t>上是否合理、社会和环境影响是否积极等进行科学分析和论证，以最</w:t>
      </w:r>
      <w:r>
        <w:rPr>
          <w:spacing w:val="-3"/>
        </w:rPr>
        <w:t>终确定项目投资建设是否进入启动程序的过程。</w:t>
      </w:r>
      <w:r>
        <w:rPr/>
        <w:t> </w:t>
      </w:r>
    </w:p>
    <w:p>
      <w:pPr>
        <w:pStyle w:val="BodyText"/>
        <w:spacing w:line="417" w:lineRule="auto"/>
        <w:ind w:right="251" w:firstLine="549"/>
        <w:jc w:val="both"/>
      </w:pPr>
      <w:r>
        <w:rPr>
          <w:spacing w:val="-8"/>
        </w:rPr>
        <w:t>企业一般可以从投资必要性、技术可行性、财务可行性、组织可</w:t>
      </w:r>
      <w:r>
        <w:rPr>
          <w:spacing w:val="-12"/>
        </w:rPr>
        <w:t>行性、经济可行性、环境可行性、社会可行性、风险因素及对策等方</w:t>
      </w:r>
      <w:r>
        <w:rPr>
          <w:spacing w:val="-3"/>
        </w:rPr>
        <w:t>面开展项目的可行性研究。</w:t>
      </w:r>
      <w:r>
        <w:rPr/>
        <w:t> </w:t>
      </w:r>
    </w:p>
    <w:p>
      <w:pPr>
        <w:pStyle w:val="BodyText"/>
        <w:spacing w:line="417" w:lineRule="auto"/>
        <w:ind w:right="253" w:firstLine="549"/>
      </w:pPr>
      <w:r>
        <w:rPr>
          <w:rFonts w:ascii="黑体" w:eastAsia="黑体" w:hint="eastAsia"/>
        </w:rPr>
        <w:t>第六条</w:t>
      </w:r>
      <w:r>
        <w:rPr/>
        <w:t> 项目立项，是指对项目可行性研究进行批复，并确认列入项目实施计划的过程。 </w:t>
      </w:r>
    </w:p>
    <w:p>
      <w:pPr>
        <w:pStyle w:val="BodyText"/>
        <w:spacing w:line="417" w:lineRule="auto"/>
        <w:ind w:right="178" w:firstLine="549"/>
      </w:pPr>
      <w:r>
        <w:rPr/>
        <w:t>经批复的可行性研究报告是项目立项的依据，项目立项一般应在批复的有效期内完成。 </w:t>
      </w:r>
    </w:p>
    <w:p>
      <w:pPr>
        <w:pStyle w:val="BodyText"/>
        <w:spacing w:line="417" w:lineRule="auto"/>
        <w:ind w:right="164" w:firstLine="549"/>
        <w:jc w:val="both"/>
      </w:pPr>
      <w:r>
        <w:rPr>
          <w:rFonts w:ascii="黑体" w:eastAsia="黑体" w:hint="eastAsia"/>
        </w:rPr>
        <w:t>第七条</w:t>
      </w:r>
      <w:r>
        <w:rPr/>
        <w:t> 项目计划，是指项目立项后，在符合项目可行性报告批复相关要求的基础上，明确项目的实施内容、实施规模、实施标准、实施技术等计划实施方案，并据此编制项目执行预算的书面文件。 </w:t>
      </w:r>
    </w:p>
    <w:p>
      <w:pPr>
        <w:pStyle w:val="BodyText"/>
        <w:spacing w:line="417" w:lineRule="auto"/>
        <w:ind w:right="251" w:firstLine="549"/>
        <w:jc w:val="both"/>
      </w:pPr>
      <w:r>
        <w:rPr>
          <w:spacing w:val="-6"/>
        </w:rPr>
        <w:t>通常情况下，项目执行预算超过可行性研究报告项目预算的 </w:t>
      </w:r>
      <w:r>
        <w:rPr/>
        <w:t>10% </w:t>
      </w:r>
      <w:r>
        <w:rPr>
          <w:spacing w:val="-12"/>
        </w:rPr>
        <w:t>时，或者项目实施内容、实施规模、实施地点、实施技术方案等发生</w:t>
      </w:r>
      <w:r>
        <w:rPr>
          <w:spacing w:val="-10"/>
        </w:rPr>
        <w:t>重大变更时，应重新组织编制和报批可行性报告。经批复的项目计划</w:t>
      </w:r>
      <w:r>
        <w:rPr>
          <w:spacing w:val="-7"/>
        </w:rPr>
        <w:t>及项目执行预算应作为项目实施的依据。 </w:t>
      </w:r>
    </w:p>
    <w:p>
      <w:pPr>
        <w:pStyle w:val="BodyText"/>
        <w:spacing w:line="417" w:lineRule="auto"/>
        <w:ind w:right="253" w:firstLine="549"/>
        <w:jc w:val="both"/>
      </w:pPr>
      <w:r>
        <w:rPr>
          <w:spacing w:val="-8"/>
        </w:rPr>
        <w:t>项目可行性报告的内容一般包括项目概况、市场预测、产品方案</w:t>
      </w:r>
      <w:r>
        <w:rPr>
          <w:spacing w:val="-13"/>
        </w:rPr>
        <w:t>与生产规模、厂址选择、工艺与组织方案设计、财务评价、项目风险</w:t>
      </w:r>
      <w:r>
        <w:rPr>
          <w:spacing w:val="-3"/>
        </w:rPr>
        <w:t>分析，以及项目可行性研究结论与建议等。 </w:t>
      </w:r>
    </w:p>
    <w:p>
      <w:pPr>
        <w:spacing w:after="0" w:line="417" w:lineRule="auto"/>
        <w:jc w:val="both"/>
        <w:sectPr>
          <w:pgSz w:w="11910" w:h="16840"/>
          <w:pgMar w:header="0" w:footer="977" w:top="1520" w:bottom="1160" w:left="1680" w:right="1540"/>
        </w:sectPr>
      </w:pPr>
    </w:p>
    <w:p>
      <w:pPr>
        <w:pStyle w:val="BodyText"/>
        <w:spacing w:line="417" w:lineRule="auto" w:before="34"/>
        <w:ind w:right="253" w:firstLine="549"/>
        <w:jc w:val="both"/>
      </w:pPr>
      <w:r>
        <w:rPr>
          <w:rFonts w:ascii="黑体" w:eastAsia="黑体" w:hint="eastAsia"/>
        </w:rPr>
        <w:t>第八条</w:t>
      </w:r>
      <w:r>
        <w:rPr>
          <w:spacing w:val="-1"/>
        </w:rPr>
        <w:t> 项目实施，是指按照项目计划，在一定的预算范围内， </w:t>
      </w:r>
      <w:r>
        <w:rPr>
          <w:spacing w:val="-9"/>
        </w:rPr>
        <w:t>保质保量按时完成项目任务的过程。通常，应重点从质量、成本、进</w:t>
      </w:r>
      <w:r>
        <w:rPr>
          <w:spacing w:val="-3"/>
        </w:rPr>
        <w:t>度等方面，有效控制项目的实施过程。 </w:t>
      </w:r>
    </w:p>
    <w:p>
      <w:pPr>
        <w:pStyle w:val="BodyText"/>
        <w:spacing w:line="417" w:lineRule="auto"/>
        <w:ind w:right="112" w:firstLine="549"/>
      </w:pPr>
      <w:r>
        <w:rPr/>
        <w:t>（一</w:t>
      </w:r>
      <w:r>
        <w:rPr>
          <w:spacing w:val="-113"/>
        </w:rPr>
        <w:t>）</w:t>
      </w:r>
      <w:r>
        <w:rPr>
          <w:spacing w:val="-12"/>
        </w:rPr>
        <w:t>企业应遵循国家规定及行业标准，建立质量监督管理组织、</w:t>
      </w:r>
      <w:r>
        <w:rPr>
          <w:spacing w:val="-10"/>
        </w:rPr>
        <w:t>健全质量管理制度、形成质量考核评价体系和反馈机制等，实现对项</w:t>
      </w:r>
      <w:r>
        <w:rPr>
          <w:spacing w:val="-7"/>
        </w:rPr>
        <w:t>目实施过程的质量控制。 </w:t>
      </w:r>
    </w:p>
    <w:p>
      <w:pPr>
        <w:pStyle w:val="BodyText"/>
        <w:spacing w:line="417" w:lineRule="auto"/>
        <w:ind w:right="253" w:firstLine="549"/>
        <w:jc w:val="both"/>
      </w:pPr>
      <w:r>
        <w:rPr/>
        <w:t>（二</w:t>
      </w:r>
      <w:r>
        <w:rPr>
          <w:spacing w:val="-44"/>
        </w:rPr>
        <w:t>）</w:t>
      </w:r>
      <w:r>
        <w:rPr>
          <w:spacing w:val="-7"/>
        </w:rPr>
        <w:t>成本控制应贯穿于项目实施的全过程。企业可以通过加强</w:t>
      </w:r>
      <w:r>
        <w:rPr>
          <w:spacing w:val="-9"/>
        </w:rPr>
        <w:t>项目实施阶段的投资控制，监督合同执行，有效控制设计变更，监督</w:t>
      </w:r>
      <w:r>
        <w:rPr>
          <w:spacing w:val="-6"/>
        </w:rPr>
        <w:t>和控制合同价款的支付，实现项目实施过程的成本控制。 </w:t>
      </w:r>
    </w:p>
    <w:p>
      <w:pPr>
        <w:pStyle w:val="BodyText"/>
        <w:spacing w:line="417" w:lineRule="auto"/>
        <w:ind w:right="252" w:firstLine="549"/>
        <w:jc w:val="both"/>
      </w:pPr>
      <w:r>
        <w:rPr/>
        <w:t>（三</w:t>
      </w:r>
      <w:r>
        <w:rPr>
          <w:spacing w:val="-44"/>
        </w:rPr>
        <w:t>）</w:t>
      </w:r>
      <w:r>
        <w:rPr>
          <w:spacing w:val="-6"/>
        </w:rPr>
        <w:t>企业应通过建立进度控制管理制度，编制项目实施进度计</w:t>
      </w:r>
      <w:r>
        <w:rPr>
          <w:spacing w:val="-11"/>
        </w:rPr>
        <w:t>划，制定项目实施节点；实行动态检测，完善动态控制手段，定期检</w:t>
      </w:r>
      <w:r>
        <w:rPr>
          <w:spacing w:val="-10"/>
        </w:rPr>
        <w:t>查进度计划，收集实际进度数据；加强项目进度偏差原因分析，及时</w:t>
      </w:r>
      <w:r>
        <w:rPr>
          <w:spacing w:val="-7"/>
        </w:rPr>
        <w:t>采取纠偏措施等，实现对项目实施过程的进度控制。 </w:t>
      </w:r>
    </w:p>
    <w:p>
      <w:pPr>
        <w:pStyle w:val="BodyText"/>
        <w:spacing w:line="417" w:lineRule="auto"/>
        <w:ind w:right="254" w:firstLine="549"/>
      </w:pPr>
      <w:r>
        <w:rPr>
          <w:rFonts w:ascii="黑体" w:eastAsia="黑体" w:hint="eastAsia"/>
        </w:rPr>
        <w:t>第九条</w:t>
      </w:r>
      <w:r>
        <w:rPr/>
        <w:t> 项目验收，是指项目完成后，进行的综合评价、移交使用、形成资产的整个过程。 </w:t>
      </w:r>
    </w:p>
    <w:p>
      <w:pPr>
        <w:pStyle w:val="BodyText"/>
        <w:spacing w:line="417" w:lineRule="auto"/>
        <w:ind w:right="256" w:firstLine="549"/>
        <w:jc w:val="both"/>
      </w:pPr>
      <w:r>
        <w:rPr>
          <w:spacing w:val="-8"/>
        </w:rPr>
        <w:t>项目验收一般应由可行性研究报告的批复部门组织开展，可以从</w:t>
      </w:r>
      <w:r>
        <w:rPr>
          <w:spacing w:val="-9"/>
        </w:rPr>
        <w:t>项目内容的完成情况、目标的实现情况、经费的使用情况、问题的整</w:t>
      </w:r>
      <w:r>
        <w:rPr>
          <w:spacing w:val="-6"/>
        </w:rPr>
        <w:t>改情况、项目成果的意义和应用情况等方面进行验收。</w:t>
      </w:r>
      <w:r>
        <w:rPr/>
        <w:t> </w:t>
      </w:r>
    </w:p>
    <w:p>
      <w:pPr>
        <w:pStyle w:val="BodyText"/>
        <w:spacing w:line="417" w:lineRule="auto"/>
        <w:ind w:right="162" w:firstLine="549"/>
      </w:pPr>
      <w:r>
        <w:rPr>
          <w:rFonts w:ascii="黑体" w:eastAsia="黑体" w:hint="eastAsia"/>
        </w:rPr>
        <w:t>第十条</w:t>
      </w:r>
      <w:r>
        <w:rPr/>
        <w:t> 项目后评价，是指通过对项目实施过程、结果及其影响进行调查研究和全面系统回顾，与项目决策时确定的目标以及技术、经济、环境、社会指标进行对比，找出差别和变化，据以分析原因、总结经验、提出对策建议，并通过信息反馈，改善项目管理决策，提</w:t>
      </w:r>
    </w:p>
    <w:p>
      <w:pPr>
        <w:spacing w:after="0" w:line="417" w:lineRule="auto"/>
        <w:sectPr>
          <w:pgSz w:w="11910" w:h="16840"/>
          <w:pgMar w:header="0" w:footer="977" w:top="1520" w:bottom="1160" w:left="1680" w:right="1540"/>
        </w:sectPr>
      </w:pPr>
    </w:p>
    <w:p>
      <w:pPr>
        <w:pStyle w:val="BodyText"/>
        <w:spacing w:before="34"/>
      </w:pPr>
      <w:r>
        <w:rPr/>
        <w:t>高项目管理效益的过程。 </w:t>
      </w:r>
    </w:p>
    <w:p>
      <w:pPr>
        <w:pStyle w:val="BodyText"/>
        <w:spacing w:before="9"/>
        <w:ind w:left="0"/>
        <w:rPr>
          <w:sz w:val="20"/>
        </w:rPr>
      </w:pPr>
    </w:p>
    <w:p>
      <w:pPr>
        <w:pStyle w:val="BodyText"/>
        <w:spacing w:line="417" w:lineRule="auto" w:before="1"/>
        <w:ind w:right="254" w:firstLine="549"/>
        <w:jc w:val="both"/>
      </w:pPr>
      <w:r>
        <w:rPr>
          <w:spacing w:val="3"/>
        </w:rPr>
        <w:t>企业应比对项目可行性报告的主要内容和批复文件开展项目后</w:t>
      </w:r>
      <w:r>
        <w:rPr>
          <w:spacing w:val="-10"/>
        </w:rPr>
        <w:t>评价，必要时应参照项目计划的相关内容进行对比分析，进一步加强</w:t>
      </w:r>
      <w:r>
        <w:rPr>
          <w:spacing w:val="-7"/>
        </w:rPr>
        <w:t>项目管理，不断提高决策水平和投资效益。 </w:t>
      </w:r>
    </w:p>
    <w:p>
      <w:pPr>
        <w:pStyle w:val="BodyText"/>
        <w:ind w:left="0"/>
        <w:rPr>
          <w:sz w:val="20"/>
        </w:rPr>
      </w:pPr>
    </w:p>
    <w:p>
      <w:pPr>
        <w:pStyle w:val="BodyText"/>
        <w:spacing w:before="11"/>
        <w:ind w:left="0"/>
        <w:rPr>
          <w:sz w:val="23"/>
        </w:rPr>
      </w:pPr>
    </w:p>
    <w:p>
      <w:pPr>
        <w:pStyle w:val="BodyText"/>
        <w:spacing w:before="61"/>
        <w:ind w:left="463" w:right="599"/>
        <w:jc w:val="center"/>
        <w:rPr>
          <w:rFonts w:ascii="黑体" w:eastAsia="黑体" w:hint="eastAsia"/>
        </w:rPr>
      </w:pPr>
      <w:r>
        <w:rPr>
          <w:rFonts w:ascii="黑体" w:eastAsia="黑体" w:hint="eastAsia"/>
        </w:rPr>
        <w:t>第三章 项目财务管理</w:t>
      </w:r>
    </w:p>
    <w:p>
      <w:pPr>
        <w:pStyle w:val="BodyText"/>
        <w:spacing w:before="9"/>
        <w:ind w:left="0"/>
        <w:rPr>
          <w:rFonts w:ascii="黑体"/>
          <w:sz w:val="20"/>
        </w:rPr>
      </w:pPr>
    </w:p>
    <w:p>
      <w:pPr>
        <w:pStyle w:val="BodyText"/>
        <w:spacing w:line="417" w:lineRule="auto"/>
        <w:ind w:right="251" w:firstLine="549"/>
        <w:jc w:val="both"/>
      </w:pPr>
      <w:r>
        <w:rPr>
          <w:rFonts w:ascii="黑体" w:eastAsia="黑体" w:hint="eastAsia"/>
        </w:rPr>
        <w:t>第十一条</w:t>
      </w:r>
      <w:r>
        <w:rPr/>
        <w:t> 项目财务管理，是指基于项目全生命周期的项目财务</w:t>
      </w:r>
      <w:r>
        <w:rPr>
          <w:spacing w:val="-12"/>
        </w:rPr>
        <w:t>活动的归口管理工作，是对项目营运过程中财务资源使用的全流程管</w:t>
      </w:r>
      <w:r>
        <w:rPr>
          <w:spacing w:val="-10"/>
        </w:rPr>
        <w:t>理活动。</w:t>
      </w:r>
      <w:r>
        <w:rPr/>
        <w:t> </w:t>
      </w:r>
    </w:p>
    <w:p>
      <w:pPr>
        <w:pStyle w:val="BodyText"/>
        <w:spacing w:line="417" w:lineRule="auto"/>
        <w:ind w:right="256" w:firstLine="549"/>
        <w:jc w:val="both"/>
      </w:pPr>
      <w:r>
        <w:rPr>
          <w:spacing w:val="-11"/>
        </w:rPr>
        <w:t>在项目营运过程中，企业应当重视并严格执行项目预算管理、项</w:t>
      </w:r>
      <w:r>
        <w:rPr>
          <w:spacing w:val="-10"/>
        </w:rPr>
        <w:t>目执行成本控制、项目会计核算、资金管理与项目结算、项目决算和项目经济后评价等。企业可根据项目规模、周期、经费额度等指定专</w:t>
      </w:r>
      <w:r>
        <w:rPr>
          <w:spacing w:val="-7"/>
        </w:rPr>
        <w:t>人负责上述工作，并参与项目论证与评估等工作。 </w:t>
      </w:r>
    </w:p>
    <w:p>
      <w:pPr>
        <w:pStyle w:val="BodyText"/>
        <w:spacing w:line="417" w:lineRule="auto"/>
        <w:ind w:right="256" w:firstLine="549"/>
      </w:pPr>
      <w:r>
        <w:rPr>
          <w:rFonts w:ascii="黑体" w:eastAsia="黑体" w:hint="eastAsia"/>
        </w:rPr>
        <w:t>第十二条</w:t>
      </w:r>
      <w:r>
        <w:rPr/>
        <w:t> 企业进行项目预算管理，一般应从项目预算编制、预算执行控制、项目预算调整等方面开展。 </w:t>
      </w:r>
    </w:p>
    <w:p>
      <w:pPr>
        <w:pStyle w:val="BodyText"/>
        <w:spacing w:line="358" w:lineRule="exact"/>
        <w:ind w:left="670"/>
      </w:pPr>
      <w:r>
        <w:rPr/>
        <w:t>（一）项目预算编制。 </w:t>
      </w:r>
    </w:p>
    <w:p>
      <w:pPr>
        <w:pStyle w:val="BodyText"/>
        <w:spacing w:before="9"/>
        <w:ind w:left="0"/>
        <w:rPr>
          <w:sz w:val="20"/>
        </w:rPr>
      </w:pPr>
    </w:p>
    <w:p>
      <w:pPr>
        <w:pStyle w:val="ListParagraph"/>
        <w:numPr>
          <w:ilvl w:val="0"/>
          <w:numId w:val="2"/>
        </w:numPr>
        <w:tabs>
          <w:tab w:pos="1096" w:val="left" w:leader="none"/>
        </w:tabs>
        <w:spacing w:line="417" w:lineRule="auto" w:before="0" w:after="0"/>
        <w:ind w:left="120" w:right="115" w:firstLine="549"/>
        <w:jc w:val="left"/>
        <w:rPr>
          <w:sz w:val="28"/>
        </w:rPr>
      </w:pPr>
      <w:r>
        <w:rPr>
          <w:sz w:val="28"/>
        </w:rPr>
        <w:t>企业应基于项目的重要性和成本效益考虑，制定项目预算管</w:t>
      </w:r>
      <w:r>
        <w:rPr>
          <w:spacing w:val="-23"/>
          <w:sz w:val="28"/>
        </w:rPr>
        <w:t>理制度，可以指定项目预算管理分管领导、设置项目概预算专职人员。</w:t>
      </w:r>
      <w:r>
        <w:rPr>
          <w:sz w:val="28"/>
        </w:rPr>
        <w:t> </w:t>
      </w:r>
    </w:p>
    <w:p>
      <w:pPr>
        <w:pStyle w:val="ListParagraph"/>
        <w:numPr>
          <w:ilvl w:val="0"/>
          <w:numId w:val="2"/>
        </w:numPr>
        <w:tabs>
          <w:tab w:pos="1096" w:val="left" w:leader="none"/>
        </w:tabs>
        <w:spacing w:line="417" w:lineRule="auto" w:before="0" w:after="0"/>
        <w:ind w:left="120" w:right="255" w:firstLine="549"/>
        <w:jc w:val="both"/>
        <w:rPr>
          <w:sz w:val="28"/>
        </w:rPr>
      </w:pPr>
      <w:r>
        <w:rPr>
          <w:spacing w:val="-1"/>
          <w:sz w:val="28"/>
        </w:rPr>
        <w:t>企业应依据总量控制、分项预算的总体框架，按照需要与可</w:t>
      </w:r>
      <w:r>
        <w:rPr>
          <w:spacing w:val="-12"/>
          <w:sz w:val="28"/>
        </w:rPr>
        <w:t>能、局部与全局、重点与一般、当前与长远相结合的编制原则，编制</w:t>
      </w:r>
      <w:r>
        <w:rPr>
          <w:spacing w:val="-2"/>
          <w:sz w:val="28"/>
        </w:rPr>
        <w:t>项目预算。</w:t>
      </w:r>
      <w:r>
        <w:rPr>
          <w:sz w:val="28"/>
        </w:rPr>
        <w:t> </w:t>
      </w:r>
    </w:p>
    <w:p>
      <w:pPr>
        <w:pStyle w:val="ListParagraph"/>
        <w:numPr>
          <w:ilvl w:val="0"/>
          <w:numId w:val="2"/>
        </w:numPr>
        <w:tabs>
          <w:tab w:pos="1096" w:val="left" w:leader="none"/>
        </w:tabs>
        <w:spacing w:line="358" w:lineRule="exact" w:before="0" w:after="0"/>
        <w:ind w:left="1095" w:right="0" w:hanging="426"/>
        <w:jc w:val="left"/>
        <w:rPr>
          <w:sz w:val="28"/>
        </w:rPr>
      </w:pPr>
      <w:r>
        <w:rPr>
          <w:sz w:val="28"/>
        </w:rPr>
        <w:t>企业应在充分调研和论证的基础上，强调项目预算编制的明</w:t>
      </w:r>
    </w:p>
    <w:p>
      <w:pPr>
        <w:spacing w:after="0" w:line="358" w:lineRule="exact"/>
        <w:jc w:val="left"/>
        <w:rPr>
          <w:sz w:val="28"/>
        </w:rPr>
        <w:sectPr>
          <w:pgSz w:w="11910" w:h="16840"/>
          <w:pgMar w:header="0" w:footer="977" w:top="1520" w:bottom="1160" w:left="1680" w:right="1540"/>
        </w:sectPr>
      </w:pPr>
    </w:p>
    <w:p>
      <w:pPr>
        <w:pStyle w:val="BodyText"/>
        <w:spacing w:line="417" w:lineRule="auto" w:before="34"/>
        <w:ind w:right="258"/>
      </w:pPr>
      <w:r>
        <w:rPr>
          <w:spacing w:val="-10"/>
        </w:rPr>
        <w:t>细化和标准化，明确预算的编制内容、编制依据和编制方法，实现项</w:t>
      </w:r>
      <w:r>
        <w:rPr>
          <w:spacing w:val="-3"/>
        </w:rPr>
        <w:t>目预算与会计核算科目的配比性。 </w:t>
      </w:r>
    </w:p>
    <w:p>
      <w:pPr>
        <w:pStyle w:val="BodyText"/>
        <w:spacing w:line="358" w:lineRule="exact"/>
        <w:ind w:left="670"/>
      </w:pPr>
      <w:r>
        <w:rPr/>
        <w:t>（二）预算执行控制。 </w:t>
      </w:r>
    </w:p>
    <w:p>
      <w:pPr>
        <w:pStyle w:val="BodyText"/>
        <w:spacing w:before="9"/>
        <w:ind w:left="0"/>
        <w:rPr>
          <w:sz w:val="20"/>
        </w:rPr>
      </w:pPr>
    </w:p>
    <w:p>
      <w:pPr>
        <w:pStyle w:val="ListParagraph"/>
        <w:numPr>
          <w:ilvl w:val="0"/>
          <w:numId w:val="3"/>
        </w:numPr>
        <w:tabs>
          <w:tab w:pos="1096" w:val="left" w:leader="none"/>
        </w:tabs>
        <w:spacing w:line="417" w:lineRule="auto" w:before="1" w:after="0"/>
        <w:ind w:left="120" w:right="257" w:firstLine="549"/>
        <w:jc w:val="left"/>
        <w:rPr>
          <w:sz w:val="28"/>
        </w:rPr>
      </w:pPr>
      <w:r>
        <w:rPr>
          <w:spacing w:val="-1"/>
          <w:sz w:val="28"/>
        </w:rPr>
        <w:t>企业应分解落实项目实施各阶段的预算执行计划，明确项目</w:t>
      </w:r>
      <w:r>
        <w:rPr>
          <w:spacing w:val="-3"/>
          <w:sz w:val="28"/>
        </w:rPr>
        <w:t>各阶段的预算控制目标。 </w:t>
      </w:r>
    </w:p>
    <w:p>
      <w:pPr>
        <w:pStyle w:val="ListParagraph"/>
        <w:numPr>
          <w:ilvl w:val="0"/>
          <w:numId w:val="3"/>
        </w:numPr>
        <w:tabs>
          <w:tab w:pos="1096" w:val="left" w:leader="none"/>
        </w:tabs>
        <w:spacing w:line="417" w:lineRule="auto" w:before="0" w:after="0"/>
        <w:ind w:left="120" w:right="255" w:firstLine="549"/>
        <w:jc w:val="left"/>
        <w:rPr>
          <w:sz w:val="28"/>
        </w:rPr>
      </w:pPr>
      <w:r>
        <w:rPr>
          <w:spacing w:val="-1"/>
          <w:sz w:val="28"/>
        </w:rPr>
        <w:t>在项目执行过程中，企业应以项目预算执行计划和目标为依</w:t>
      </w:r>
      <w:r>
        <w:rPr>
          <w:spacing w:val="-3"/>
          <w:sz w:val="28"/>
        </w:rPr>
        <w:t>据，定期对项目预算执行情况进行核查、比对、分析。 </w:t>
      </w:r>
    </w:p>
    <w:p>
      <w:pPr>
        <w:pStyle w:val="BodyText"/>
        <w:spacing w:line="358" w:lineRule="exact"/>
        <w:ind w:left="670"/>
      </w:pPr>
      <w:r>
        <w:rPr/>
        <w:t>（三）项目预算调整。 </w:t>
      </w:r>
    </w:p>
    <w:p>
      <w:pPr>
        <w:pStyle w:val="BodyText"/>
        <w:spacing w:before="8"/>
        <w:ind w:left="0"/>
        <w:rPr>
          <w:sz w:val="20"/>
        </w:rPr>
      </w:pPr>
    </w:p>
    <w:p>
      <w:pPr>
        <w:pStyle w:val="ListParagraph"/>
        <w:numPr>
          <w:ilvl w:val="0"/>
          <w:numId w:val="4"/>
        </w:numPr>
        <w:tabs>
          <w:tab w:pos="1096" w:val="left" w:leader="none"/>
        </w:tabs>
        <w:spacing w:line="417" w:lineRule="auto" w:before="1" w:after="0"/>
        <w:ind w:left="120" w:right="115" w:firstLine="549"/>
        <w:jc w:val="left"/>
        <w:rPr>
          <w:sz w:val="28"/>
        </w:rPr>
      </w:pPr>
      <w:r>
        <w:rPr>
          <w:sz w:val="28"/>
        </w:rPr>
        <w:t>企业应依据外部环境变化、项目实施进展和项目方案优化要</w:t>
      </w:r>
      <w:r>
        <w:rPr>
          <w:spacing w:val="-6"/>
          <w:sz w:val="28"/>
        </w:rPr>
        <w:t>求等，不断修正和完善项目各阶段的预算执行计划和预算控制目标。</w:t>
      </w:r>
      <w:r>
        <w:rPr>
          <w:sz w:val="28"/>
        </w:rPr>
        <w:t> </w:t>
      </w:r>
    </w:p>
    <w:p>
      <w:pPr>
        <w:pStyle w:val="ListParagraph"/>
        <w:numPr>
          <w:ilvl w:val="0"/>
          <w:numId w:val="4"/>
        </w:numPr>
        <w:tabs>
          <w:tab w:pos="1096" w:val="left" w:leader="none"/>
        </w:tabs>
        <w:spacing w:line="417" w:lineRule="auto" w:before="0" w:after="0"/>
        <w:ind w:left="120" w:right="254" w:firstLine="549"/>
        <w:jc w:val="left"/>
        <w:rPr>
          <w:sz w:val="28"/>
        </w:rPr>
      </w:pPr>
      <w:r>
        <w:rPr>
          <w:spacing w:val="-1"/>
          <w:sz w:val="28"/>
        </w:rPr>
        <w:t>在项目预算管理中，企业可采用滚动预算方式，以项目执行</w:t>
      </w:r>
      <w:r>
        <w:rPr>
          <w:spacing w:val="-10"/>
          <w:sz w:val="28"/>
        </w:rPr>
        <w:t>前一阶段的预算调整，作为下一阶段项目预算控制的目标，按照时间</w:t>
      </w:r>
    </w:p>
    <w:p>
      <w:pPr>
        <w:pStyle w:val="BodyText"/>
      </w:pPr>
      <w:r>
        <w:rPr/>
        <w:t>（如年、月、日）或项目单元编制，依次分解，滚动预算。 </w:t>
      </w:r>
    </w:p>
    <w:p>
      <w:pPr>
        <w:pStyle w:val="BodyText"/>
        <w:spacing w:before="8"/>
        <w:ind w:left="0"/>
        <w:rPr>
          <w:sz w:val="20"/>
        </w:rPr>
      </w:pPr>
    </w:p>
    <w:p>
      <w:pPr>
        <w:pStyle w:val="BodyText"/>
        <w:spacing w:line="417" w:lineRule="auto"/>
        <w:ind w:right="256" w:firstLine="549"/>
      </w:pPr>
      <w:r>
        <w:rPr>
          <w:rFonts w:ascii="黑体" w:eastAsia="黑体" w:hint="eastAsia"/>
        </w:rPr>
        <w:t>第十三条</w:t>
      </w:r>
      <w:r>
        <w:rPr/>
        <w:t> 企业进行项目执行成本控制，一般应从项目费用定额表、项目合同管理、项目执行成本变更等方面开展。 </w:t>
      </w:r>
    </w:p>
    <w:p>
      <w:pPr>
        <w:pStyle w:val="BodyText"/>
        <w:spacing w:line="417" w:lineRule="auto"/>
        <w:ind w:right="252" w:firstLine="549"/>
        <w:jc w:val="both"/>
      </w:pPr>
      <w:r>
        <w:rPr/>
        <w:t>（一</w:t>
      </w:r>
      <w:r>
        <w:rPr>
          <w:spacing w:val="-29"/>
        </w:rPr>
        <w:t>）</w:t>
      </w:r>
      <w:r>
        <w:rPr>
          <w:spacing w:val="-8"/>
        </w:rPr>
        <w:t>项目费用定额管理。企业应根据项目自身特点，制定项目</w:t>
      </w:r>
      <w:r>
        <w:rPr>
          <w:spacing w:val="-11"/>
        </w:rPr>
        <w:t>费用定额表，如物资消耗费、工时定额等，形成项目执行成本控制的</w:t>
      </w:r>
      <w:r>
        <w:rPr>
          <w:spacing w:val="-9"/>
        </w:rPr>
        <w:t>依据。</w:t>
      </w:r>
      <w:r>
        <w:rPr/>
        <w:t> </w:t>
      </w:r>
    </w:p>
    <w:p>
      <w:pPr>
        <w:pStyle w:val="BodyText"/>
        <w:spacing w:line="417" w:lineRule="auto"/>
        <w:ind w:right="117" w:firstLine="549"/>
      </w:pPr>
      <w:r>
        <w:rPr/>
        <w:t>（二</w:t>
      </w:r>
      <w:r>
        <w:rPr>
          <w:spacing w:val="-29"/>
        </w:rPr>
        <w:t>）</w:t>
      </w:r>
      <w:r>
        <w:rPr>
          <w:spacing w:val="-7"/>
        </w:rPr>
        <w:t>项目合同管理。项目执行过程中涉及合同管理时，财务管</w:t>
      </w:r>
      <w:r>
        <w:rPr>
          <w:spacing w:val="-17"/>
        </w:rPr>
        <w:t>理人员一般可以参与合同的论证、签订、审查和履行、变更、解除等， </w:t>
      </w:r>
      <w:r>
        <w:rPr>
          <w:spacing w:val="-8"/>
        </w:rPr>
        <w:t>负责审查并履行合同支付职能，定期了解合同方的资信和履约能力， </w:t>
      </w:r>
      <w:r>
        <w:rPr>
          <w:spacing w:val="-5"/>
        </w:rPr>
        <w:t>建立合同管理台账。 </w:t>
      </w:r>
    </w:p>
    <w:p>
      <w:pPr>
        <w:spacing w:after="0" w:line="417" w:lineRule="auto"/>
        <w:sectPr>
          <w:pgSz w:w="11910" w:h="16840"/>
          <w:pgMar w:header="0" w:footer="977" w:top="1520" w:bottom="1160" w:left="1680" w:right="1540"/>
        </w:sectPr>
      </w:pPr>
    </w:p>
    <w:p>
      <w:pPr>
        <w:pStyle w:val="BodyText"/>
        <w:spacing w:line="417" w:lineRule="auto" w:before="34"/>
        <w:ind w:right="254" w:firstLine="549"/>
        <w:jc w:val="both"/>
      </w:pPr>
      <w:r>
        <w:rPr/>
        <w:t>（三</w:t>
      </w:r>
      <w:r>
        <w:rPr>
          <w:spacing w:val="-44"/>
        </w:rPr>
        <w:t>）</w:t>
      </w:r>
      <w:r>
        <w:rPr>
          <w:spacing w:val="-8"/>
        </w:rPr>
        <w:t>项目执行成本变更管理。项目执行成本原则上不得随意变</w:t>
      </w:r>
      <w:r>
        <w:rPr>
          <w:spacing w:val="-10"/>
        </w:rPr>
        <w:t>更，因特殊情况需要调整时，需根据相应的批报程序，报原审核部门</w:t>
      </w:r>
      <w:r>
        <w:rPr>
          <w:spacing w:val="-7"/>
        </w:rPr>
        <w:t>核定，按照先批准、后变更的原则进行处理。 </w:t>
      </w:r>
    </w:p>
    <w:p>
      <w:pPr>
        <w:pStyle w:val="BodyText"/>
        <w:spacing w:line="417" w:lineRule="auto"/>
        <w:ind w:right="254" w:firstLine="549"/>
        <w:jc w:val="both"/>
      </w:pPr>
      <w:r>
        <w:rPr>
          <w:rFonts w:ascii="黑体" w:eastAsia="黑体" w:hint="eastAsia"/>
        </w:rPr>
        <w:t>第十四条</w:t>
      </w:r>
      <w:r>
        <w:rPr>
          <w:spacing w:val="-1"/>
        </w:rPr>
        <w:t> 项目执行过程中，应按照国家统一的会计制度进行会</w:t>
      </w:r>
      <w:r>
        <w:rPr>
          <w:spacing w:val="-11"/>
        </w:rPr>
        <w:t>计核算。项目收支应分项目、分要素进行明细核算，确保会计核算制</w:t>
      </w:r>
      <w:r>
        <w:rPr>
          <w:spacing w:val="-7"/>
        </w:rPr>
        <w:t>度与项目预算管理相衔接。</w:t>
      </w:r>
      <w:r>
        <w:rPr/>
        <w:t> </w:t>
      </w:r>
    </w:p>
    <w:p>
      <w:pPr>
        <w:pStyle w:val="BodyText"/>
        <w:spacing w:line="417" w:lineRule="auto"/>
        <w:ind w:right="118" w:firstLine="549"/>
      </w:pPr>
      <w:r>
        <w:rPr>
          <w:rFonts w:ascii="黑体" w:eastAsia="黑体" w:hint="eastAsia"/>
        </w:rPr>
        <w:t>第十五条</w:t>
      </w:r>
      <w:r>
        <w:rPr/>
        <w:t> 企业应建立健全资金管理和项目结算制度，设立项目</w:t>
      </w:r>
      <w:r>
        <w:rPr>
          <w:spacing w:val="-16"/>
        </w:rPr>
        <w:t>专款账户对资金的使用进行管理，正确区分会计期间，规范成本列支， </w:t>
      </w:r>
      <w:r>
        <w:rPr>
          <w:spacing w:val="-9"/>
        </w:rPr>
        <w:t>统一对项目进行收支与结算。项目结算一般包括项目月度结算、年度</w:t>
      </w:r>
      <w:r>
        <w:rPr>
          <w:spacing w:val="-6"/>
        </w:rPr>
        <w:t>结算和完工结算。 </w:t>
      </w:r>
    </w:p>
    <w:p>
      <w:pPr>
        <w:pStyle w:val="BodyText"/>
        <w:spacing w:line="417" w:lineRule="auto"/>
        <w:ind w:right="112" w:firstLine="549"/>
      </w:pPr>
      <w:r>
        <w:rPr>
          <w:rFonts w:ascii="黑体" w:eastAsia="黑体" w:hint="eastAsia"/>
        </w:rPr>
        <w:t>第十六条</w:t>
      </w:r>
      <w:r>
        <w:rPr/>
        <w:t> 企业应建立项目决算审计制度，明确项目决算报表内</w:t>
      </w:r>
      <w:r>
        <w:rPr>
          <w:spacing w:val="-17"/>
        </w:rPr>
        <w:t>容、格式要求和填报口径，严格执行项目决算数据材料的收集、审核、</w:t>
      </w:r>
      <w:r>
        <w:rPr>
          <w:spacing w:val="-3"/>
        </w:rPr>
        <w:t>汇总，形成项目决算报告，同时提交审计部门进行项目审计。</w:t>
      </w:r>
      <w:r>
        <w:rPr/>
        <w:t> </w:t>
      </w:r>
    </w:p>
    <w:p>
      <w:pPr>
        <w:pStyle w:val="BodyText"/>
        <w:spacing w:line="417" w:lineRule="auto"/>
        <w:ind w:right="256" w:firstLine="549"/>
        <w:jc w:val="both"/>
      </w:pPr>
      <w:r>
        <w:rPr>
          <w:spacing w:val="-8"/>
        </w:rPr>
        <w:t>项目决算报告一般包括项目决算说明书、项目决算报表、项目成</w:t>
      </w:r>
      <w:r>
        <w:rPr>
          <w:spacing w:val="-12"/>
        </w:rPr>
        <w:t>果和费用支出的对比分析等。项目决算报告和项目审计意见应作为项</w:t>
      </w:r>
      <w:r>
        <w:rPr>
          <w:spacing w:val="-2"/>
        </w:rPr>
        <w:t>目验收的依据。</w:t>
      </w:r>
      <w:r>
        <w:rPr/>
        <w:t> </w:t>
      </w:r>
    </w:p>
    <w:p>
      <w:pPr>
        <w:pStyle w:val="BodyText"/>
        <w:spacing w:line="417" w:lineRule="auto"/>
        <w:ind w:right="253" w:firstLine="549"/>
      </w:pPr>
      <w:r>
        <w:rPr>
          <w:rFonts w:ascii="黑体" w:eastAsia="黑体" w:hint="eastAsia"/>
        </w:rPr>
        <w:t>第十七条</w:t>
      </w:r>
      <w:r>
        <w:rPr/>
        <w:t> 企业应在对比项目可行性研究的基础上进行项目经济后评价，并编制项目经济后评价报告。 </w:t>
      </w:r>
    </w:p>
    <w:p>
      <w:pPr>
        <w:pStyle w:val="BodyText"/>
        <w:spacing w:line="417" w:lineRule="auto"/>
        <w:ind w:right="256" w:firstLine="549"/>
        <w:jc w:val="both"/>
      </w:pPr>
      <w:r>
        <w:rPr>
          <w:spacing w:val="-8"/>
        </w:rPr>
        <w:t>经济后评价报告一般包括项目资金收入和使用情况、重新测算项</w:t>
      </w:r>
      <w:r>
        <w:rPr>
          <w:spacing w:val="-12"/>
        </w:rPr>
        <w:t>目的财务评价指标、经济评价指标等。经济后评价应通过投资增量效</w:t>
      </w:r>
      <w:r>
        <w:rPr>
          <w:spacing w:val="-3"/>
        </w:rPr>
        <w:t>益的分析，突出项目对经济价值和社会价值的作用和影响。 </w:t>
      </w:r>
    </w:p>
    <w:p>
      <w:pPr>
        <w:pStyle w:val="BodyText"/>
        <w:spacing w:line="358" w:lineRule="exact"/>
        <w:ind w:left="670"/>
      </w:pPr>
      <w:r>
        <w:rPr>
          <w:w w:val="100"/>
        </w:rPr>
        <w:t> </w:t>
      </w:r>
    </w:p>
    <w:p>
      <w:pPr>
        <w:spacing w:after="0" w:line="358" w:lineRule="exact"/>
        <w:sectPr>
          <w:pgSz w:w="11910" w:h="16840"/>
          <w:pgMar w:header="0" w:footer="977" w:top="1520" w:bottom="1160" w:left="1680" w:right="1540"/>
        </w:sectPr>
      </w:pPr>
    </w:p>
    <w:p>
      <w:pPr>
        <w:pStyle w:val="BodyText"/>
        <w:spacing w:before="34"/>
        <w:ind w:left="463" w:right="599"/>
        <w:jc w:val="center"/>
        <w:rPr>
          <w:rFonts w:ascii="黑体" w:eastAsia="黑体" w:hint="eastAsia"/>
        </w:rPr>
      </w:pPr>
      <w:r>
        <w:rPr>
          <w:rFonts w:ascii="黑体" w:eastAsia="黑体" w:hint="eastAsia"/>
        </w:rPr>
        <w:t>第四章 项目管理的工具方法</w:t>
      </w:r>
    </w:p>
    <w:p>
      <w:pPr>
        <w:pStyle w:val="BodyText"/>
        <w:spacing w:before="9"/>
        <w:ind w:left="0"/>
        <w:rPr>
          <w:rFonts w:ascii="黑体"/>
          <w:sz w:val="20"/>
        </w:rPr>
      </w:pPr>
    </w:p>
    <w:p>
      <w:pPr>
        <w:pStyle w:val="BodyText"/>
        <w:spacing w:line="417" w:lineRule="auto" w:before="1"/>
        <w:ind w:right="255" w:firstLine="549"/>
      </w:pPr>
      <w:r>
        <w:rPr>
          <w:rFonts w:ascii="黑体" w:eastAsia="黑体" w:hint="eastAsia"/>
        </w:rPr>
        <w:t>第十八条</w:t>
      </w:r>
      <w:r>
        <w:rPr/>
        <w:t> 项目管理的工具方法一般包括挣值法、成本效益法、价值工程法等。 </w:t>
      </w:r>
    </w:p>
    <w:p>
      <w:pPr>
        <w:pStyle w:val="BodyText"/>
        <w:ind w:left="0"/>
        <w:rPr>
          <w:sz w:val="20"/>
        </w:rPr>
      </w:pPr>
    </w:p>
    <w:p>
      <w:pPr>
        <w:pStyle w:val="BodyText"/>
        <w:spacing w:before="11"/>
        <w:ind w:left="0"/>
        <w:rPr>
          <w:sz w:val="23"/>
        </w:rPr>
      </w:pPr>
    </w:p>
    <w:p>
      <w:pPr>
        <w:pStyle w:val="Heading2"/>
        <w:ind w:left="3289"/>
      </w:pPr>
      <w:r>
        <w:rPr/>
        <w:t>第一节 挣值法</w:t>
      </w:r>
      <w:r>
        <w:rPr>
          <w:w w:val="99"/>
        </w:rPr>
        <w:t> </w:t>
      </w:r>
    </w:p>
    <w:p>
      <w:pPr>
        <w:pStyle w:val="BodyText"/>
        <w:spacing w:before="10"/>
        <w:ind w:left="0"/>
        <w:rPr>
          <w:b/>
          <w:sz w:val="20"/>
        </w:rPr>
      </w:pPr>
    </w:p>
    <w:p>
      <w:pPr>
        <w:pStyle w:val="BodyText"/>
        <w:spacing w:line="417" w:lineRule="auto"/>
        <w:ind w:right="257" w:firstLine="549"/>
      </w:pPr>
      <w:r>
        <w:rPr>
          <w:rFonts w:ascii="黑体" w:eastAsia="黑体" w:hint="eastAsia"/>
        </w:rPr>
        <w:t>第十九条</w:t>
      </w:r>
      <w:r>
        <w:rPr/>
        <w:t> 挣值，是指项目实施过程中已完成工作的价值，用分配给实际已完成工作的预算来表示。 </w:t>
      </w:r>
    </w:p>
    <w:p>
      <w:pPr>
        <w:pStyle w:val="BodyText"/>
        <w:spacing w:line="417" w:lineRule="auto"/>
        <w:ind w:right="245" w:firstLine="549"/>
      </w:pPr>
      <w:r>
        <w:rPr/>
        <w:t>挣值法，是一种通过分析项目实施与项目目标期望值之间的差异，从而判断项目实施的成本、进度绩效的方法。 </w:t>
      </w:r>
    </w:p>
    <w:p>
      <w:pPr>
        <w:pStyle w:val="BodyText"/>
        <w:spacing w:line="417" w:lineRule="auto"/>
        <w:ind w:right="257" w:firstLine="549"/>
        <w:jc w:val="both"/>
      </w:pPr>
      <w:r>
        <w:rPr>
          <w:rFonts w:ascii="黑体" w:eastAsia="黑体" w:hint="eastAsia"/>
        </w:rPr>
        <w:t>第二十条</w:t>
      </w:r>
      <w:r>
        <w:rPr>
          <w:spacing w:val="-1"/>
        </w:rPr>
        <w:t> 挣值法广泛适用于项目管理中的项目实施、项目后评</w:t>
      </w:r>
      <w:r>
        <w:rPr>
          <w:spacing w:val="-11"/>
        </w:rPr>
        <w:t>价等阶段。挣值法的评价基准包括成本基准和进度基准，通常可以用</w:t>
      </w:r>
      <w:r>
        <w:rPr>
          <w:spacing w:val="-3"/>
        </w:rPr>
        <w:t>于检测实际绩效与评价基准之间的偏差。 </w:t>
      </w:r>
    </w:p>
    <w:p>
      <w:pPr>
        <w:pStyle w:val="BodyText"/>
        <w:spacing w:line="417" w:lineRule="auto"/>
        <w:ind w:right="251" w:firstLine="549"/>
      </w:pPr>
      <w:r>
        <w:rPr>
          <w:rFonts w:ascii="黑体" w:eastAsia="黑体" w:hint="eastAsia"/>
        </w:rPr>
        <w:t>第二十一条</w:t>
      </w:r>
      <w:r>
        <w:rPr/>
        <w:t> 进度偏差，是在某个给定时点上，测量并反映项目提前或落后的进度绩效指标。 </w:t>
      </w:r>
    </w:p>
    <w:p>
      <w:pPr>
        <w:pStyle w:val="BodyText"/>
        <w:spacing w:line="358" w:lineRule="exact"/>
        <w:ind w:left="670"/>
      </w:pPr>
      <w:r>
        <w:rPr>
          <w:spacing w:val="-9"/>
        </w:rPr>
        <w:t>进度偏差可以采用绝对数，表示为挣值与计划成本之差</w:t>
      </w:r>
      <w:r>
        <w:rPr/>
        <w:t>（</w:t>
      </w:r>
      <w:r>
        <w:rPr>
          <w:spacing w:val="-2"/>
        </w:rPr>
        <w:t>偏差量</w:t>
      </w:r>
    </w:p>
    <w:p>
      <w:pPr>
        <w:pStyle w:val="BodyText"/>
        <w:spacing w:before="7"/>
        <w:ind w:left="0"/>
        <w:rPr>
          <w:sz w:val="20"/>
        </w:rPr>
      </w:pPr>
    </w:p>
    <w:p>
      <w:pPr>
        <w:pStyle w:val="BodyText"/>
        <w:spacing w:before="1"/>
      </w:pPr>
      <w:r>
        <w:rPr/>
        <w:t>＝</w:t>
      </w:r>
      <w:r>
        <w:rPr>
          <w:spacing w:val="-3"/>
        </w:rPr>
        <w:t>挣值－计划成本</w:t>
      </w:r>
      <w:r>
        <w:rPr>
          <w:spacing w:val="-32"/>
        </w:rPr>
        <w:t>）</w:t>
      </w:r>
      <w:r>
        <w:rPr>
          <w:spacing w:val="-9"/>
        </w:rPr>
        <w:t>；也可采用相对数，表示为挣值与计划成本之比</w:t>
      </w:r>
    </w:p>
    <w:p>
      <w:pPr>
        <w:pStyle w:val="BodyText"/>
        <w:spacing w:before="9"/>
        <w:ind w:left="0"/>
        <w:rPr>
          <w:sz w:val="20"/>
        </w:rPr>
      </w:pPr>
    </w:p>
    <w:p>
      <w:pPr>
        <w:pStyle w:val="BodyText"/>
      </w:pPr>
      <w:r>
        <w:rPr/>
        <w:t>（偏差率＝挣值÷计划成本）。 </w:t>
      </w:r>
    </w:p>
    <w:p>
      <w:pPr>
        <w:pStyle w:val="BodyText"/>
        <w:spacing w:before="9"/>
        <w:ind w:left="0"/>
        <w:rPr>
          <w:sz w:val="20"/>
        </w:rPr>
      </w:pPr>
    </w:p>
    <w:p>
      <w:pPr>
        <w:pStyle w:val="BodyText"/>
        <w:spacing w:line="417" w:lineRule="auto"/>
        <w:ind w:right="115" w:firstLine="549"/>
      </w:pPr>
      <w:r>
        <w:rPr>
          <w:spacing w:val="-8"/>
        </w:rPr>
        <w:t>企业应用挣值法开展项目管理时，既要监测挣值的增量，以判断当前的绩效状态；又要监测挣值的累计值，以判断长期的绩效趋势。</w:t>
      </w:r>
      <w:r>
        <w:rPr/>
        <w:t> </w:t>
      </w:r>
    </w:p>
    <w:p>
      <w:pPr>
        <w:pStyle w:val="BodyText"/>
        <w:spacing w:line="417" w:lineRule="auto"/>
        <w:ind w:right="254" w:firstLine="549"/>
        <w:jc w:val="both"/>
      </w:pPr>
      <w:r>
        <w:rPr>
          <w:spacing w:val="-10"/>
        </w:rPr>
        <w:t>计划成本，是指根据批准的进度计划或预算，到某一时点应当完</w:t>
      </w:r>
      <w:r>
        <w:rPr>
          <w:spacing w:val="-8"/>
        </w:rPr>
        <w:t>成的工作所需投入资金的累计值。企业应用挣值法进行项目管理，应</w:t>
      </w:r>
      <w:r>
        <w:rPr>
          <w:spacing w:val="-5"/>
        </w:rPr>
        <w:t>当把项目预算分配至项目计划的各个时点。 </w:t>
      </w:r>
    </w:p>
    <w:p>
      <w:pPr>
        <w:spacing w:after="0" w:line="417" w:lineRule="auto"/>
        <w:jc w:val="both"/>
        <w:sectPr>
          <w:pgSz w:w="11910" w:h="16840"/>
          <w:pgMar w:header="0" w:footer="977" w:top="1520" w:bottom="1160" w:left="1680" w:right="1540"/>
        </w:sectPr>
      </w:pPr>
    </w:p>
    <w:p>
      <w:pPr>
        <w:pStyle w:val="BodyText"/>
        <w:spacing w:line="417" w:lineRule="auto" w:before="34"/>
        <w:ind w:right="254" w:firstLine="549"/>
      </w:pPr>
      <w:r>
        <w:rPr>
          <w:rFonts w:ascii="黑体" w:eastAsia="黑体" w:hint="eastAsia"/>
        </w:rPr>
        <w:t>第二十二条</w:t>
      </w:r>
      <w:r>
        <w:rPr/>
        <w:t> 成本偏差，是在某个给定时点上，测量并反映项目预算亏空或预算盈余的成本绩效指标。 </w:t>
      </w:r>
    </w:p>
    <w:p>
      <w:pPr>
        <w:pStyle w:val="BodyText"/>
        <w:spacing w:line="358" w:lineRule="exact"/>
        <w:ind w:left="670"/>
      </w:pPr>
      <w:r>
        <w:rPr/>
        <w:t>成本偏差可以采用绝对数，表示为挣值与实际成本之差（偏差量</w:t>
      </w:r>
    </w:p>
    <w:p>
      <w:pPr>
        <w:pStyle w:val="BodyText"/>
        <w:spacing w:before="9"/>
        <w:ind w:left="0"/>
        <w:rPr>
          <w:sz w:val="20"/>
        </w:rPr>
      </w:pPr>
    </w:p>
    <w:p>
      <w:pPr>
        <w:pStyle w:val="BodyText"/>
        <w:spacing w:line="417" w:lineRule="auto" w:before="1"/>
        <w:ind w:right="256"/>
      </w:pPr>
      <w:r>
        <w:rPr/>
        <w:t>＝</w:t>
      </w:r>
      <w:r>
        <w:rPr>
          <w:spacing w:val="-3"/>
        </w:rPr>
        <w:t>挣值－实际成本</w:t>
      </w:r>
      <w:r>
        <w:rPr>
          <w:spacing w:val="-32"/>
        </w:rPr>
        <w:t>）</w:t>
      </w:r>
      <w:r>
        <w:rPr>
          <w:spacing w:val="-10"/>
        </w:rPr>
        <w:t>；也可采用相对数，表示为挣值与实际成本的比</w:t>
      </w:r>
      <w:r>
        <w:rPr/>
        <w:t>值（</w:t>
      </w:r>
      <w:r>
        <w:rPr>
          <w:spacing w:val="-2"/>
        </w:rPr>
        <w:t>偏差率</w:t>
      </w:r>
      <w:r>
        <w:rPr/>
        <w:t>＝</w:t>
      </w:r>
      <w:r>
        <w:rPr>
          <w:spacing w:val="-3"/>
        </w:rPr>
        <w:t>挣值÷实际成本</w:t>
      </w:r>
      <w:r>
        <w:rPr/>
        <w:t>）</w:t>
      </w:r>
      <w:r>
        <w:rPr>
          <w:spacing w:val="-3"/>
        </w:rPr>
        <w:t>。</w:t>
      </w:r>
      <w:r>
        <w:rPr/>
        <w:t> </w:t>
      </w:r>
    </w:p>
    <w:p>
      <w:pPr>
        <w:pStyle w:val="BodyText"/>
        <w:spacing w:line="417" w:lineRule="auto"/>
        <w:ind w:right="254" w:firstLine="549"/>
        <w:jc w:val="both"/>
      </w:pPr>
      <w:r>
        <w:rPr>
          <w:spacing w:val="-10"/>
        </w:rPr>
        <w:t>实际成本，是指按实际进度完成的成本支出量。企业应用挣值法</w:t>
      </w:r>
      <w:r>
        <w:rPr>
          <w:spacing w:val="-11"/>
        </w:rPr>
        <w:t>开展项目管理时，实际成本的计算口径必须与计划成本和挣值的计算</w:t>
      </w:r>
      <w:r>
        <w:rPr>
          <w:spacing w:val="-7"/>
        </w:rPr>
        <w:t>口径保持一致。</w:t>
      </w:r>
      <w:r>
        <w:rPr/>
        <w:t> </w:t>
      </w:r>
    </w:p>
    <w:p>
      <w:pPr>
        <w:pStyle w:val="BodyText"/>
        <w:spacing w:line="417" w:lineRule="auto"/>
        <w:ind w:right="117" w:firstLine="549"/>
      </w:pPr>
      <w:r>
        <w:rPr>
          <w:rFonts w:ascii="黑体" w:eastAsia="黑体" w:hint="eastAsia"/>
        </w:rPr>
        <w:t>第二十三条</w:t>
      </w:r>
      <w:r>
        <w:rPr/>
        <w:t> 挣值法的主要优点是：一是通过对项目当前运行状</w:t>
      </w:r>
      <w:r>
        <w:rPr>
          <w:spacing w:val="-10"/>
        </w:rPr>
        <w:t>态的分析，可以有效地预测出项目的未来发展趋势，严格地控制项目</w:t>
      </w:r>
      <w:r>
        <w:rPr>
          <w:spacing w:val="-19"/>
        </w:rPr>
        <w:t>的进度和成本；二是在出现不利偏差时，能够较快地检测出问题所在， </w:t>
      </w:r>
      <w:r>
        <w:rPr>
          <w:spacing w:val="-3"/>
        </w:rPr>
        <w:t>留有充足的时间对问题进行处理和对项目进行调整。 </w:t>
      </w:r>
    </w:p>
    <w:p>
      <w:pPr>
        <w:pStyle w:val="BodyText"/>
        <w:spacing w:line="417" w:lineRule="auto"/>
        <w:ind w:right="254" w:firstLine="549"/>
        <w:jc w:val="both"/>
      </w:pPr>
      <w:r>
        <w:rPr>
          <w:rFonts w:ascii="黑体" w:eastAsia="黑体" w:hint="eastAsia"/>
        </w:rPr>
        <w:t>第二十四条</w:t>
      </w:r>
      <w:r>
        <w:rPr>
          <w:spacing w:val="-1"/>
        </w:rPr>
        <w:t> 挣值法的主要缺点是：一是片面注重用财权的执行</w:t>
      </w:r>
      <w:r>
        <w:rPr>
          <w:spacing w:val="-10"/>
        </w:rPr>
        <w:t>情况判断事权的实施效益；二是属于事后控制方法，不利于事前控制</w:t>
      </w:r>
      <w:r>
        <w:rPr>
          <w:spacing w:val="3"/>
        </w:rPr>
        <w:t>三是存在用项目非关键路径上取得的挣值掩盖关键路径上进度落后</w:t>
      </w:r>
      <w:r>
        <w:rPr>
          <w:spacing w:val="-3"/>
        </w:rPr>
        <w:t>的可能性，影响项目绩效判断的准确性。 </w:t>
      </w:r>
    </w:p>
    <w:p>
      <w:pPr>
        <w:pStyle w:val="BodyText"/>
        <w:ind w:left="0"/>
        <w:rPr>
          <w:sz w:val="20"/>
        </w:rPr>
      </w:pPr>
    </w:p>
    <w:p>
      <w:pPr>
        <w:pStyle w:val="BodyText"/>
        <w:spacing w:before="10"/>
        <w:ind w:left="0"/>
        <w:rPr>
          <w:sz w:val="23"/>
        </w:rPr>
      </w:pPr>
    </w:p>
    <w:p>
      <w:pPr>
        <w:pStyle w:val="Heading2"/>
        <w:ind w:left="3008"/>
      </w:pPr>
      <w:r>
        <w:rPr/>
        <w:t>第二节 成本效益法</w:t>
      </w:r>
      <w:r>
        <w:rPr>
          <w:w w:val="99"/>
        </w:rPr>
        <w:t> </w:t>
      </w:r>
    </w:p>
    <w:p>
      <w:pPr>
        <w:pStyle w:val="BodyText"/>
        <w:spacing w:before="9"/>
        <w:ind w:left="0"/>
        <w:rPr>
          <w:b/>
          <w:sz w:val="20"/>
        </w:rPr>
      </w:pPr>
    </w:p>
    <w:p>
      <w:pPr>
        <w:pStyle w:val="BodyText"/>
        <w:spacing w:line="417" w:lineRule="auto"/>
        <w:ind w:right="119" w:firstLine="549"/>
      </w:pPr>
      <w:r>
        <w:rPr>
          <w:rFonts w:ascii="黑体" w:eastAsia="黑体" w:hint="eastAsia"/>
        </w:rPr>
        <w:t>第二十五条</w:t>
      </w:r>
      <w:r>
        <w:rPr/>
        <w:t> 成本效益法，是指通过比较项目不同实现方案的全</w:t>
      </w:r>
      <w:r>
        <w:rPr>
          <w:spacing w:val="-17"/>
        </w:rPr>
        <w:t>部成本和效益，以寻求最优投资决策的一种项目管理工具方法。其中， </w:t>
      </w:r>
      <w:r>
        <w:rPr>
          <w:spacing w:val="-8"/>
        </w:rPr>
        <w:t>成本指标可以包括项目的执行成本、社会成本等；效益指标可以包括</w:t>
      </w:r>
      <w:r>
        <w:rPr>
          <w:spacing w:val="-5"/>
        </w:rPr>
        <w:t>项目的经济效益、社会效益等。 </w:t>
      </w:r>
    </w:p>
    <w:p>
      <w:pPr>
        <w:spacing w:after="0" w:line="417" w:lineRule="auto"/>
        <w:sectPr>
          <w:pgSz w:w="11910" w:h="16840"/>
          <w:pgMar w:header="0" w:footer="977" w:top="1520" w:bottom="1160" w:left="1680" w:right="1540"/>
        </w:sectPr>
      </w:pPr>
    </w:p>
    <w:p>
      <w:pPr>
        <w:pStyle w:val="BodyText"/>
        <w:spacing w:line="417" w:lineRule="auto" w:before="34"/>
        <w:ind w:right="256" w:firstLine="549"/>
      </w:pPr>
      <w:r>
        <w:rPr>
          <w:rFonts w:ascii="黑体" w:eastAsia="黑体" w:hint="eastAsia"/>
        </w:rPr>
        <w:t>第二十六条</w:t>
      </w:r>
      <w:r>
        <w:rPr/>
        <w:t> 成本效益法属于事前控制方法，适用于项目可行性研究阶段。 </w:t>
      </w:r>
    </w:p>
    <w:p>
      <w:pPr>
        <w:pStyle w:val="BodyText"/>
        <w:spacing w:line="417" w:lineRule="auto"/>
        <w:ind w:right="251" w:firstLine="549"/>
        <w:jc w:val="both"/>
      </w:pPr>
      <w:r>
        <w:rPr>
          <w:rFonts w:ascii="黑体" w:eastAsia="黑体" w:hint="eastAsia"/>
        </w:rPr>
        <w:t>第二十七条</w:t>
      </w:r>
      <w:r>
        <w:rPr>
          <w:spacing w:val="-1"/>
        </w:rPr>
        <w:t> 企业应用成本效益法，一般按照以下程序进行：确</w:t>
      </w:r>
      <w:r>
        <w:rPr>
          <w:spacing w:val="-10"/>
        </w:rPr>
        <w:t>定项目中的收入和成本；确定项目不同实现方案的差额收入；确定项</w:t>
      </w:r>
      <w:r>
        <w:rPr>
          <w:spacing w:val="-13"/>
        </w:rPr>
        <w:t>目不同实现方案的差额费用；制定项目不同实现方案的预期成本和预</w:t>
      </w:r>
      <w:r>
        <w:rPr>
          <w:spacing w:val="-8"/>
        </w:rPr>
        <w:t>期收入的实现时间表；评估难以量化的社会效益和成本。 </w:t>
      </w:r>
    </w:p>
    <w:p>
      <w:pPr>
        <w:pStyle w:val="BodyText"/>
        <w:spacing w:line="417" w:lineRule="auto"/>
        <w:ind w:right="251" w:firstLine="549"/>
        <w:jc w:val="both"/>
      </w:pPr>
      <w:r>
        <w:rPr>
          <w:rFonts w:ascii="黑体" w:eastAsia="黑体" w:hint="eastAsia"/>
        </w:rPr>
        <w:t>第二十八条</w:t>
      </w:r>
      <w:r>
        <w:rPr/>
        <w:t> 成本效益法的主要优点是：一是普适性较强，是衡</w:t>
      </w:r>
      <w:r>
        <w:rPr>
          <w:spacing w:val="-9"/>
        </w:rPr>
        <w:t>量管理决策可行性的基本依据；二是需考虑评估标的经济与社会、直</w:t>
      </w:r>
      <w:r>
        <w:rPr>
          <w:spacing w:val="-12"/>
        </w:rPr>
        <w:t>接与间接、内在与外在、短期与长期等各个维度的成本和收益，具有</w:t>
      </w:r>
      <w:r>
        <w:rPr>
          <w:spacing w:val="-7"/>
        </w:rPr>
        <w:t>较强的在综合性。 </w:t>
      </w:r>
    </w:p>
    <w:p>
      <w:pPr>
        <w:pStyle w:val="BodyText"/>
        <w:spacing w:line="417" w:lineRule="auto"/>
        <w:ind w:right="163" w:firstLine="549"/>
      </w:pPr>
      <w:r>
        <w:rPr>
          <w:rFonts w:ascii="黑体" w:eastAsia="黑体" w:hint="eastAsia"/>
        </w:rPr>
        <w:t>第二十九条</w:t>
      </w:r>
      <w:r>
        <w:rPr/>
        <w:t> 成本效益法的主要缺点是：一是属于事前评价，评</w:t>
      </w:r>
      <w:r>
        <w:rPr>
          <w:spacing w:val="-4"/>
        </w:rPr>
        <w:t>价方法存在的不确定性因素较多；二是综合考虑了项目的经济效益、</w:t>
      </w:r>
      <w:r>
        <w:rPr>
          <w:spacing w:val="-11"/>
        </w:rPr>
        <w:t>社会效益等各方面，除了经济效益以外的其他效益存在较大的量化难</w:t>
      </w:r>
      <w:r>
        <w:rPr>
          <w:spacing w:val="-8"/>
        </w:rPr>
        <w:t>度。</w:t>
      </w:r>
      <w:r>
        <w:rPr/>
        <w:t> </w:t>
      </w:r>
    </w:p>
    <w:p>
      <w:pPr>
        <w:pStyle w:val="BodyText"/>
        <w:ind w:left="0"/>
        <w:rPr>
          <w:sz w:val="20"/>
        </w:rPr>
      </w:pPr>
    </w:p>
    <w:p>
      <w:pPr>
        <w:pStyle w:val="BodyText"/>
        <w:spacing w:before="10"/>
        <w:ind w:left="0"/>
        <w:rPr>
          <w:sz w:val="23"/>
        </w:rPr>
      </w:pPr>
    </w:p>
    <w:p>
      <w:pPr>
        <w:pStyle w:val="Heading2"/>
        <w:ind w:left="599" w:right="599"/>
        <w:jc w:val="center"/>
      </w:pPr>
      <w:r>
        <w:rPr/>
        <w:t>第三节 价值工程法</w:t>
      </w:r>
      <w:r>
        <w:rPr>
          <w:w w:val="99"/>
        </w:rPr>
        <w:t> </w:t>
      </w:r>
    </w:p>
    <w:p>
      <w:pPr>
        <w:pStyle w:val="BodyText"/>
        <w:spacing w:before="10"/>
        <w:ind w:left="0"/>
        <w:rPr>
          <w:b/>
          <w:sz w:val="20"/>
        </w:rPr>
      </w:pPr>
    </w:p>
    <w:p>
      <w:pPr>
        <w:pStyle w:val="BodyText"/>
        <w:spacing w:line="417" w:lineRule="auto"/>
        <w:ind w:right="253" w:firstLine="549"/>
        <w:jc w:val="both"/>
      </w:pPr>
      <w:r>
        <w:rPr>
          <w:rFonts w:ascii="黑体" w:eastAsia="黑体" w:hint="eastAsia"/>
          <w:spacing w:val="9"/>
        </w:rPr>
        <w:t>第三十条 </w:t>
      </w:r>
      <w:r>
        <w:rPr>
          <w:spacing w:val="-1"/>
        </w:rPr>
        <w:t>价值工程法，是指对研究对象的功能和成本进行系统</w:t>
      </w:r>
      <w:r>
        <w:rPr>
          <w:spacing w:val="-11"/>
        </w:rPr>
        <w:t>分析，比较为获取的功能而发生的成本，以提高研究对象价值的管理</w:t>
      </w:r>
      <w:r>
        <w:rPr>
          <w:spacing w:val="-9"/>
        </w:rPr>
        <w:t>方法。</w:t>
      </w:r>
      <w:r>
        <w:rPr/>
        <w:t> </w:t>
      </w:r>
    </w:p>
    <w:p>
      <w:pPr>
        <w:pStyle w:val="BodyText"/>
        <w:spacing w:line="417" w:lineRule="auto"/>
        <w:ind w:right="256" w:firstLine="549"/>
        <w:jc w:val="both"/>
      </w:pPr>
      <w:r>
        <w:rPr>
          <w:spacing w:val="-11"/>
        </w:rPr>
        <w:t>本方法下的功能，是指对象满足某种需求的效用或属性；本方法下的成本，是指按功能计算的全部成本费用；本方法下的价值，是指</w:t>
      </w:r>
      <w:r>
        <w:rPr>
          <w:spacing w:val="-3"/>
        </w:rPr>
        <w:t>对象所具有的功能与获得该功能所发生的费用之比。 </w:t>
      </w:r>
    </w:p>
    <w:p>
      <w:pPr>
        <w:spacing w:after="0" w:line="417" w:lineRule="auto"/>
        <w:jc w:val="both"/>
        <w:sectPr>
          <w:pgSz w:w="11910" w:h="16840"/>
          <w:pgMar w:header="0" w:footer="977" w:top="1520" w:bottom="1160" w:left="1680" w:right="1540"/>
        </w:sectPr>
      </w:pPr>
    </w:p>
    <w:p>
      <w:pPr>
        <w:pStyle w:val="BodyText"/>
        <w:spacing w:line="417" w:lineRule="auto" w:before="34"/>
        <w:ind w:right="256" w:firstLine="549"/>
      </w:pPr>
      <w:r>
        <w:rPr>
          <w:rFonts w:ascii="黑体" w:eastAsia="黑体" w:hint="eastAsia"/>
        </w:rPr>
        <w:t>第三十一条</w:t>
      </w:r>
      <w:r>
        <w:rPr/>
        <w:t> 价值工程法可广泛适用于项目设计与改造、项目实施等阶段。 </w:t>
      </w:r>
    </w:p>
    <w:p>
      <w:pPr>
        <w:pStyle w:val="BodyText"/>
        <w:spacing w:line="358" w:lineRule="exact"/>
        <w:ind w:left="670"/>
      </w:pPr>
      <w:r>
        <w:rPr>
          <w:rFonts w:ascii="黑体" w:eastAsia="黑体" w:hint="eastAsia"/>
        </w:rPr>
        <w:t>第三十二条</w:t>
      </w:r>
      <w:r>
        <w:rPr/>
        <w:t> 企业应用价值工程法，一般按照以下程序进行： </w:t>
      </w:r>
    </w:p>
    <w:p>
      <w:pPr>
        <w:pStyle w:val="BodyText"/>
        <w:spacing w:before="9"/>
        <w:ind w:left="0"/>
        <w:rPr>
          <w:sz w:val="20"/>
        </w:rPr>
      </w:pPr>
    </w:p>
    <w:p>
      <w:pPr>
        <w:pStyle w:val="BodyText"/>
        <w:spacing w:line="417" w:lineRule="auto" w:before="1"/>
        <w:ind w:right="256" w:firstLine="549"/>
        <w:jc w:val="both"/>
      </w:pPr>
      <w:r>
        <w:rPr/>
        <w:t>（一</w:t>
      </w:r>
      <w:r>
        <w:rPr>
          <w:spacing w:val="-29"/>
        </w:rPr>
        <w:t>）</w:t>
      </w:r>
      <w:r>
        <w:rPr>
          <w:spacing w:val="-9"/>
        </w:rPr>
        <w:t>准备阶段。选择价值工程的对象并明确目标、限制条件和</w:t>
      </w:r>
      <w:r>
        <w:rPr>
          <w:spacing w:val="-10"/>
        </w:rPr>
        <w:t>分析范围；根据价值工程对象的特点，组成价值工程工作小组；制定</w:t>
      </w:r>
      <w:r>
        <w:rPr>
          <w:spacing w:val="-7"/>
        </w:rPr>
        <w:t>工作计划，包括具体执行人、执行日期、工作目标等。 </w:t>
      </w:r>
    </w:p>
    <w:p>
      <w:pPr>
        <w:pStyle w:val="BodyText"/>
        <w:spacing w:line="417" w:lineRule="auto"/>
        <w:ind w:right="257" w:firstLine="549"/>
        <w:jc w:val="both"/>
      </w:pPr>
      <w:r>
        <w:rPr/>
        <w:t>（二</w:t>
      </w:r>
      <w:r>
        <w:rPr>
          <w:spacing w:val="-29"/>
        </w:rPr>
        <w:t>）</w:t>
      </w:r>
      <w:r>
        <w:rPr>
          <w:spacing w:val="-9"/>
        </w:rPr>
        <w:t>分析阶段。收集整理与对象有关的全部信息资料；通过分</w:t>
      </w:r>
      <w:r>
        <w:rPr>
          <w:spacing w:val="-10"/>
        </w:rPr>
        <w:t>析信息资料，简明准确地表述对象的功能、明确功能的特征要求，并</w:t>
      </w:r>
      <w:r>
        <w:rPr>
          <w:spacing w:val="-13"/>
        </w:rPr>
        <w:t>绘制功能系统图；运用某种数量形式表达原有对象各功能的大小，求</w:t>
      </w:r>
      <w:r>
        <w:rPr>
          <w:spacing w:val="-11"/>
        </w:rPr>
        <w:t>出原有对象各功能的当前成本，并依据对功能大小与功能当前成本之</w:t>
      </w:r>
      <w:r>
        <w:rPr>
          <w:spacing w:val="-10"/>
        </w:rPr>
        <w:t>间关系的研究，确定应当在哪些功能区域改进原有对象，并确定功能</w:t>
      </w:r>
      <w:r>
        <w:rPr>
          <w:spacing w:val="-8"/>
        </w:rPr>
        <w:t>的目标成本。</w:t>
      </w:r>
      <w:r>
        <w:rPr/>
        <w:t> </w:t>
      </w:r>
    </w:p>
    <w:p>
      <w:pPr>
        <w:pStyle w:val="BodyText"/>
        <w:spacing w:line="417" w:lineRule="auto"/>
        <w:ind w:right="165" w:firstLine="549"/>
      </w:pPr>
      <w:r>
        <w:rPr/>
        <w:t>（三）</w:t>
      </w:r>
      <w:r>
        <w:rPr>
          <w:spacing w:val="-3"/>
        </w:rPr>
        <w:t>创新阶段。依据功能系统图、功能特性和功能目标成本， </w:t>
      </w:r>
      <w:r>
        <w:rPr>
          <w:spacing w:val="-4"/>
        </w:rPr>
        <w:t>通过创新性的思维和活动，提出实现功能的各种不同方案；从技术、经济和社会等方面评价所提出的方案，看其是否能实现规定的目标， </w:t>
      </w:r>
      <w:r>
        <w:rPr>
          <w:spacing w:val="-11"/>
        </w:rPr>
        <w:t>从中选择最佳方案；将选出的方案及有关的经济资料和预测的效益编</w:t>
      </w:r>
      <w:r>
        <w:rPr>
          <w:spacing w:val="-7"/>
        </w:rPr>
        <w:t>写成正式的提案。 </w:t>
      </w:r>
    </w:p>
    <w:p>
      <w:pPr>
        <w:pStyle w:val="BodyText"/>
        <w:spacing w:line="417" w:lineRule="auto"/>
        <w:ind w:right="253" w:firstLine="549"/>
        <w:jc w:val="both"/>
      </w:pPr>
      <w:r>
        <w:rPr/>
        <w:t>（四</w:t>
      </w:r>
      <w:r>
        <w:rPr>
          <w:spacing w:val="-29"/>
        </w:rPr>
        <w:t>）</w:t>
      </w:r>
      <w:r>
        <w:rPr>
          <w:spacing w:val="-9"/>
        </w:rPr>
        <w:t>实施阶段。组织提案审查，并根据审查结果签署是否实施</w:t>
      </w:r>
      <w:r>
        <w:rPr>
          <w:spacing w:val="-10"/>
        </w:rPr>
        <w:t>的意见；根据具体条件及内容，制定实施计划，组织实施，并指定专</w:t>
      </w:r>
      <w:r>
        <w:rPr>
          <w:spacing w:val="-9"/>
        </w:rPr>
        <w:t>人在实施过程中跟踪检查，记录全程的有关数据资料，必要时，可再</w:t>
      </w:r>
      <w:r>
        <w:rPr>
          <w:spacing w:val="-11"/>
        </w:rPr>
        <w:t>次召集价值工程工作小组提出新的方案；根据提案实施后的技术经济</w:t>
      </w:r>
      <w:r>
        <w:rPr>
          <w:spacing w:val="-7"/>
        </w:rPr>
        <w:t>效果，进行成果鉴定。 </w:t>
      </w:r>
    </w:p>
    <w:p>
      <w:pPr>
        <w:spacing w:after="0" w:line="417" w:lineRule="auto"/>
        <w:jc w:val="both"/>
        <w:sectPr>
          <w:pgSz w:w="11910" w:h="16840"/>
          <w:pgMar w:header="0" w:footer="977" w:top="1520" w:bottom="1160" w:left="1680" w:right="1540"/>
        </w:sectPr>
      </w:pPr>
    </w:p>
    <w:p>
      <w:pPr>
        <w:pStyle w:val="BodyText"/>
        <w:spacing w:line="417" w:lineRule="auto" w:before="34"/>
        <w:ind w:right="254" w:firstLine="549"/>
        <w:jc w:val="both"/>
      </w:pPr>
      <w:r>
        <w:rPr>
          <w:rFonts w:ascii="黑体" w:eastAsia="黑体" w:hint="eastAsia"/>
        </w:rPr>
        <w:t>第三十三条</w:t>
      </w:r>
      <w:r>
        <w:rPr/>
        <w:t> 价值工程法的主要优点是：一是把项目的功能和成</w:t>
      </w:r>
      <w:r>
        <w:rPr>
          <w:spacing w:val="-11"/>
        </w:rPr>
        <w:t>本联系起来，通过削减过剩功能、补充不足功能使项目的功能结构更</w:t>
      </w:r>
      <w:r>
        <w:rPr>
          <w:spacing w:val="-10"/>
        </w:rPr>
        <w:t>加合理化；二是着眼于项目成本的整体分析，注重有效利用资源，有</w:t>
      </w:r>
      <w:r>
        <w:rPr>
          <w:spacing w:val="-7"/>
        </w:rPr>
        <w:t>助于实现项目整体成本的最优化。 </w:t>
      </w:r>
    </w:p>
    <w:p>
      <w:pPr>
        <w:pStyle w:val="BodyText"/>
        <w:spacing w:line="417" w:lineRule="auto"/>
        <w:ind w:right="251" w:firstLine="549"/>
        <w:jc w:val="both"/>
      </w:pPr>
      <w:r>
        <w:rPr>
          <w:rFonts w:ascii="黑体" w:eastAsia="黑体" w:hint="eastAsia"/>
        </w:rPr>
        <w:t>第三十四条</w:t>
      </w:r>
      <w:r>
        <w:rPr/>
        <w:t> 价值工程法的主要缺点是；要求具有较全面的知识</w:t>
      </w:r>
      <w:r>
        <w:rPr>
          <w:spacing w:val="-10"/>
        </w:rPr>
        <w:t>储备，不同性质的价值工程分析对象涉及的其他领域的学科性质，以</w:t>
      </w:r>
      <w:r>
        <w:rPr>
          <w:spacing w:val="-12"/>
        </w:rPr>
        <w:t>及其他领域的广度和深度等都存在很大差别，导致功能的内涵、结构</w:t>
      </w:r>
      <w:r>
        <w:rPr>
          <w:spacing w:val="-7"/>
        </w:rPr>
        <w:t>和系统特征必然具有实质性区别。 </w:t>
      </w:r>
    </w:p>
    <w:p>
      <w:pPr>
        <w:pStyle w:val="BodyText"/>
        <w:ind w:left="0"/>
        <w:rPr>
          <w:sz w:val="20"/>
        </w:rPr>
      </w:pPr>
    </w:p>
    <w:p>
      <w:pPr>
        <w:pStyle w:val="BodyText"/>
        <w:spacing w:before="11"/>
        <w:ind w:left="0"/>
        <w:rPr>
          <w:sz w:val="23"/>
        </w:rPr>
      </w:pPr>
    </w:p>
    <w:p>
      <w:pPr>
        <w:pStyle w:val="BodyText"/>
        <w:spacing w:before="61"/>
        <w:ind w:left="464" w:right="599"/>
        <w:jc w:val="center"/>
        <w:rPr>
          <w:rFonts w:ascii="黑体" w:eastAsia="黑体" w:hint="eastAsia"/>
        </w:rPr>
      </w:pPr>
      <w:r>
        <w:rPr>
          <w:rFonts w:ascii="黑体" w:eastAsia="黑体" w:hint="eastAsia"/>
        </w:rPr>
        <w:t>第五章 附 则</w:t>
      </w:r>
    </w:p>
    <w:p>
      <w:pPr>
        <w:pStyle w:val="BodyText"/>
        <w:spacing w:before="9"/>
        <w:ind w:left="0"/>
        <w:rPr>
          <w:rFonts w:ascii="黑体"/>
          <w:sz w:val="20"/>
        </w:rPr>
      </w:pPr>
    </w:p>
    <w:p>
      <w:pPr>
        <w:pStyle w:val="BodyText"/>
        <w:ind w:left="670"/>
      </w:pPr>
      <w:r>
        <w:rPr>
          <w:rFonts w:ascii="黑体" w:eastAsia="黑体" w:hint="eastAsia"/>
        </w:rPr>
        <w:t>第三十五条</w:t>
      </w:r>
      <w:r>
        <w:rPr/>
        <w:t> 本指引由财政部负责解释。 </w:t>
      </w:r>
    </w:p>
    <w:sectPr>
      <w:pgSz w:w="11910" w:h="16840"/>
      <w:pgMar w:header="0" w:footer="977" w:top="1520" w:bottom="1160" w:left="168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87.290009pt;margin-top:782.089966pt;width:23.75pt;height:11pt;mso-position-horizontal-relative:page;mso-position-vertical-relative:page;z-index:-15915008" type="#_x0000_t202" filled="false" stroked="false">
          <v:textbox inset="0,0,0,0">
            <w:txbxContent>
              <w:p>
                <w:pPr>
                  <w:spacing w:line="203" w:lineRule="exact" w:before="0"/>
                  <w:ind w:left="20" w:right="0" w:firstLine="0"/>
                  <w:jc w:val="left"/>
                  <w:rPr>
                    <w:rFonts w:ascii="Calibri"/>
                    <w:sz w:val="18"/>
                  </w:rPr>
                </w:pPr>
                <w:r>
                  <w:rPr>
                    <w:rFonts w:ascii="Calibri"/>
                    <w:sz w:val="18"/>
                  </w:rPr>
                  <w:t>- </w:t>
                </w:r>
                <w:r>
                  <w:rPr/>
                  <w:fldChar w:fldCharType="begin"/>
                </w:r>
                <w:r>
                  <w:rPr>
                    <w:rFonts w:ascii="Calibri"/>
                    <w:sz w:val="18"/>
                  </w:rPr>
                  <w:instrText> PAGE </w:instrText>
                </w:r>
                <w:r>
                  <w:rPr/>
                  <w:fldChar w:fldCharType="separate"/>
                </w:r>
                <w:r>
                  <w:rPr/>
                  <w:t>10</w:t>
                </w:r>
                <w:r>
                  <w:rPr/>
                  <w:fldChar w:fldCharType="end"/>
                </w:r>
                <w:r>
                  <w:rPr>
                    <w:rFonts w:ascii="Calibri"/>
                    <w:sz w:val="18"/>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20" w:hanging="426"/>
        <w:jc w:val="left"/>
      </w:pPr>
      <w:rPr>
        <w:rFonts w:hint="default" w:ascii="宋体" w:hAnsi="宋体" w:eastAsia="宋体" w:cs="宋体"/>
        <w:spacing w:val="0"/>
        <w:w w:val="100"/>
        <w:sz w:val="26"/>
        <w:szCs w:val="26"/>
        <w:lang w:val="en-US" w:eastAsia="zh-CN" w:bidi="ar-SA"/>
      </w:rPr>
    </w:lvl>
    <w:lvl w:ilvl="1">
      <w:start w:val="0"/>
      <w:numFmt w:val="bullet"/>
      <w:lvlText w:val="•"/>
      <w:lvlJc w:val="left"/>
      <w:pPr>
        <w:ind w:left="976" w:hanging="426"/>
      </w:pPr>
      <w:rPr>
        <w:rFonts w:hint="default"/>
        <w:lang w:val="en-US" w:eastAsia="zh-CN" w:bidi="ar-SA"/>
      </w:rPr>
    </w:lvl>
    <w:lvl w:ilvl="2">
      <w:start w:val="0"/>
      <w:numFmt w:val="bullet"/>
      <w:lvlText w:val="•"/>
      <w:lvlJc w:val="left"/>
      <w:pPr>
        <w:ind w:left="1833" w:hanging="426"/>
      </w:pPr>
      <w:rPr>
        <w:rFonts w:hint="default"/>
        <w:lang w:val="en-US" w:eastAsia="zh-CN" w:bidi="ar-SA"/>
      </w:rPr>
    </w:lvl>
    <w:lvl w:ilvl="3">
      <w:start w:val="0"/>
      <w:numFmt w:val="bullet"/>
      <w:lvlText w:val="•"/>
      <w:lvlJc w:val="left"/>
      <w:pPr>
        <w:ind w:left="2689" w:hanging="426"/>
      </w:pPr>
      <w:rPr>
        <w:rFonts w:hint="default"/>
        <w:lang w:val="en-US" w:eastAsia="zh-CN" w:bidi="ar-SA"/>
      </w:rPr>
    </w:lvl>
    <w:lvl w:ilvl="4">
      <w:start w:val="0"/>
      <w:numFmt w:val="bullet"/>
      <w:lvlText w:val="•"/>
      <w:lvlJc w:val="left"/>
      <w:pPr>
        <w:ind w:left="3546" w:hanging="426"/>
      </w:pPr>
      <w:rPr>
        <w:rFonts w:hint="default"/>
        <w:lang w:val="en-US" w:eastAsia="zh-CN" w:bidi="ar-SA"/>
      </w:rPr>
    </w:lvl>
    <w:lvl w:ilvl="5">
      <w:start w:val="0"/>
      <w:numFmt w:val="bullet"/>
      <w:lvlText w:val="•"/>
      <w:lvlJc w:val="left"/>
      <w:pPr>
        <w:ind w:left="4403" w:hanging="426"/>
      </w:pPr>
      <w:rPr>
        <w:rFonts w:hint="default"/>
        <w:lang w:val="en-US" w:eastAsia="zh-CN" w:bidi="ar-SA"/>
      </w:rPr>
    </w:lvl>
    <w:lvl w:ilvl="6">
      <w:start w:val="0"/>
      <w:numFmt w:val="bullet"/>
      <w:lvlText w:val="•"/>
      <w:lvlJc w:val="left"/>
      <w:pPr>
        <w:ind w:left="5259" w:hanging="426"/>
      </w:pPr>
      <w:rPr>
        <w:rFonts w:hint="default"/>
        <w:lang w:val="en-US" w:eastAsia="zh-CN" w:bidi="ar-SA"/>
      </w:rPr>
    </w:lvl>
    <w:lvl w:ilvl="7">
      <w:start w:val="0"/>
      <w:numFmt w:val="bullet"/>
      <w:lvlText w:val="•"/>
      <w:lvlJc w:val="left"/>
      <w:pPr>
        <w:ind w:left="6116" w:hanging="426"/>
      </w:pPr>
      <w:rPr>
        <w:rFonts w:hint="default"/>
        <w:lang w:val="en-US" w:eastAsia="zh-CN" w:bidi="ar-SA"/>
      </w:rPr>
    </w:lvl>
    <w:lvl w:ilvl="8">
      <w:start w:val="0"/>
      <w:numFmt w:val="bullet"/>
      <w:lvlText w:val="•"/>
      <w:lvlJc w:val="left"/>
      <w:pPr>
        <w:ind w:left="6973" w:hanging="426"/>
      </w:pPr>
      <w:rPr>
        <w:rFonts w:hint="default"/>
        <w:lang w:val="en-US" w:eastAsia="zh-CN" w:bidi="ar-SA"/>
      </w:rPr>
    </w:lvl>
  </w:abstractNum>
  <w:abstractNum w:abstractNumId="2">
    <w:multiLevelType w:val="hybridMultilevel"/>
    <w:lvl w:ilvl="0">
      <w:start w:val="1"/>
      <w:numFmt w:val="decimal"/>
      <w:lvlText w:val="%1."/>
      <w:lvlJc w:val="left"/>
      <w:pPr>
        <w:ind w:left="120" w:hanging="426"/>
        <w:jc w:val="left"/>
      </w:pPr>
      <w:rPr>
        <w:rFonts w:hint="default" w:ascii="宋体" w:hAnsi="宋体" w:eastAsia="宋体" w:cs="宋体"/>
        <w:spacing w:val="0"/>
        <w:w w:val="100"/>
        <w:sz w:val="26"/>
        <w:szCs w:val="26"/>
        <w:lang w:val="en-US" w:eastAsia="zh-CN" w:bidi="ar-SA"/>
      </w:rPr>
    </w:lvl>
    <w:lvl w:ilvl="1">
      <w:start w:val="0"/>
      <w:numFmt w:val="bullet"/>
      <w:lvlText w:val="•"/>
      <w:lvlJc w:val="left"/>
      <w:pPr>
        <w:ind w:left="976" w:hanging="426"/>
      </w:pPr>
      <w:rPr>
        <w:rFonts w:hint="default"/>
        <w:lang w:val="en-US" w:eastAsia="zh-CN" w:bidi="ar-SA"/>
      </w:rPr>
    </w:lvl>
    <w:lvl w:ilvl="2">
      <w:start w:val="0"/>
      <w:numFmt w:val="bullet"/>
      <w:lvlText w:val="•"/>
      <w:lvlJc w:val="left"/>
      <w:pPr>
        <w:ind w:left="1833" w:hanging="426"/>
      </w:pPr>
      <w:rPr>
        <w:rFonts w:hint="default"/>
        <w:lang w:val="en-US" w:eastAsia="zh-CN" w:bidi="ar-SA"/>
      </w:rPr>
    </w:lvl>
    <w:lvl w:ilvl="3">
      <w:start w:val="0"/>
      <w:numFmt w:val="bullet"/>
      <w:lvlText w:val="•"/>
      <w:lvlJc w:val="left"/>
      <w:pPr>
        <w:ind w:left="2689" w:hanging="426"/>
      </w:pPr>
      <w:rPr>
        <w:rFonts w:hint="default"/>
        <w:lang w:val="en-US" w:eastAsia="zh-CN" w:bidi="ar-SA"/>
      </w:rPr>
    </w:lvl>
    <w:lvl w:ilvl="4">
      <w:start w:val="0"/>
      <w:numFmt w:val="bullet"/>
      <w:lvlText w:val="•"/>
      <w:lvlJc w:val="left"/>
      <w:pPr>
        <w:ind w:left="3546" w:hanging="426"/>
      </w:pPr>
      <w:rPr>
        <w:rFonts w:hint="default"/>
        <w:lang w:val="en-US" w:eastAsia="zh-CN" w:bidi="ar-SA"/>
      </w:rPr>
    </w:lvl>
    <w:lvl w:ilvl="5">
      <w:start w:val="0"/>
      <w:numFmt w:val="bullet"/>
      <w:lvlText w:val="•"/>
      <w:lvlJc w:val="left"/>
      <w:pPr>
        <w:ind w:left="4403" w:hanging="426"/>
      </w:pPr>
      <w:rPr>
        <w:rFonts w:hint="default"/>
        <w:lang w:val="en-US" w:eastAsia="zh-CN" w:bidi="ar-SA"/>
      </w:rPr>
    </w:lvl>
    <w:lvl w:ilvl="6">
      <w:start w:val="0"/>
      <w:numFmt w:val="bullet"/>
      <w:lvlText w:val="•"/>
      <w:lvlJc w:val="left"/>
      <w:pPr>
        <w:ind w:left="5259" w:hanging="426"/>
      </w:pPr>
      <w:rPr>
        <w:rFonts w:hint="default"/>
        <w:lang w:val="en-US" w:eastAsia="zh-CN" w:bidi="ar-SA"/>
      </w:rPr>
    </w:lvl>
    <w:lvl w:ilvl="7">
      <w:start w:val="0"/>
      <w:numFmt w:val="bullet"/>
      <w:lvlText w:val="•"/>
      <w:lvlJc w:val="left"/>
      <w:pPr>
        <w:ind w:left="6116" w:hanging="426"/>
      </w:pPr>
      <w:rPr>
        <w:rFonts w:hint="default"/>
        <w:lang w:val="en-US" w:eastAsia="zh-CN" w:bidi="ar-SA"/>
      </w:rPr>
    </w:lvl>
    <w:lvl w:ilvl="8">
      <w:start w:val="0"/>
      <w:numFmt w:val="bullet"/>
      <w:lvlText w:val="•"/>
      <w:lvlJc w:val="left"/>
      <w:pPr>
        <w:ind w:left="6973" w:hanging="426"/>
      </w:pPr>
      <w:rPr>
        <w:rFonts w:hint="default"/>
        <w:lang w:val="en-US" w:eastAsia="zh-CN" w:bidi="ar-SA"/>
      </w:rPr>
    </w:lvl>
  </w:abstractNum>
  <w:abstractNum w:abstractNumId="1">
    <w:multiLevelType w:val="hybridMultilevel"/>
    <w:lvl w:ilvl="0">
      <w:start w:val="1"/>
      <w:numFmt w:val="decimal"/>
      <w:lvlText w:val="%1."/>
      <w:lvlJc w:val="left"/>
      <w:pPr>
        <w:ind w:left="120" w:hanging="426"/>
        <w:jc w:val="left"/>
      </w:pPr>
      <w:rPr>
        <w:rFonts w:hint="default" w:ascii="宋体" w:hAnsi="宋体" w:eastAsia="宋体" w:cs="宋体"/>
        <w:spacing w:val="0"/>
        <w:w w:val="100"/>
        <w:sz w:val="26"/>
        <w:szCs w:val="26"/>
        <w:lang w:val="en-US" w:eastAsia="zh-CN" w:bidi="ar-SA"/>
      </w:rPr>
    </w:lvl>
    <w:lvl w:ilvl="1">
      <w:start w:val="0"/>
      <w:numFmt w:val="bullet"/>
      <w:lvlText w:val="•"/>
      <w:lvlJc w:val="left"/>
      <w:pPr>
        <w:ind w:left="976" w:hanging="426"/>
      </w:pPr>
      <w:rPr>
        <w:rFonts w:hint="default"/>
        <w:lang w:val="en-US" w:eastAsia="zh-CN" w:bidi="ar-SA"/>
      </w:rPr>
    </w:lvl>
    <w:lvl w:ilvl="2">
      <w:start w:val="0"/>
      <w:numFmt w:val="bullet"/>
      <w:lvlText w:val="•"/>
      <w:lvlJc w:val="left"/>
      <w:pPr>
        <w:ind w:left="1833" w:hanging="426"/>
      </w:pPr>
      <w:rPr>
        <w:rFonts w:hint="default"/>
        <w:lang w:val="en-US" w:eastAsia="zh-CN" w:bidi="ar-SA"/>
      </w:rPr>
    </w:lvl>
    <w:lvl w:ilvl="3">
      <w:start w:val="0"/>
      <w:numFmt w:val="bullet"/>
      <w:lvlText w:val="•"/>
      <w:lvlJc w:val="left"/>
      <w:pPr>
        <w:ind w:left="2689" w:hanging="426"/>
      </w:pPr>
      <w:rPr>
        <w:rFonts w:hint="default"/>
        <w:lang w:val="en-US" w:eastAsia="zh-CN" w:bidi="ar-SA"/>
      </w:rPr>
    </w:lvl>
    <w:lvl w:ilvl="4">
      <w:start w:val="0"/>
      <w:numFmt w:val="bullet"/>
      <w:lvlText w:val="•"/>
      <w:lvlJc w:val="left"/>
      <w:pPr>
        <w:ind w:left="3546" w:hanging="426"/>
      </w:pPr>
      <w:rPr>
        <w:rFonts w:hint="default"/>
        <w:lang w:val="en-US" w:eastAsia="zh-CN" w:bidi="ar-SA"/>
      </w:rPr>
    </w:lvl>
    <w:lvl w:ilvl="5">
      <w:start w:val="0"/>
      <w:numFmt w:val="bullet"/>
      <w:lvlText w:val="•"/>
      <w:lvlJc w:val="left"/>
      <w:pPr>
        <w:ind w:left="4403" w:hanging="426"/>
      </w:pPr>
      <w:rPr>
        <w:rFonts w:hint="default"/>
        <w:lang w:val="en-US" w:eastAsia="zh-CN" w:bidi="ar-SA"/>
      </w:rPr>
    </w:lvl>
    <w:lvl w:ilvl="6">
      <w:start w:val="0"/>
      <w:numFmt w:val="bullet"/>
      <w:lvlText w:val="•"/>
      <w:lvlJc w:val="left"/>
      <w:pPr>
        <w:ind w:left="5259" w:hanging="426"/>
      </w:pPr>
      <w:rPr>
        <w:rFonts w:hint="default"/>
        <w:lang w:val="en-US" w:eastAsia="zh-CN" w:bidi="ar-SA"/>
      </w:rPr>
    </w:lvl>
    <w:lvl w:ilvl="7">
      <w:start w:val="0"/>
      <w:numFmt w:val="bullet"/>
      <w:lvlText w:val="•"/>
      <w:lvlJc w:val="left"/>
      <w:pPr>
        <w:ind w:left="6116" w:hanging="426"/>
      </w:pPr>
      <w:rPr>
        <w:rFonts w:hint="default"/>
        <w:lang w:val="en-US" w:eastAsia="zh-CN" w:bidi="ar-SA"/>
      </w:rPr>
    </w:lvl>
    <w:lvl w:ilvl="8">
      <w:start w:val="0"/>
      <w:numFmt w:val="bullet"/>
      <w:lvlText w:val="•"/>
      <w:lvlJc w:val="left"/>
      <w:pPr>
        <w:ind w:left="6973" w:hanging="426"/>
      </w:pPr>
      <w:rPr>
        <w:rFonts w:hint="default"/>
        <w:lang w:val="en-US" w:eastAsia="zh-CN" w:bidi="ar-SA"/>
      </w:rPr>
    </w:lvl>
  </w:abstractNum>
  <w:abstractNum w:abstractNumId="0">
    <w:multiLevelType w:val="hybridMultilevel"/>
    <w:lvl w:ilvl="0">
      <w:start w:val="1"/>
      <w:numFmt w:val="decimal"/>
      <w:lvlText w:val="%1."/>
      <w:lvlJc w:val="left"/>
      <w:pPr>
        <w:ind w:left="120" w:hanging="426"/>
        <w:jc w:val="left"/>
      </w:pPr>
      <w:rPr>
        <w:rFonts w:hint="default" w:ascii="宋体" w:hAnsi="宋体" w:eastAsia="宋体" w:cs="宋体"/>
        <w:spacing w:val="0"/>
        <w:w w:val="100"/>
        <w:sz w:val="26"/>
        <w:szCs w:val="26"/>
        <w:lang w:val="en-US" w:eastAsia="zh-CN" w:bidi="ar-SA"/>
      </w:rPr>
    </w:lvl>
    <w:lvl w:ilvl="1">
      <w:start w:val="0"/>
      <w:numFmt w:val="bullet"/>
      <w:lvlText w:val="•"/>
      <w:lvlJc w:val="left"/>
      <w:pPr>
        <w:ind w:left="976" w:hanging="426"/>
      </w:pPr>
      <w:rPr>
        <w:rFonts w:hint="default"/>
        <w:lang w:val="en-US" w:eastAsia="zh-CN" w:bidi="ar-SA"/>
      </w:rPr>
    </w:lvl>
    <w:lvl w:ilvl="2">
      <w:start w:val="0"/>
      <w:numFmt w:val="bullet"/>
      <w:lvlText w:val="•"/>
      <w:lvlJc w:val="left"/>
      <w:pPr>
        <w:ind w:left="1833" w:hanging="426"/>
      </w:pPr>
      <w:rPr>
        <w:rFonts w:hint="default"/>
        <w:lang w:val="en-US" w:eastAsia="zh-CN" w:bidi="ar-SA"/>
      </w:rPr>
    </w:lvl>
    <w:lvl w:ilvl="3">
      <w:start w:val="0"/>
      <w:numFmt w:val="bullet"/>
      <w:lvlText w:val="•"/>
      <w:lvlJc w:val="left"/>
      <w:pPr>
        <w:ind w:left="2689" w:hanging="426"/>
      </w:pPr>
      <w:rPr>
        <w:rFonts w:hint="default"/>
        <w:lang w:val="en-US" w:eastAsia="zh-CN" w:bidi="ar-SA"/>
      </w:rPr>
    </w:lvl>
    <w:lvl w:ilvl="4">
      <w:start w:val="0"/>
      <w:numFmt w:val="bullet"/>
      <w:lvlText w:val="•"/>
      <w:lvlJc w:val="left"/>
      <w:pPr>
        <w:ind w:left="3546" w:hanging="426"/>
      </w:pPr>
      <w:rPr>
        <w:rFonts w:hint="default"/>
        <w:lang w:val="en-US" w:eastAsia="zh-CN" w:bidi="ar-SA"/>
      </w:rPr>
    </w:lvl>
    <w:lvl w:ilvl="5">
      <w:start w:val="0"/>
      <w:numFmt w:val="bullet"/>
      <w:lvlText w:val="•"/>
      <w:lvlJc w:val="left"/>
      <w:pPr>
        <w:ind w:left="4403" w:hanging="426"/>
      </w:pPr>
      <w:rPr>
        <w:rFonts w:hint="default"/>
        <w:lang w:val="en-US" w:eastAsia="zh-CN" w:bidi="ar-SA"/>
      </w:rPr>
    </w:lvl>
    <w:lvl w:ilvl="6">
      <w:start w:val="0"/>
      <w:numFmt w:val="bullet"/>
      <w:lvlText w:val="•"/>
      <w:lvlJc w:val="left"/>
      <w:pPr>
        <w:ind w:left="5259" w:hanging="426"/>
      </w:pPr>
      <w:rPr>
        <w:rFonts w:hint="default"/>
        <w:lang w:val="en-US" w:eastAsia="zh-CN" w:bidi="ar-SA"/>
      </w:rPr>
    </w:lvl>
    <w:lvl w:ilvl="7">
      <w:start w:val="0"/>
      <w:numFmt w:val="bullet"/>
      <w:lvlText w:val="•"/>
      <w:lvlJc w:val="left"/>
      <w:pPr>
        <w:ind w:left="6116" w:hanging="426"/>
      </w:pPr>
      <w:rPr>
        <w:rFonts w:hint="default"/>
        <w:lang w:val="en-US" w:eastAsia="zh-CN" w:bidi="ar-SA"/>
      </w:rPr>
    </w:lvl>
    <w:lvl w:ilvl="8">
      <w:start w:val="0"/>
      <w:numFmt w:val="bullet"/>
      <w:lvlText w:val="•"/>
      <w:lvlJc w:val="left"/>
      <w:pPr>
        <w:ind w:left="6973" w:hanging="426"/>
      </w:pPr>
      <w:rPr>
        <w:rFonts w:hint="default"/>
        <w:lang w:val="en-US" w:eastAsia="zh-CN"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BodyText" w:type="paragraph">
    <w:name w:val="Body Text"/>
    <w:basedOn w:val="Normal"/>
    <w:uiPriority w:val="1"/>
    <w:qFormat/>
    <w:pPr>
      <w:ind w:left="120"/>
    </w:pPr>
    <w:rPr>
      <w:rFonts w:ascii="宋体" w:hAnsi="宋体" w:eastAsia="宋体" w:cs="宋体"/>
      <w:sz w:val="28"/>
      <w:szCs w:val="28"/>
      <w:lang w:val="en-US" w:eastAsia="zh-CN" w:bidi="ar-SA"/>
    </w:rPr>
  </w:style>
  <w:style w:styleId="Heading1" w:type="paragraph">
    <w:name w:val="Heading 1"/>
    <w:basedOn w:val="Normal"/>
    <w:uiPriority w:val="1"/>
    <w:qFormat/>
    <w:pPr>
      <w:spacing w:before="50"/>
      <w:ind w:left="39"/>
      <w:jc w:val="center"/>
      <w:outlineLvl w:val="1"/>
    </w:pPr>
    <w:rPr>
      <w:rFonts w:ascii="宋体" w:hAnsi="宋体" w:eastAsia="宋体" w:cs="宋体"/>
      <w:b/>
      <w:bCs/>
      <w:sz w:val="36"/>
      <w:szCs w:val="36"/>
      <w:lang w:val="en-US" w:eastAsia="zh-CN" w:bidi="ar-SA"/>
    </w:rPr>
  </w:style>
  <w:style w:styleId="Heading2" w:type="paragraph">
    <w:name w:val="Heading 2"/>
    <w:basedOn w:val="Normal"/>
    <w:uiPriority w:val="1"/>
    <w:qFormat/>
    <w:pPr>
      <w:spacing w:before="61"/>
      <w:outlineLvl w:val="2"/>
    </w:pPr>
    <w:rPr>
      <w:rFonts w:ascii="宋体" w:hAnsi="宋体" w:eastAsia="宋体" w:cs="宋体"/>
      <w:b/>
      <w:bCs/>
      <w:sz w:val="28"/>
      <w:szCs w:val="28"/>
      <w:lang w:val="en-US" w:eastAsia="zh-CN" w:bidi="ar-SA"/>
    </w:rPr>
  </w:style>
  <w:style w:styleId="ListParagraph" w:type="paragraph">
    <w:name w:val="List Paragraph"/>
    <w:basedOn w:val="Normal"/>
    <w:uiPriority w:val="1"/>
    <w:qFormat/>
    <w:pPr>
      <w:ind w:left="120" w:firstLine="549"/>
    </w:pPr>
    <w:rPr>
      <w:rFonts w:ascii="宋体" w:hAnsi="宋体" w:eastAsia="宋体" w:cs="宋体"/>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xuejie</dc:creator>
  <dc:title>附件5：</dc:title>
  <dcterms:created xsi:type="dcterms:W3CDTF">2022-02-11T13:12:46Z</dcterms:created>
  <dcterms:modified xsi:type="dcterms:W3CDTF">2022-02-11T13:12:46Z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Creator">
    <vt:lpwstr>Microsoft® Word 2010</vt:lpwstr>
  </property>
  <property fmtid="{D5CDD505-2E9C-101B-9397-08002B2CF9AE}" pid="4" name="LastSaved">
    <vt:filetime>2022-02-11T00:00:00Z</vt:filetime>
  </property>
</Properties>
</file>