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4"/>
        <w:rPr>
          <w:rFonts w:ascii="黑体" w:eastAsia="黑体" w:hint="eastAsia"/>
        </w:rPr>
      </w:pPr>
      <w:r>
        <w:rPr>
          <w:rFonts w:ascii="黑体" w:eastAsia="黑体" w:hint="eastAsia"/>
        </w:rPr>
        <w:t>附件6：</w:t>
      </w:r>
    </w:p>
    <w:p>
      <w:pPr>
        <w:pStyle w:val="BodyText"/>
        <w:ind w:left="0"/>
        <w:rPr>
          <w:rFonts w:ascii="黑体"/>
        </w:rPr>
      </w:pPr>
    </w:p>
    <w:p>
      <w:pPr>
        <w:pStyle w:val="BodyText"/>
        <w:spacing w:before="6"/>
        <w:ind w:left="0"/>
        <w:rPr>
          <w:rFonts w:ascii="黑体"/>
          <w:sz w:val="37"/>
        </w:rPr>
      </w:pPr>
    </w:p>
    <w:p>
      <w:pPr>
        <w:pStyle w:val="Heading1"/>
        <w:spacing w:before="0"/>
        <w:ind w:left="1224" w:right="1142"/>
        <w:jc w:val="center"/>
      </w:pPr>
      <w:r>
        <w:rPr/>
        <w:t>管理会计应用指引第600号</w:t>
      </w:r>
      <w:r>
        <w:rPr>
          <w:rFonts w:ascii="黑体" w:hAnsi="黑体" w:eastAsia="黑体" w:hint="eastAsia"/>
          <w:b w:val="0"/>
        </w:rPr>
        <w:t>——</w:t>
      </w:r>
      <w:r>
        <w:rPr/>
        <w:t>绩效管理</w:t>
      </w:r>
      <w:r>
        <w:rPr>
          <w:w w:val="99"/>
        </w:rPr>
        <w:t> </w:t>
      </w:r>
    </w:p>
    <w:p>
      <w:pPr>
        <w:pStyle w:val="BodyText"/>
        <w:ind w:left="0"/>
        <w:rPr>
          <w:b/>
          <w:sz w:val="36"/>
        </w:rPr>
      </w:pPr>
    </w:p>
    <w:p>
      <w:pPr>
        <w:pStyle w:val="BodyText"/>
        <w:spacing w:before="5"/>
        <w:ind w:left="0"/>
        <w:rPr>
          <w:b/>
          <w:sz w:val="29"/>
        </w:rPr>
      </w:pPr>
    </w:p>
    <w:p>
      <w:pPr>
        <w:pStyle w:val="BodyText"/>
        <w:ind w:left="1047" w:right="1142"/>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ind w:right="126" w:firstLine="583"/>
      </w:pPr>
      <w:r>
        <w:rPr>
          <w:rFonts w:ascii="黑体" w:eastAsia="黑体" w:hint="eastAsia"/>
        </w:rPr>
        <w:t>第一条</w:t>
      </w:r>
      <w:r>
        <w:rPr/>
        <w:t> </w:t>
      </w:r>
      <w:r>
        <w:rPr/>
        <w:t>为了促进企业加强绩效管理，激发和调动员工积极性， 增强价值创造力，根据《管理会计基本指引》，制定本指引。 </w:t>
      </w:r>
    </w:p>
    <w:p>
      <w:pPr>
        <w:pStyle w:val="BodyText"/>
        <w:spacing w:line="417" w:lineRule="auto"/>
        <w:ind w:right="268" w:firstLine="583"/>
        <w:jc w:val="both"/>
      </w:pPr>
      <w:r>
        <w:rPr>
          <w:rFonts w:ascii="黑体" w:eastAsia="黑体" w:hint="eastAsia"/>
        </w:rPr>
        <w:t>第二条</w:t>
      </w:r>
      <w:r>
        <w:rPr/>
        <w:t> </w:t>
      </w:r>
      <w:r>
        <w:rPr>
          <w:spacing w:val="2"/>
        </w:rPr>
        <w:t>绩效管理，是指企业与所属单位</w:t>
      </w:r>
      <w:r>
        <w:rPr>
          <w:spacing w:val="11"/>
        </w:rPr>
        <w:t>（</w:t>
      </w:r>
      <w:r>
        <w:rPr>
          <w:spacing w:val="10"/>
        </w:rPr>
        <w:t>部门</w:t>
      </w:r>
      <w:r>
        <w:rPr>
          <w:spacing w:val="-137"/>
        </w:rPr>
        <w:t>）</w:t>
      </w:r>
      <w:r>
        <w:rPr/>
        <w:t>、员工之间就</w:t>
      </w:r>
      <w:r>
        <w:rPr>
          <w:spacing w:val="13"/>
        </w:rPr>
        <w:t>绩效目标及如何实现绩效目标达成共识，并帮助和激励员工取得优异绩效，从而实现企业目标的管理过程。绩效管理的核心是绩</w:t>
      </w:r>
      <w:r>
        <w:rPr>
          <w:spacing w:val="9"/>
        </w:rPr>
        <w:t>效评价和激励管理。</w:t>
      </w:r>
      <w:r>
        <w:rPr/>
        <w:t> </w:t>
      </w:r>
    </w:p>
    <w:p>
      <w:pPr>
        <w:pStyle w:val="BodyText"/>
        <w:spacing w:line="417" w:lineRule="auto"/>
        <w:ind w:right="270" w:firstLine="479"/>
        <w:jc w:val="both"/>
      </w:pPr>
      <w:r>
        <w:rPr/>
        <w:t>绩效评价，是指企业运用系统的工具方法，对一定时期内企业营运效率与效果进行综合评判的管理活动。绩效评价是企业实施激励管理的重要依据。 </w:t>
      </w:r>
    </w:p>
    <w:p>
      <w:pPr>
        <w:pStyle w:val="BodyText"/>
        <w:spacing w:line="417" w:lineRule="auto"/>
        <w:ind w:right="275" w:firstLine="479"/>
        <w:jc w:val="both"/>
      </w:pPr>
      <w:r>
        <w:rPr/>
        <w:t>激励管理，是指企业运用系统的工具方法，调动企业员工的积极性、主动性和创造性，激发企业员工工作动力的管理活动。激励管理是促进企业绩效提升的重要手段。 </w:t>
      </w:r>
    </w:p>
    <w:p>
      <w:pPr>
        <w:pStyle w:val="BodyText"/>
        <w:ind w:left="743"/>
      </w:pPr>
      <w:r>
        <w:rPr>
          <w:rFonts w:ascii="黑体" w:eastAsia="黑体" w:hint="eastAsia"/>
        </w:rPr>
        <w:t>第三条</w:t>
      </w:r>
      <w:r>
        <w:rPr/>
        <w:t> </w:t>
      </w:r>
      <w:r>
        <w:rPr/>
        <w:t>企业进行绩效管理，一般应遵循以下原则：  </w:t>
      </w:r>
    </w:p>
    <w:p>
      <w:pPr>
        <w:pStyle w:val="BodyText"/>
        <w:spacing w:before="8"/>
        <w:ind w:left="0"/>
        <w:rPr>
          <w:sz w:val="20"/>
        </w:rPr>
      </w:pPr>
    </w:p>
    <w:p>
      <w:pPr>
        <w:pStyle w:val="BodyText"/>
        <w:spacing w:line="417" w:lineRule="auto"/>
        <w:ind w:right="198" w:firstLine="479"/>
      </w:pPr>
      <w:r>
        <w:rPr/>
        <w:t>（一）战略导向原则。绩效管理应为企业实现战略目标服务， 支持价值创造能力提升。 </w:t>
      </w:r>
    </w:p>
    <w:p>
      <w:pPr>
        <w:pStyle w:val="BodyText"/>
        <w:spacing w:line="417" w:lineRule="auto"/>
        <w:ind w:right="275" w:firstLine="479"/>
      </w:pPr>
      <w:r>
        <w:rPr/>
        <w:t>（二）客观公正原则。绩效管理应实事求是，评价过程应客观公正，激励实施应公平合理。 </w:t>
      </w:r>
    </w:p>
    <w:p>
      <w:pPr>
        <w:spacing w:after="0" w:line="417" w:lineRule="auto"/>
        <w:sectPr>
          <w:footerReference w:type="default" r:id="rId5"/>
          <w:type w:val="continuous"/>
          <w:pgSz w:w="11910" w:h="16840"/>
          <w:pgMar w:footer="974" w:top="1520" w:bottom="1160" w:left="1640" w:right="1540"/>
          <w:pgNumType w:start="1"/>
        </w:sectPr>
      </w:pPr>
    </w:p>
    <w:p>
      <w:pPr>
        <w:pStyle w:val="BodyText"/>
        <w:spacing w:line="417" w:lineRule="auto" w:before="34"/>
        <w:ind w:right="268" w:firstLine="479"/>
      </w:pPr>
      <w:r>
        <w:rPr/>
        <w:t>（三）规范统一原则。绩效管理的政策和制度应统一明确，并严格执行规定的程序和流程。 </w:t>
      </w:r>
    </w:p>
    <w:p>
      <w:pPr>
        <w:pStyle w:val="BodyText"/>
        <w:spacing w:line="417" w:lineRule="auto"/>
        <w:ind w:right="275" w:firstLine="479"/>
      </w:pPr>
      <w:r>
        <w:rPr/>
        <w:t>（四）科学有效原则。绩效管理应做到目标符合实际，方法科学有效，激励与约束并重，操作简便易行。 </w:t>
      </w:r>
    </w:p>
    <w:p>
      <w:pPr>
        <w:pStyle w:val="BodyText"/>
        <w:spacing w:line="417" w:lineRule="auto"/>
        <w:ind w:right="256" w:firstLine="559"/>
      </w:pPr>
      <w:r>
        <w:rPr>
          <w:rFonts w:ascii="黑体" w:eastAsia="黑体" w:hint="eastAsia"/>
        </w:rPr>
        <w:t>第四条</w:t>
      </w:r>
      <w:r>
        <w:rPr/>
        <w:t> </w:t>
      </w:r>
      <w:r>
        <w:rPr/>
        <w:t>绩效管理领域应用的管理会计工具方法，一般包括关键绩效指标法、经济增加值法、平衡计分卡、股权激励等。 </w:t>
      </w:r>
    </w:p>
    <w:p>
      <w:pPr>
        <w:pStyle w:val="BodyText"/>
        <w:spacing w:line="417" w:lineRule="auto"/>
        <w:ind w:right="255" w:firstLine="559"/>
        <w:jc w:val="both"/>
      </w:pPr>
      <w:r>
        <w:rPr>
          <w:spacing w:val="-10"/>
        </w:rPr>
        <w:t>企业可根据自身战略目标、业务特点和管理需要，结合不同工具</w:t>
      </w:r>
      <w:r>
        <w:rPr>
          <w:spacing w:val="3"/>
        </w:rPr>
        <w:t>方法的特征及适用范围，选择一种适合的绩效管理工具方法单独使</w:t>
      </w:r>
      <w:r>
        <w:rPr>
          <w:spacing w:val="-3"/>
        </w:rPr>
        <w:t>用，也可选择两种或两种以上的工具方法综合运用。 </w:t>
      </w:r>
    </w:p>
    <w:p>
      <w:pPr>
        <w:pStyle w:val="BodyText"/>
        <w:ind w:left="0"/>
        <w:rPr>
          <w:sz w:val="20"/>
        </w:rPr>
      </w:pPr>
    </w:p>
    <w:p>
      <w:pPr>
        <w:pStyle w:val="BodyText"/>
        <w:spacing w:before="11"/>
        <w:ind w:left="0"/>
        <w:rPr>
          <w:sz w:val="23"/>
        </w:rPr>
      </w:pPr>
    </w:p>
    <w:p>
      <w:pPr>
        <w:pStyle w:val="BodyText"/>
        <w:spacing w:before="61"/>
        <w:ind w:left="1049" w:right="1142"/>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before="1"/>
        <w:ind w:right="163" w:firstLine="559"/>
      </w:pPr>
      <w:r>
        <w:rPr>
          <w:rFonts w:ascii="黑体" w:eastAsia="黑体" w:hint="eastAsia"/>
        </w:rPr>
        <w:t>第五条</w:t>
      </w:r>
      <w:r>
        <w:rPr/>
        <w:t> </w:t>
      </w:r>
      <w:r>
        <w:rPr/>
        <w:t>企业进行绩效管理时，应设立薪酬与考核委员会或类似</w:t>
      </w:r>
      <w:r>
        <w:rPr>
          <w:spacing w:val="-4"/>
        </w:rPr>
        <w:t>机构，主要负责审核绩效管理的政策和制度、绩效计划与激励计划、</w:t>
      </w:r>
      <w:r>
        <w:rPr>
          <w:spacing w:val="-9"/>
        </w:rPr>
        <w:t>绩效评价结果与激励实施方案、绩效评价与激励管理报告等，协调解</w:t>
      </w:r>
      <w:r>
        <w:rPr>
          <w:spacing w:val="-6"/>
        </w:rPr>
        <w:t>决绩效管理工作中的重大问题。 </w:t>
      </w:r>
    </w:p>
    <w:p>
      <w:pPr>
        <w:pStyle w:val="BodyText"/>
        <w:spacing w:line="417" w:lineRule="auto"/>
        <w:ind w:right="253" w:firstLine="479"/>
        <w:jc w:val="both"/>
      </w:pPr>
      <w:r>
        <w:rPr>
          <w:spacing w:val="-5"/>
        </w:rPr>
        <w:t>薪酬与考核委员会或类似机构下设绩效管理工作机构，主要负责</w:t>
      </w:r>
      <w:r>
        <w:rPr>
          <w:spacing w:val="-10"/>
        </w:rPr>
        <w:t>制定绩效管理的政策和制度、绩效计划与激励计划，组织绩效计划与激励计划的执行与实施，编制绩效评价与激励管理报告等，协调解决</w:t>
      </w:r>
      <w:r>
        <w:rPr>
          <w:spacing w:val="-7"/>
        </w:rPr>
        <w:t>绩效管理工作中的日常问题。 </w:t>
      </w:r>
    </w:p>
    <w:p>
      <w:pPr>
        <w:pStyle w:val="BodyText"/>
        <w:spacing w:line="417" w:lineRule="auto"/>
        <w:ind w:right="256" w:firstLine="559"/>
      </w:pPr>
      <w:r>
        <w:rPr>
          <w:rFonts w:ascii="黑体" w:eastAsia="黑体" w:hint="eastAsia"/>
        </w:rPr>
        <w:t>第六条</w:t>
      </w:r>
      <w:r>
        <w:rPr/>
        <w:t> </w:t>
      </w:r>
      <w:r>
        <w:rPr/>
        <w:t>企业应建立健全绩效管理的制度体系，明确绩效管理的工作目标、职责分工、工作程序、工具方法、信息报告等内容。 </w:t>
      </w:r>
    </w:p>
    <w:p>
      <w:pPr>
        <w:pStyle w:val="BodyText"/>
        <w:ind w:left="719"/>
      </w:pPr>
      <w:r>
        <w:rPr>
          <w:rFonts w:ascii="黑体" w:eastAsia="黑体" w:hint="eastAsia"/>
        </w:rPr>
        <w:t>第七条</w:t>
      </w:r>
      <w:r>
        <w:rPr/>
        <w:t> </w:t>
      </w:r>
      <w:r>
        <w:rPr/>
        <w:t>企业应建立有助于绩效管理实施的信息系统，为绩效管</w:t>
      </w:r>
    </w:p>
    <w:p>
      <w:pPr>
        <w:spacing w:after="0"/>
        <w:sectPr>
          <w:pgSz w:w="11910" w:h="16840"/>
          <w:pgMar w:header="0" w:footer="974" w:top="1520" w:bottom="1160" w:left="1640" w:right="1540"/>
        </w:sectPr>
      </w:pPr>
    </w:p>
    <w:p>
      <w:pPr>
        <w:pStyle w:val="BodyText"/>
        <w:spacing w:before="34"/>
      </w:pPr>
      <w:r>
        <w:rPr/>
        <w:t>理工作提供信息支持。 </w:t>
      </w:r>
    </w:p>
    <w:p>
      <w:pPr>
        <w:pStyle w:val="BodyText"/>
        <w:ind w:left="0"/>
      </w:pPr>
    </w:p>
    <w:p>
      <w:pPr>
        <w:pStyle w:val="BodyText"/>
        <w:spacing w:before="5"/>
        <w:ind w:left="0"/>
        <w:rPr>
          <w:sz w:val="41"/>
        </w:rPr>
      </w:pPr>
    </w:p>
    <w:p>
      <w:pPr>
        <w:pStyle w:val="BodyText"/>
        <w:spacing w:before="1"/>
        <w:ind w:left="1181" w:right="1142"/>
        <w:jc w:val="center"/>
      </w:pPr>
      <w:r>
        <w:rPr>
          <w:rFonts w:ascii="黑体" w:eastAsia="黑体" w:hint="eastAsia"/>
        </w:rPr>
        <w:t>第三章 绩效计划与激励计划的制定</w:t>
      </w:r>
      <w:r>
        <w:rPr/>
        <w:t> </w:t>
      </w:r>
    </w:p>
    <w:p>
      <w:pPr>
        <w:pStyle w:val="BodyText"/>
        <w:spacing w:before="8"/>
        <w:ind w:left="0"/>
        <w:rPr>
          <w:sz w:val="20"/>
        </w:rPr>
      </w:pPr>
    </w:p>
    <w:p>
      <w:pPr>
        <w:pStyle w:val="BodyText"/>
        <w:spacing w:line="417" w:lineRule="auto" w:before="1"/>
        <w:ind w:right="256" w:firstLine="559"/>
        <w:jc w:val="both"/>
      </w:pPr>
      <w:r>
        <w:rPr>
          <w:rFonts w:ascii="黑体" w:eastAsia="黑体" w:hint="eastAsia"/>
        </w:rPr>
        <w:t>第八条</w:t>
      </w:r>
      <w:r>
        <w:rPr>
          <w:spacing w:val="20"/>
        </w:rPr>
        <w:t> </w:t>
      </w:r>
      <w:r>
        <w:rPr>
          <w:spacing w:val="-2"/>
        </w:rPr>
        <w:t>企业应用绩效管理工具方法，一般按照制定绩效计划与</w:t>
      </w:r>
      <w:r>
        <w:rPr>
          <w:spacing w:val="-10"/>
        </w:rPr>
        <w:t>激励计划、执行绩效计划与激励计划、实施绩效评价与激励、编制绩</w:t>
      </w:r>
      <w:r>
        <w:rPr>
          <w:spacing w:val="-7"/>
        </w:rPr>
        <w:t>效评价与激励管理报告等程序进行。</w:t>
      </w:r>
      <w:r>
        <w:rPr/>
        <w:t> </w:t>
      </w:r>
    </w:p>
    <w:p>
      <w:pPr>
        <w:pStyle w:val="BodyText"/>
        <w:spacing w:line="417" w:lineRule="auto"/>
        <w:ind w:right="163" w:firstLine="559"/>
      </w:pPr>
      <w:r>
        <w:rPr>
          <w:rFonts w:ascii="黑体" w:eastAsia="黑体" w:hint="eastAsia"/>
        </w:rPr>
        <w:t>第九条</w:t>
      </w:r>
      <w:r>
        <w:rPr>
          <w:spacing w:val="25"/>
        </w:rPr>
        <w:t> </w:t>
      </w:r>
      <w:r>
        <w:rPr/>
        <w:t>企业应根据战略目标，综合考虑绩效评价期间宏观经济</w:t>
      </w:r>
      <w:r>
        <w:rPr>
          <w:spacing w:val="-4"/>
        </w:rPr>
        <w:t>政策、外部市场环境、内部管理需要等因素，结合业务计划与预算， 按照上下结合、分级编制、逐级分解的程序，在沟通反馈的基础上， </w:t>
      </w:r>
      <w:r>
        <w:rPr>
          <w:spacing w:val="-3"/>
        </w:rPr>
        <w:t>编制各层级的绩效计划与激励计划。</w:t>
      </w:r>
      <w:r>
        <w:rPr/>
        <w:t> </w:t>
      </w:r>
    </w:p>
    <w:p>
      <w:pPr>
        <w:pStyle w:val="BodyText"/>
        <w:spacing w:line="417" w:lineRule="auto"/>
        <w:ind w:right="115" w:firstLine="559"/>
        <w:jc w:val="both"/>
      </w:pPr>
      <w:r>
        <w:rPr>
          <w:rFonts w:ascii="黑体" w:eastAsia="黑体" w:hint="eastAsia"/>
        </w:rPr>
        <w:t>第十条</w:t>
      </w:r>
      <w:r>
        <w:rPr/>
        <w:t> </w:t>
      </w:r>
      <w:r>
        <w:rPr/>
        <w:t>绩效计划是企业开展绩效评价工作的行动方案，包括构</w:t>
      </w:r>
      <w:r>
        <w:rPr>
          <w:spacing w:val="-11"/>
        </w:rPr>
        <w:t>建指标体系、分配指标权重、确定绩效目标值、选择计分方法和评价</w:t>
      </w:r>
      <w:r>
        <w:rPr>
          <w:spacing w:val="-12"/>
        </w:rPr>
        <w:t>周期、拟定绩效责任书等一系列管理活动。制定绩效计划通常从企业</w:t>
      </w:r>
      <w:r>
        <w:rPr>
          <w:spacing w:val="-11"/>
        </w:rPr>
        <w:t>级开始，层层分解到所属单位</w:t>
      </w:r>
      <w:r>
        <w:rPr/>
        <w:t>（</w:t>
      </w:r>
      <w:r>
        <w:rPr>
          <w:spacing w:val="-2"/>
        </w:rPr>
        <w:t>部门</w:t>
      </w:r>
      <w:r>
        <w:rPr>
          <w:spacing w:val="-87"/>
        </w:rPr>
        <w:t>）</w:t>
      </w:r>
      <w:r>
        <w:rPr>
          <w:spacing w:val="-21"/>
        </w:rPr>
        <w:t>，最终落实到具体岗位和员工。</w:t>
      </w:r>
      <w:r>
        <w:rPr/>
        <w:t> </w:t>
      </w:r>
    </w:p>
    <w:p>
      <w:pPr>
        <w:pStyle w:val="BodyText"/>
        <w:spacing w:line="417" w:lineRule="auto"/>
        <w:ind w:right="256" w:firstLine="559"/>
        <w:jc w:val="both"/>
      </w:pPr>
      <w:r>
        <w:rPr>
          <w:rFonts w:ascii="黑体" w:eastAsia="黑体" w:hint="eastAsia"/>
        </w:rPr>
        <w:t>第十一条</w:t>
      </w:r>
      <w:r>
        <w:rPr/>
        <w:t> </w:t>
      </w:r>
      <w:r>
        <w:rPr>
          <w:spacing w:val="-1"/>
        </w:rPr>
        <w:t>企业可单独或综合运用关键绩效指标法、经济增加值</w:t>
      </w:r>
      <w:r>
        <w:rPr>
          <w:spacing w:val="-12"/>
        </w:rPr>
        <w:t>法、平衡计分卡等工具方法构建指标体系。指标体系应反映企业战略</w:t>
      </w:r>
      <w:r>
        <w:rPr>
          <w:spacing w:val="-3"/>
        </w:rPr>
        <w:t>目标实现的关键成功因素，具体指标应含义明确、可度量。 </w:t>
      </w:r>
    </w:p>
    <w:p>
      <w:pPr>
        <w:pStyle w:val="BodyText"/>
        <w:spacing w:line="417" w:lineRule="auto"/>
        <w:ind w:right="256" w:firstLine="559"/>
        <w:jc w:val="both"/>
      </w:pPr>
      <w:r>
        <w:rPr>
          <w:rFonts w:ascii="黑体" w:eastAsia="黑体" w:hint="eastAsia"/>
          <w:spacing w:val="12"/>
        </w:rPr>
        <w:t>第十二条</w:t>
      </w:r>
      <w:r>
        <w:rPr>
          <w:spacing w:val="12"/>
        </w:rPr>
        <w:t> </w:t>
      </w:r>
      <w:r>
        <w:rPr>
          <w:spacing w:val="8"/>
        </w:rPr>
        <w:t>指标权重的确定可选择运用主观赋权法和客观赋权</w:t>
      </w:r>
      <w:r>
        <w:rPr>
          <w:spacing w:val="-12"/>
        </w:rPr>
        <w:t>法，也可综合运用这两种方法。主观赋权法是利用专家或个人的知识</w:t>
      </w:r>
      <w:r>
        <w:rPr>
          <w:spacing w:val="-9"/>
        </w:rPr>
        <w:t>与经验来确定指标权重的方法，如德尔菲法、层次分析法等。客观赋</w:t>
      </w:r>
      <w:r>
        <w:rPr>
          <w:spacing w:val="-12"/>
        </w:rPr>
        <w:t>权法是从指标的统计性质入手，由调查数据确定指标权重的方法，如</w:t>
      </w:r>
      <w:r>
        <w:rPr>
          <w:spacing w:val="-7"/>
        </w:rPr>
        <w:t>主成分分析法、均方差法等。 </w:t>
      </w:r>
    </w:p>
    <w:p>
      <w:pPr>
        <w:spacing w:after="0" w:line="417" w:lineRule="auto"/>
        <w:jc w:val="both"/>
        <w:sectPr>
          <w:pgSz w:w="11910" w:h="16840"/>
          <w:pgMar w:header="0" w:footer="974" w:top="1520" w:bottom="1160" w:left="1640" w:right="1540"/>
        </w:sectPr>
      </w:pPr>
    </w:p>
    <w:p>
      <w:pPr>
        <w:pStyle w:val="BodyText"/>
        <w:spacing w:line="417" w:lineRule="auto" w:before="34"/>
        <w:ind w:right="252" w:firstLine="559"/>
        <w:jc w:val="both"/>
      </w:pPr>
      <w:r>
        <w:rPr>
          <w:rFonts w:ascii="黑体" w:eastAsia="黑体" w:hint="eastAsia"/>
        </w:rPr>
        <w:t>第十三条</w:t>
      </w:r>
      <w:r>
        <w:rPr/>
        <w:t> </w:t>
      </w:r>
      <w:r>
        <w:rPr/>
        <w:t>绩效目标值的确定可参考内部标准与外部标准。内部</w:t>
      </w:r>
      <w:r>
        <w:rPr>
          <w:spacing w:val="-10"/>
        </w:rPr>
        <w:t>标准有预算标准、历史标准、经验标准等；外部标准有行业标准、竞</w:t>
      </w:r>
      <w:r>
        <w:rPr>
          <w:spacing w:val="-3"/>
        </w:rPr>
        <w:t>争对手标准、标杆标准等。 </w:t>
      </w:r>
    </w:p>
    <w:p>
      <w:pPr>
        <w:pStyle w:val="BodyText"/>
        <w:spacing w:line="417" w:lineRule="auto"/>
        <w:ind w:right="115" w:firstLine="583"/>
      </w:pPr>
      <w:r>
        <w:rPr>
          <w:rFonts w:ascii="黑体" w:eastAsia="黑体" w:hint="eastAsia"/>
        </w:rPr>
        <w:t>第十四条</w:t>
      </w:r>
      <w:r>
        <w:rPr/>
        <w:t> </w:t>
      </w:r>
      <w:r>
        <w:rPr/>
        <w:t>绩效评价计分方法可分为定量法和定性法。定量法主要有功效系数法和综合指数法等；定性法主要有素质法和行为法等。 </w:t>
      </w:r>
    </w:p>
    <w:p>
      <w:pPr>
        <w:pStyle w:val="BodyText"/>
        <w:spacing w:line="417" w:lineRule="auto"/>
        <w:ind w:right="116" w:firstLine="559"/>
      </w:pPr>
      <w:r>
        <w:rPr>
          <w:rFonts w:ascii="黑体" w:eastAsia="黑体" w:hint="eastAsia"/>
          <w:spacing w:val="-1"/>
        </w:rPr>
        <w:t>第十五条</w:t>
      </w:r>
      <w:r>
        <w:rPr>
          <w:spacing w:val="-1"/>
        </w:rPr>
        <w:t> </w:t>
      </w:r>
      <w:r>
        <w:rPr>
          <w:spacing w:val="-11"/>
        </w:rPr>
        <w:t>绩效评价周期一般可分为月度、季度、半年度、年度、</w:t>
      </w:r>
      <w:r>
        <w:rPr>
          <w:spacing w:val="-10"/>
        </w:rPr>
        <w:t>任期。月度、季度绩效评价一般适用于企业基层员工和管理人员，半</w:t>
      </w:r>
      <w:r>
        <w:rPr>
          <w:spacing w:val="-12"/>
        </w:rPr>
        <w:t>年度绩效评价一般适用于企业中高层管理人员，年度绩效评价适用于</w:t>
      </w:r>
      <w:r>
        <w:rPr>
          <w:spacing w:val="-7"/>
        </w:rPr>
        <w:t>企业所有被评价对象，任期绩效评价主要适用于企业负责人。 </w:t>
      </w:r>
    </w:p>
    <w:p>
      <w:pPr>
        <w:pStyle w:val="BodyText"/>
        <w:spacing w:line="417" w:lineRule="auto"/>
        <w:ind w:right="251" w:firstLine="559"/>
        <w:jc w:val="both"/>
      </w:pPr>
      <w:r>
        <w:rPr>
          <w:rFonts w:ascii="黑体" w:eastAsia="黑体" w:hint="eastAsia"/>
        </w:rPr>
        <w:t>第十六条</w:t>
      </w:r>
      <w:r>
        <w:rPr/>
        <w:t> </w:t>
      </w:r>
      <w:r>
        <w:rPr/>
        <w:t>绩效计划制定后，评价主体与被评价对象一般应签订</w:t>
      </w:r>
      <w:r>
        <w:rPr>
          <w:spacing w:val="-11"/>
        </w:rPr>
        <w:t>绩效责任书，明确各自的权利和义务，并作为绩效评价与激励管理的</w:t>
      </w:r>
      <w:r>
        <w:rPr>
          <w:spacing w:val="-9"/>
        </w:rPr>
        <w:t>依据。绩效责任书的主要内容包括绩效指标、目标值及权重、评价计</w:t>
      </w:r>
      <w:r>
        <w:rPr>
          <w:spacing w:val="-13"/>
        </w:rPr>
        <w:t>分方法、特别约定事项、有效期限、签订日期等。绩效责任书一般按</w:t>
      </w:r>
      <w:r>
        <w:rPr>
          <w:spacing w:val="-2"/>
        </w:rPr>
        <w:t>年度或任期签订。 </w:t>
      </w:r>
    </w:p>
    <w:p>
      <w:pPr>
        <w:pStyle w:val="BodyText"/>
        <w:spacing w:line="417" w:lineRule="auto"/>
        <w:ind w:right="253" w:firstLine="559"/>
        <w:jc w:val="both"/>
      </w:pPr>
      <w:r>
        <w:rPr>
          <w:rFonts w:ascii="黑体" w:eastAsia="黑体" w:hint="eastAsia"/>
          <w:spacing w:val="12"/>
        </w:rPr>
        <w:t>第十七条</w:t>
      </w:r>
      <w:r>
        <w:rPr>
          <w:spacing w:val="12"/>
        </w:rPr>
        <w:t> </w:t>
      </w:r>
      <w:r>
        <w:rPr>
          <w:spacing w:val="8"/>
        </w:rPr>
        <w:t>激励计划是企业为激励被评价对象而采取的行动方</w:t>
      </w:r>
      <w:r>
        <w:rPr>
          <w:spacing w:val="-9"/>
        </w:rPr>
        <w:t>案，包括激励对象、激励形式、激励条件、激励周期等内容。激励计</w:t>
      </w:r>
      <w:r>
        <w:rPr>
          <w:spacing w:val="-11"/>
        </w:rPr>
        <w:t>划按激励形式可分为薪酬激励计划、能力开发激励计划、职业发展激</w:t>
      </w:r>
      <w:r>
        <w:rPr>
          <w:spacing w:val="-7"/>
        </w:rPr>
        <w:t>励计划和其他激励计划。 </w:t>
      </w:r>
    </w:p>
    <w:p>
      <w:pPr>
        <w:pStyle w:val="BodyText"/>
        <w:spacing w:line="417" w:lineRule="auto"/>
        <w:ind w:right="256" w:firstLine="559"/>
        <w:jc w:val="both"/>
      </w:pPr>
      <w:r>
        <w:rPr>
          <w:spacing w:val="3"/>
        </w:rPr>
        <w:t>薪酬激励计划按期限可分为短期薪酬激励计划和中长期薪酬激</w:t>
      </w:r>
      <w:r>
        <w:rPr>
          <w:spacing w:val="-9"/>
        </w:rPr>
        <w:t>励计划。短期薪酬激励计划主要包括绩效工资、绩效奖金、绩效福利</w:t>
      </w:r>
      <w:r>
        <w:rPr>
          <w:spacing w:val="-10"/>
        </w:rPr>
        <w:t>等。中长期薪酬激励计划主要包括股票期权、股票增值权、限制性股</w:t>
      </w:r>
      <w:r>
        <w:rPr>
          <w:spacing w:val="-7"/>
        </w:rPr>
        <w:t>票以及虚拟股票等。 </w:t>
      </w:r>
    </w:p>
    <w:p>
      <w:pPr>
        <w:spacing w:after="0" w:line="417" w:lineRule="auto"/>
        <w:jc w:val="both"/>
        <w:sectPr>
          <w:pgSz w:w="11910" w:h="16840"/>
          <w:pgMar w:header="0" w:footer="974" w:top="1520" w:bottom="1160" w:left="1640" w:right="1540"/>
        </w:sectPr>
      </w:pPr>
    </w:p>
    <w:p>
      <w:pPr>
        <w:pStyle w:val="BodyText"/>
        <w:spacing w:line="417" w:lineRule="auto" w:before="34"/>
        <w:ind w:right="263" w:firstLine="559"/>
      </w:pPr>
      <w:r>
        <w:rPr/>
        <w:t>能力开发激励计划主要包括对员工知识、技能等方面的提升计划。 </w:t>
      </w:r>
    </w:p>
    <w:p>
      <w:pPr>
        <w:pStyle w:val="BodyText"/>
        <w:spacing w:line="358" w:lineRule="exact"/>
        <w:ind w:left="719"/>
      </w:pPr>
      <w:r>
        <w:rPr/>
        <w:t>职业发展激励计划主要是对员工职业发展做出的规划。 </w:t>
      </w:r>
    </w:p>
    <w:p>
      <w:pPr>
        <w:pStyle w:val="BodyText"/>
        <w:spacing w:before="9"/>
        <w:ind w:left="0"/>
        <w:rPr>
          <w:sz w:val="20"/>
        </w:rPr>
      </w:pPr>
    </w:p>
    <w:p>
      <w:pPr>
        <w:pStyle w:val="BodyText"/>
        <w:spacing w:before="1"/>
        <w:ind w:left="719"/>
      </w:pPr>
      <w:r>
        <w:rPr>
          <w:spacing w:val="-21"/>
        </w:rPr>
        <w:t>其他激励计划包括良好的工作环境、晋升与降职、表扬与批评等。</w:t>
      </w:r>
      <w:r>
        <w:rPr/>
        <w:t> </w:t>
      </w:r>
    </w:p>
    <w:p>
      <w:pPr>
        <w:pStyle w:val="BodyText"/>
        <w:spacing w:before="8"/>
        <w:ind w:left="0"/>
        <w:rPr>
          <w:sz w:val="20"/>
        </w:rPr>
      </w:pPr>
    </w:p>
    <w:p>
      <w:pPr>
        <w:pStyle w:val="BodyText"/>
        <w:spacing w:line="417" w:lineRule="auto"/>
        <w:ind w:right="256" w:firstLine="559"/>
        <w:jc w:val="both"/>
      </w:pPr>
      <w:r>
        <w:rPr>
          <w:rFonts w:ascii="黑体" w:eastAsia="黑体" w:hint="eastAsia"/>
        </w:rPr>
        <w:t>第十八条</w:t>
      </w:r>
      <w:r>
        <w:rPr/>
        <w:t> </w:t>
      </w:r>
      <w:r>
        <w:rPr>
          <w:spacing w:val="-3"/>
        </w:rPr>
        <w:t>激励计划的制定应以绩效计划为基础，采用多元化的</w:t>
      </w:r>
      <w:r>
        <w:rPr>
          <w:spacing w:val="-10"/>
        </w:rPr>
        <w:t>激励形式，兼顾内在激励与外在激励、短期激励与长期激励、现金激</w:t>
      </w:r>
      <w:r>
        <w:rPr>
          <w:spacing w:val="-12"/>
        </w:rPr>
        <w:t>励与非现金激励、个人激励与团队激励、正向激励与负向激励，充分</w:t>
      </w:r>
      <w:r>
        <w:rPr>
          <w:spacing w:val="-7"/>
        </w:rPr>
        <w:t>发挥各种激励形式的综合作用。 </w:t>
      </w:r>
    </w:p>
    <w:p>
      <w:pPr>
        <w:pStyle w:val="BodyText"/>
        <w:spacing w:line="417" w:lineRule="auto"/>
        <w:ind w:right="115" w:firstLine="559"/>
        <w:jc w:val="both"/>
      </w:pPr>
      <w:r>
        <w:rPr>
          <w:rFonts w:ascii="黑体" w:eastAsia="黑体" w:hint="eastAsia"/>
        </w:rPr>
        <w:t>第十九条</w:t>
      </w:r>
      <w:r>
        <w:rPr/>
        <w:t> </w:t>
      </w:r>
      <w:r>
        <w:rPr/>
        <w:t>绩效计划与激励计划制定完成后，应经薪酬与考核委</w:t>
      </w:r>
      <w:r>
        <w:rPr>
          <w:spacing w:val="-10"/>
        </w:rPr>
        <w:t>员会或类似机构审核，报董事会或类似机构审批。经审批的绩效计划</w:t>
      </w:r>
      <w:r>
        <w:rPr>
          <w:spacing w:val="-7"/>
        </w:rPr>
        <w:t>与激励计划应保持稳定，一般不予调整，若受国家政策、市场环境、</w:t>
      </w:r>
      <w:r>
        <w:rPr>
          <w:spacing w:val="-23"/>
        </w:rPr>
        <w:t>不可抗力等客观因素影响，确需调整的，应严格履行规定的审批程序。</w:t>
      </w:r>
      <w:r>
        <w:rPr/>
        <w:t> </w:t>
      </w:r>
    </w:p>
    <w:p>
      <w:pPr>
        <w:pStyle w:val="BodyText"/>
        <w:ind w:left="0"/>
      </w:pPr>
    </w:p>
    <w:p>
      <w:pPr>
        <w:pStyle w:val="BodyText"/>
        <w:spacing w:before="9"/>
        <w:ind w:left="0"/>
        <w:rPr>
          <w:sz w:val="20"/>
        </w:rPr>
      </w:pPr>
    </w:p>
    <w:p>
      <w:pPr>
        <w:pStyle w:val="BodyText"/>
        <w:ind w:left="1181" w:right="1142"/>
        <w:jc w:val="center"/>
      </w:pPr>
      <w:r>
        <w:rPr>
          <w:rFonts w:ascii="黑体" w:eastAsia="黑体" w:hint="eastAsia"/>
        </w:rPr>
        <w:t>第四章 绩效计划与激励计划的执行</w:t>
      </w:r>
      <w:r>
        <w:rPr/>
        <w:t> </w:t>
      </w:r>
    </w:p>
    <w:p>
      <w:pPr>
        <w:pStyle w:val="BodyText"/>
        <w:spacing w:before="9"/>
        <w:ind w:left="0"/>
        <w:rPr>
          <w:sz w:val="20"/>
        </w:rPr>
      </w:pPr>
    </w:p>
    <w:p>
      <w:pPr>
        <w:pStyle w:val="BodyText"/>
        <w:spacing w:line="417" w:lineRule="auto"/>
        <w:ind w:right="256" w:firstLine="559"/>
        <w:jc w:val="both"/>
      </w:pPr>
      <w:r>
        <w:rPr>
          <w:rFonts w:ascii="黑体" w:eastAsia="黑体" w:hint="eastAsia"/>
        </w:rPr>
        <w:t>第二十条</w:t>
      </w:r>
      <w:r>
        <w:rPr/>
        <w:t> </w:t>
      </w:r>
      <w:r>
        <w:rPr>
          <w:spacing w:val="-1"/>
        </w:rPr>
        <w:t>审批后的绩效计划与激励计划，应以正式文件的形式</w:t>
      </w:r>
      <w:r>
        <w:rPr>
          <w:spacing w:val="-11"/>
        </w:rPr>
        <w:t>下达执行，确保与计划相关的被评价对象能够了解计划的具体内容和</w:t>
      </w:r>
      <w:r>
        <w:rPr>
          <w:spacing w:val="-9"/>
        </w:rPr>
        <w:t>要求。</w:t>
      </w:r>
      <w:r>
        <w:rPr/>
        <w:t> </w:t>
      </w:r>
    </w:p>
    <w:p>
      <w:pPr>
        <w:pStyle w:val="BodyText"/>
        <w:spacing w:line="417" w:lineRule="auto"/>
        <w:ind w:right="115" w:firstLine="559"/>
      </w:pPr>
      <w:r>
        <w:rPr>
          <w:rFonts w:ascii="黑体" w:eastAsia="黑体" w:hint="eastAsia"/>
        </w:rPr>
        <w:t>第二十一条</w:t>
      </w:r>
      <w:r>
        <w:rPr/>
        <w:t> </w:t>
      </w:r>
      <w:r>
        <w:rPr/>
        <w:t>绩效计划与激励计划下达后，各计划执行单位（部门</w:t>
      </w:r>
      <w:r>
        <w:rPr>
          <w:spacing w:val="-132"/>
        </w:rPr>
        <w:t>）</w:t>
      </w:r>
      <w:r>
        <w:rPr>
          <w:spacing w:val="-17"/>
        </w:rPr>
        <w:t>应认真组织实施，从横向和纵向两方面落实到各所属单位</w:t>
      </w:r>
      <w:r>
        <w:rPr/>
        <w:t>（</w:t>
      </w:r>
      <w:r>
        <w:rPr>
          <w:spacing w:val="-2"/>
        </w:rPr>
        <w:t>部门</w:t>
      </w:r>
      <w:r>
        <w:rPr>
          <w:spacing w:val="-142"/>
        </w:rPr>
        <w:t>）</w:t>
      </w:r>
      <w:r>
        <w:rPr>
          <w:spacing w:val="-12"/>
        </w:rPr>
        <w:t>、</w:t>
      </w:r>
      <w:r>
        <w:rPr>
          <w:spacing w:val="-3"/>
        </w:rPr>
        <w:t>各岗位员工，形成全方位的绩效计划与激励计划执行责任体系。 </w:t>
      </w:r>
    </w:p>
    <w:p>
      <w:pPr>
        <w:pStyle w:val="BodyText"/>
        <w:spacing w:line="417" w:lineRule="auto"/>
        <w:ind w:right="257" w:firstLine="559"/>
      </w:pPr>
      <w:r>
        <w:rPr>
          <w:rFonts w:ascii="黑体" w:eastAsia="黑体" w:hint="eastAsia"/>
        </w:rPr>
        <w:t>第二十二条</w:t>
      </w:r>
      <w:r>
        <w:rPr/>
        <w:t> </w:t>
      </w:r>
      <w:r>
        <w:rPr>
          <w:spacing w:val="-1"/>
        </w:rPr>
        <w:t>绩效计划与激励计划执行过程中，企业应建立配套</w:t>
      </w:r>
      <w:r>
        <w:rPr>
          <w:spacing w:val="-9"/>
        </w:rPr>
        <w:t>的监督控制机制，及时记录执行情况，进行差异分析与纠偏，持续优</w:t>
      </w:r>
    </w:p>
    <w:p>
      <w:pPr>
        <w:spacing w:after="0" w:line="417" w:lineRule="auto"/>
        <w:sectPr>
          <w:pgSz w:w="11910" w:h="16840"/>
          <w:pgMar w:header="0" w:footer="974" w:top="1520" w:bottom="1160" w:left="1640" w:right="1540"/>
        </w:sectPr>
      </w:pPr>
    </w:p>
    <w:p>
      <w:pPr>
        <w:pStyle w:val="BodyText"/>
        <w:spacing w:before="34"/>
      </w:pPr>
      <w:r>
        <w:rPr/>
        <w:t>化业务流程，确保绩效计划与激励计划的有效执行。 </w:t>
      </w:r>
    </w:p>
    <w:p>
      <w:pPr>
        <w:pStyle w:val="BodyText"/>
        <w:spacing w:before="9"/>
        <w:ind w:left="0"/>
        <w:rPr>
          <w:sz w:val="20"/>
        </w:rPr>
      </w:pPr>
    </w:p>
    <w:p>
      <w:pPr>
        <w:pStyle w:val="BodyText"/>
        <w:spacing w:line="417" w:lineRule="auto" w:before="1"/>
        <w:ind w:right="244" w:firstLine="479"/>
        <w:jc w:val="both"/>
      </w:pPr>
      <w:r>
        <w:rPr/>
        <w:t>（一）</w:t>
      </w:r>
      <w:r>
        <w:rPr>
          <w:spacing w:val="-4"/>
        </w:rPr>
        <w:t>监控与记录。企业可借助信息系统或其他信息支持手段， </w:t>
      </w:r>
      <w:r>
        <w:rPr>
          <w:spacing w:val="-9"/>
        </w:rPr>
        <w:t>监控和记录指标完成情况、重大事项、员工的工作表现、激励措施执</w:t>
      </w:r>
      <w:r>
        <w:rPr>
          <w:spacing w:val="-12"/>
        </w:rPr>
        <w:t>行情况等内容。收集信息的方法主要有观察法、工作记录法、他人反</w:t>
      </w:r>
      <w:r>
        <w:rPr>
          <w:spacing w:val="-10"/>
        </w:rPr>
        <w:t>馈法等。</w:t>
      </w:r>
      <w:r>
        <w:rPr/>
        <w:t> </w:t>
      </w:r>
    </w:p>
    <w:p>
      <w:pPr>
        <w:pStyle w:val="BodyText"/>
        <w:spacing w:line="417" w:lineRule="auto"/>
        <w:ind w:right="256" w:firstLine="479"/>
        <w:jc w:val="both"/>
      </w:pPr>
      <w:r>
        <w:rPr/>
        <w:t>（二</w:t>
      </w:r>
      <w:r>
        <w:rPr>
          <w:spacing w:val="-5"/>
        </w:rPr>
        <w:t>）分析与纠偏。根据监控与记录的结果，重点分析指标完成</w:t>
      </w:r>
      <w:r>
        <w:rPr>
          <w:spacing w:val="-12"/>
        </w:rPr>
        <w:t>值与目标值的偏差、激励效果与预期目标的偏差，提出相应整改建议</w:t>
      </w:r>
      <w:r>
        <w:rPr>
          <w:spacing w:val="-3"/>
        </w:rPr>
        <w:t>并采取必要的改进措施。 </w:t>
      </w:r>
    </w:p>
    <w:p>
      <w:pPr>
        <w:pStyle w:val="BodyText"/>
        <w:spacing w:line="417" w:lineRule="auto"/>
        <w:ind w:right="254" w:firstLine="419"/>
        <w:jc w:val="both"/>
      </w:pPr>
      <w:r>
        <w:rPr/>
        <w:t>（三）</w:t>
      </w:r>
      <w:r>
        <w:rPr>
          <w:spacing w:val="-1"/>
        </w:rPr>
        <w:t>编制分析报告。分析报告主要反映绩效计划与激励计划的</w:t>
      </w:r>
      <w:r>
        <w:rPr>
          <w:spacing w:val="-10"/>
        </w:rPr>
        <w:t>执行情况及分析结果，其频率可以是月度、季度、年度，也可根据需</w:t>
      </w:r>
      <w:r>
        <w:rPr>
          <w:spacing w:val="-1"/>
        </w:rPr>
        <w:t>要编制。</w:t>
      </w:r>
      <w:r>
        <w:rPr/>
        <w:t> </w:t>
      </w:r>
    </w:p>
    <w:p>
      <w:pPr>
        <w:pStyle w:val="BodyText"/>
        <w:spacing w:line="417" w:lineRule="auto"/>
        <w:ind w:right="252" w:firstLine="559"/>
        <w:jc w:val="both"/>
      </w:pPr>
      <w:r>
        <w:rPr>
          <w:rFonts w:ascii="黑体" w:eastAsia="黑体" w:hint="eastAsia"/>
        </w:rPr>
        <w:t>第二十三条</w:t>
      </w:r>
      <w:r>
        <w:rPr/>
        <w:t> </w:t>
      </w:r>
      <w:r>
        <w:rPr/>
        <w:t>绩效计划与激励计划执行过程中，绩效管理工作机</w:t>
      </w:r>
      <w:r>
        <w:rPr>
          <w:spacing w:val="-1"/>
        </w:rPr>
        <w:t>构应通过会议、培训、网络、公告栏等形式,进行多渠道、多样化、</w:t>
      </w:r>
      <w:r>
        <w:rPr>
          <w:spacing w:val="-11"/>
        </w:rPr>
        <w:t>持续不断地沟通与辅导，使绩效计划与激励计划得到充分理解和有效</w:t>
      </w:r>
      <w:r>
        <w:rPr>
          <w:spacing w:val="-9"/>
        </w:rPr>
        <w:t>执行。</w:t>
      </w:r>
      <w:r>
        <w:rPr/>
        <w:t> </w:t>
      </w:r>
    </w:p>
    <w:p>
      <w:pPr>
        <w:pStyle w:val="BodyText"/>
        <w:ind w:left="0"/>
      </w:pPr>
    </w:p>
    <w:p>
      <w:pPr>
        <w:pStyle w:val="BodyText"/>
        <w:spacing w:before="7"/>
        <w:ind w:left="0"/>
        <w:rPr>
          <w:sz w:val="20"/>
        </w:rPr>
      </w:pPr>
    </w:p>
    <w:p>
      <w:pPr>
        <w:pStyle w:val="BodyText"/>
        <w:ind w:left="1049" w:right="1142"/>
        <w:jc w:val="center"/>
        <w:rPr>
          <w:rFonts w:ascii="黑体" w:eastAsia="黑体" w:hint="eastAsia"/>
        </w:rPr>
      </w:pPr>
      <w:r>
        <w:rPr>
          <w:rFonts w:ascii="黑体" w:eastAsia="黑体" w:hint="eastAsia"/>
        </w:rPr>
        <w:t>第五章 绩效评价与激励的实施</w:t>
      </w:r>
    </w:p>
    <w:p>
      <w:pPr>
        <w:pStyle w:val="BodyText"/>
        <w:spacing w:before="9"/>
        <w:ind w:left="0"/>
        <w:rPr>
          <w:rFonts w:ascii="黑体"/>
          <w:sz w:val="20"/>
        </w:rPr>
      </w:pPr>
    </w:p>
    <w:p>
      <w:pPr>
        <w:pStyle w:val="BodyText"/>
        <w:spacing w:line="417" w:lineRule="auto"/>
        <w:ind w:right="255" w:firstLine="559"/>
        <w:jc w:val="both"/>
      </w:pPr>
      <w:r>
        <w:rPr>
          <w:rFonts w:ascii="黑体" w:eastAsia="黑体" w:hint="eastAsia"/>
        </w:rPr>
        <w:t>第二十四条</w:t>
      </w:r>
      <w:r>
        <w:rPr/>
        <w:t> </w:t>
      </w:r>
      <w:r>
        <w:rPr>
          <w:spacing w:val="-1"/>
        </w:rPr>
        <w:t>绩效管理工作机构应根据计划的执行情况定期实施</w:t>
      </w:r>
      <w:r>
        <w:rPr>
          <w:spacing w:val="-10"/>
        </w:rPr>
        <w:t>绩效评价与激励，按照绩效计划与激励计划的约定，对被评价对象的</w:t>
      </w:r>
      <w:r>
        <w:rPr>
          <w:spacing w:val="-12"/>
        </w:rPr>
        <w:t>绩效表现进行系统、全面、公正、客观地评价，并根据评价结果实施</w:t>
      </w:r>
      <w:r>
        <w:rPr>
          <w:spacing w:val="-2"/>
        </w:rPr>
        <w:t>相应的激励。</w:t>
      </w:r>
      <w:r>
        <w:rPr/>
        <w:t> </w:t>
      </w:r>
    </w:p>
    <w:p>
      <w:pPr>
        <w:pStyle w:val="BodyText"/>
        <w:spacing w:line="358" w:lineRule="exact"/>
        <w:ind w:left="719"/>
      </w:pPr>
      <w:r>
        <w:rPr>
          <w:rFonts w:ascii="黑体" w:eastAsia="黑体" w:hint="eastAsia"/>
        </w:rPr>
        <w:t>第二十五条</w:t>
      </w:r>
      <w:r>
        <w:rPr/>
        <w:t> </w:t>
      </w:r>
      <w:r>
        <w:rPr/>
        <w:t>评价主体应按照绩效计划收集相关信息，获取被评</w:t>
      </w:r>
    </w:p>
    <w:p>
      <w:pPr>
        <w:spacing w:after="0" w:line="358" w:lineRule="exact"/>
        <w:sectPr>
          <w:pgSz w:w="11910" w:h="16840"/>
          <w:pgMar w:header="0" w:footer="974" w:top="1520" w:bottom="1160" w:left="1640" w:right="1540"/>
        </w:sectPr>
      </w:pPr>
    </w:p>
    <w:p>
      <w:pPr>
        <w:pStyle w:val="BodyText"/>
        <w:spacing w:line="417" w:lineRule="auto" w:before="34"/>
        <w:ind w:right="258"/>
      </w:pPr>
      <w:r>
        <w:rPr>
          <w:spacing w:val="-10"/>
        </w:rPr>
        <w:t>价对象的绩效指标实际值，对照目标值，应用选定的计分方法，计算</w:t>
      </w:r>
      <w:r>
        <w:rPr>
          <w:spacing w:val="-3"/>
        </w:rPr>
        <w:t>评价分值，并进一步形成对被评价对象的综合评价结果。 </w:t>
      </w:r>
    </w:p>
    <w:p>
      <w:pPr>
        <w:pStyle w:val="BodyText"/>
        <w:spacing w:line="417" w:lineRule="auto"/>
        <w:ind w:right="256" w:firstLine="559"/>
        <w:jc w:val="both"/>
      </w:pPr>
      <w:r>
        <w:rPr>
          <w:rFonts w:ascii="黑体" w:eastAsia="黑体" w:hint="eastAsia"/>
        </w:rPr>
        <w:t>第二十六条</w:t>
      </w:r>
      <w:r>
        <w:rPr/>
        <w:t> </w:t>
      </w:r>
      <w:r>
        <w:rPr>
          <w:spacing w:val="-1"/>
        </w:rPr>
        <w:t>绩效评价过程及结果应有完整的记录，结果应得到</w:t>
      </w:r>
      <w:r>
        <w:rPr>
          <w:spacing w:val="-9"/>
        </w:rPr>
        <w:t>评价主体和被评价对象的确认，并进行公开发布或非公开告知。公开</w:t>
      </w:r>
      <w:r>
        <w:rPr>
          <w:spacing w:val="-8"/>
        </w:rPr>
        <w:t>发布的主要方式有召开绩效发布会、企业网站绩效公示、面板绩效公</w:t>
      </w:r>
      <w:r>
        <w:rPr>
          <w:spacing w:val="-12"/>
        </w:rPr>
        <w:t>告等；非公开发布一般采用一对一书面、电子邮件函告或面谈告知等</w:t>
      </w:r>
      <w:r>
        <w:rPr>
          <w:spacing w:val="-2"/>
        </w:rPr>
        <w:t>方式进行。</w:t>
      </w:r>
      <w:r>
        <w:rPr/>
        <w:t> </w:t>
      </w:r>
    </w:p>
    <w:p>
      <w:pPr>
        <w:pStyle w:val="BodyText"/>
        <w:spacing w:line="417" w:lineRule="auto"/>
        <w:ind w:right="114" w:firstLine="559"/>
      </w:pPr>
      <w:r>
        <w:rPr>
          <w:rFonts w:ascii="黑体" w:eastAsia="黑体" w:hint="eastAsia"/>
        </w:rPr>
        <w:t>第二十七条</w:t>
      </w:r>
      <w:r>
        <w:rPr/>
        <w:t> </w:t>
      </w:r>
      <w:r>
        <w:rPr/>
        <w:t>评价主体应及时向被评价对象进行绩效反馈，反馈</w:t>
      </w:r>
      <w:r>
        <w:rPr>
          <w:spacing w:val="-18"/>
        </w:rPr>
        <w:t>内容包括评价结果、差距分析、改进建议及措施等，可采取反馈报告、</w:t>
      </w:r>
      <w:r>
        <w:rPr>
          <w:spacing w:val="-3"/>
        </w:rPr>
        <w:t>反馈面谈、反馈报告会等形式进行。 </w:t>
      </w:r>
    </w:p>
    <w:p>
      <w:pPr>
        <w:pStyle w:val="BodyText"/>
        <w:spacing w:line="417" w:lineRule="auto"/>
        <w:ind w:right="256" w:firstLine="559"/>
        <w:jc w:val="both"/>
      </w:pPr>
      <w:r>
        <w:rPr>
          <w:rFonts w:ascii="黑体" w:eastAsia="黑体" w:hint="eastAsia"/>
        </w:rPr>
        <w:t>第二十八条</w:t>
      </w:r>
      <w:r>
        <w:rPr/>
        <w:t> </w:t>
      </w:r>
      <w:r>
        <w:rPr>
          <w:spacing w:val="-1"/>
        </w:rPr>
        <w:t>绩效结果发布后，企业应依据绩效评价的结果，组</w:t>
      </w:r>
      <w:r>
        <w:rPr>
          <w:spacing w:val="-9"/>
        </w:rPr>
        <w:t>织兑现激励计划，综合运用绩效薪酬激励、能力开发激励、职业发展</w:t>
      </w:r>
      <w:r>
        <w:rPr>
          <w:spacing w:val="-6"/>
        </w:rPr>
        <w:t>激励等多种方式，逐级兑现激励承诺。 </w:t>
      </w:r>
    </w:p>
    <w:p>
      <w:pPr>
        <w:pStyle w:val="BodyText"/>
        <w:ind w:left="0"/>
      </w:pPr>
    </w:p>
    <w:p>
      <w:pPr>
        <w:pStyle w:val="BodyText"/>
        <w:spacing w:before="7"/>
        <w:ind w:left="0"/>
        <w:rPr>
          <w:sz w:val="20"/>
        </w:rPr>
      </w:pPr>
    </w:p>
    <w:p>
      <w:pPr>
        <w:pStyle w:val="BodyText"/>
        <w:spacing w:before="1"/>
        <w:ind w:left="1046" w:right="1142"/>
        <w:jc w:val="center"/>
        <w:rPr>
          <w:rFonts w:ascii="黑体" w:eastAsia="黑体" w:hint="eastAsia"/>
        </w:rPr>
      </w:pPr>
      <w:r>
        <w:rPr>
          <w:rFonts w:ascii="黑体" w:eastAsia="黑体" w:hint="eastAsia"/>
        </w:rPr>
        <w:t>第六章 绩效评价与激励管理报告</w:t>
      </w:r>
    </w:p>
    <w:p>
      <w:pPr>
        <w:pStyle w:val="BodyText"/>
        <w:spacing w:before="8"/>
        <w:ind w:left="0"/>
        <w:rPr>
          <w:rFonts w:ascii="黑体"/>
          <w:sz w:val="20"/>
        </w:rPr>
      </w:pPr>
    </w:p>
    <w:p>
      <w:pPr>
        <w:pStyle w:val="BodyText"/>
        <w:spacing w:line="417" w:lineRule="auto" w:before="1"/>
        <w:ind w:right="256" w:firstLine="559"/>
      </w:pPr>
      <w:r>
        <w:rPr>
          <w:rFonts w:ascii="黑体" w:eastAsia="黑体" w:hint="eastAsia"/>
        </w:rPr>
        <w:t>第二十九条</w:t>
      </w:r>
      <w:r>
        <w:rPr/>
        <w:t> </w:t>
      </w:r>
      <w:r>
        <w:rPr/>
        <w:t>绩效管理工作机构应定期或根据需要编制绩效评价与激励管理报告，对绩效评价和激励管理的结果进行反映。 </w:t>
      </w:r>
    </w:p>
    <w:p>
      <w:pPr>
        <w:pStyle w:val="BodyText"/>
        <w:spacing w:line="417" w:lineRule="auto"/>
        <w:ind w:right="253" w:firstLine="559"/>
        <w:jc w:val="both"/>
      </w:pPr>
      <w:r>
        <w:rPr>
          <w:rFonts w:ascii="黑体" w:eastAsia="黑体" w:hint="eastAsia"/>
        </w:rPr>
        <w:t>第三十条</w:t>
      </w:r>
      <w:r>
        <w:rPr/>
        <w:t> </w:t>
      </w:r>
      <w:r>
        <w:rPr/>
        <w:t>绩效评价与激励管理报告是企业管理会计报告的重要</w:t>
      </w:r>
      <w:r>
        <w:rPr>
          <w:spacing w:val="-11"/>
        </w:rPr>
        <w:t>组成部分，应确保内容真实、数据可靠、分析客观、结论清楚，为报</w:t>
      </w:r>
      <w:r>
        <w:rPr>
          <w:spacing w:val="-3"/>
        </w:rPr>
        <w:t>告使用者提供满足决策需要的信息。 </w:t>
      </w:r>
    </w:p>
    <w:p>
      <w:pPr>
        <w:pStyle w:val="BodyText"/>
        <w:spacing w:line="417" w:lineRule="auto"/>
        <w:ind w:right="253" w:firstLine="559"/>
      </w:pPr>
      <w:r>
        <w:rPr>
          <w:rFonts w:ascii="黑体" w:eastAsia="黑体" w:hint="eastAsia"/>
        </w:rPr>
        <w:t>第三十一条</w:t>
      </w:r>
      <w:r>
        <w:rPr/>
        <w:t> </w:t>
      </w:r>
      <w:r>
        <w:rPr/>
        <w:t>绩效评价报告根据评价结果编制，反映被评价对象的绩效计划完成情况，通常由报告正文和附件构成。 </w:t>
      </w:r>
    </w:p>
    <w:p>
      <w:pPr>
        <w:spacing w:after="0" w:line="417" w:lineRule="auto"/>
        <w:sectPr>
          <w:pgSz w:w="11910" w:h="16840"/>
          <w:pgMar w:header="0" w:footer="974" w:top="1520" w:bottom="1160" w:left="1640" w:right="1540"/>
        </w:sectPr>
      </w:pPr>
    </w:p>
    <w:p>
      <w:pPr>
        <w:pStyle w:val="BodyText"/>
        <w:spacing w:before="34"/>
        <w:ind w:left="719"/>
      </w:pPr>
      <w:r>
        <w:rPr/>
        <w:t>报告正文主要包括以下两部分： </w:t>
      </w:r>
    </w:p>
    <w:p>
      <w:pPr>
        <w:pStyle w:val="BodyText"/>
        <w:spacing w:before="9"/>
        <w:ind w:left="0"/>
        <w:rPr>
          <w:sz w:val="20"/>
        </w:rPr>
      </w:pPr>
    </w:p>
    <w:p>
      <w:pPr>
        <w:pStyle w:val="BodyText"/>
        <w:spacing w:line="417" w:lineRule="auto" w:before="1"/>
        <w:ind w:right="253" w:firstLine="559"/>
      </w:pPr>
      <w:r>
        <w:rPr/>
        <w:t>（一</w:t>
      </w:r>
      <w:r>
        <w:rPr>
          <w:spacing w:val="-20"/>
        </w:rPr>
        <w:t>）</w:t>
      </w:r>
      <w:r>
        <w:rPr>
          <w:spacing w:val="-10"/>
        </w:rPr>
        <w:t>评价情况说明，包括评价对象、评价依据、评价过程、评</w:t>
      </w:r>
      <w:r>
        <w:rPr>
          <w:spacing w:val="-3"/>
        </w:rPr>
        <w:t>价结果、需要说明的重大事项等； </w:t>
      </w:r>
    </w:p>
    <w:p>
      <w:pPr>
        <w:pStyle w:val="BodyText"/>
        <w:spacing w:line="358" w:lineRule="exact"/>
        <w:ind w:left="719"/>
      </w:pPr>
      <w:r>
        <w:rPr/>
        <w:t>（二）管理建议。 </w:t>
      </w:r>
    </w:p>
    <w:p>
      <w:pPr>
        <w:pStyle w:val="BodyText"/>
        <w:spacing w:before="8"/>
        <w:ind w:left="0"/>
        <w:rPr>
          <w:sz w:val="20"/>
        </w:rPr>
      </w:pPr>
    </w:p>
    <w:p>
      <w:pPr>
        <w:pStyle w:val="BodyText"/>
        <w:spacing w:line="417" w:lineRule="auto"/>
        <w:ind w:right="214" w:firstLine="479"/>
      </w:pPr>
      <w:r>
        <w:rPr/>
        <w:t>报告附件包括评价计分表、问卷调查结果分析、专家咨询意见等报告正文的支持性文档。 </w:t>
      </w:r>
    </w:p>
    <w:p>
      <w:pPr>
        <w:pStyle w:val="BodyText"/>
        <w:spacing w:line="417" w:lineRule="auto" w:before="1"/>
        <w:ind w:right="258" w:firstLine="559"/>
      </w:pPr>
      <w:r>
        <w:rPr>
          <w:rFonts w:ascii="黑体" w:eastAsia="黑体" w:hint="eastAsia"/>
        </w:rPr>
        <w:t>第三十二条</w:t>
      </w:r>
      <w:r>
        <w:rPr/>
        <w:t> </w:t>
      </w:r>
      <w:r>
        <w:rPr/>
        <w:t>激励管理报告根据激励计划的执行结果编制，反映被评价对象的激励计划实施情况。 </w:t>
      </w:r>
    </w:p>
    <w:p>
      <w:pPr>
        <w:pStyle w:val="BodyText"/>
        <w:spacing w:line="358" w:lineRule="exact"/>
        <w:ind w:left="719"/>
      </w:pPr>
      <w:r>
        <w:rPr/>
        <w:t>激励管理报告主要包括以下两部分： </w:t>
      </w:r>
    </w:p>
    <w:p>
      <w:pPr>
        <w:pStyle w:val="BodyText"/>
        <w:spacing w:before="8"/>
        <w:ind w:left="0"/>
        <w:rPr>
          <w:sz w:val="20"/>
        </w:rPr>
      </w:pPr>
    </w:p>
    <w:p>
      <w:pPr>
        <w:pStyle w:val="BodyText"/>
        <w:spacing w:line="417" w:lineRule="auto" w:before="1"/>
        <w:ind w:right="253" w:firstLine="559"/>
      </w:pPr>
      <w:r>
        <w:rPr/>
        <w:t>（一</w:t>
      </w:r>
      <w:r>
        <w:rPr>
          <w:spacing w:val="-20"/>
        </w:rPr>
        <w:t>）</w:t>
      </w:r>
      <w:r>
        <w:rPr>
          <w:spacing w:val="-10"/>
        </w:rPr>
        <w:t>激励情况说明，包括激励对象、激励依据、激励措施、激</w:t>
      </w:r>
      <w:r>
        <w:rPr>
          <w:spacing w:val="-3"/>
        </w:rPr>
        <w:t>励执行结果、需要说明的重大事项等； </w:t>
      </w:r>
    </w:p>
    <w:p>
      <w:pPr>
        <w:pStyle w:val="BodyText"/>
        <w:ind w:left="719"/>
      </w:pPr>
      <w:r>
        <w:rPr/>
        <w:t>（二）管理建议。 </w:t>
      </w:r>
    </w:p>
    <w:p>
      <w:pPr>
        <w:pStyle w:val="BodyText"/>
        <w:spacing w:before="8"/>
        <w:ind w:left="0"/>
        <w:rPr>
          <w:sz w:val="20"/>
        </w:rPr>
      </w:pPr>
    </w:p>
    <w:p>
      <w:pPr>
        <w:pStyle w:val="BodyText"/>
        <w:spacing w:before="1"/>
        <w:ind w:left="719"/>
      </w:pPr>
      <w:r>
        <w:rPr/>
        <w:t>其他有关支持性文档可以根据需要以附件形式提供。 </w:t>
      </w:r>
    </w:p>
    <w:p>
      <w:pPr>
        <w:pStyle w:val="BodyText"/>
        <w:spacing w:before="8"/>
        <w:ind w:left="0"/>
        <w:rPr>
          <w:sz w:val="20"/>
        </w:rPr>
      </w:pPr>
    </w:p>
    <w:p>
      <w:pPr>
        <w:pStyle w:val="BodyText"/>
        <w:spacing w:line="417" w:lineRule="auto" w:before="1"/>
        <w:ind w:right="258" w:firstLine="559"/>
      </w:pPr>
      <w:r>
        <w:rPr>
          <w:rFonts w:ascii="黑体" w:eastAsia="黑体" w:hint="eastAsia"/>
        </w:rPr>
        <w:t>第三十三条</w:t>
      </w:r>
      <w:r>
        <w:rPr/>
        <w:t> </w:t>
      </w:r>
      <w:r>
        <w:rPr/>
        <w:t>绩效评价与激励管理报告可分为定期报告、不定期报告。 </w:t>
      </w:r>
    </w:p>
    <w:p>
      <w:pPr>
        <w:pStyle w:val="BodyText"/>
        <w:spacing w:line="417" w:lineRule="auto"/>
        <w:ind w:right="256" w:firstLine="479"/>
      </w:pPr>
      <w:r>
        <w:rPr/>
        <w:t>定期报告主要反映一定期间被评价对象的绩效评价与激励管理情况。每个会计年度至少出具一份定期报告。 </w:t>
      </w:r>
    </w:p>
    <w:p>
      <w:pPr>
        <w:pStyle w:val="BodyText"/>
        <w:spacing w:line="417" w:lineRule="auto"/>
        <w:ind w:right="212" w:firstLine="479"/>
      </w:pPr>
      <w:r>
        <w:rPr/>
        <w:t>不定期报告根据需要编制，反映部分特殊事项或特定项目的绩效评价与激励管理情况。 </w:t>
      </w:r>
    </w:p>
    <w:p>
      <w:pPr>
        <w:pStyle w:val="BodyText"/>
        <w:spacing w:line="417" w:lineRule="auto"/>
        <w:ind w:right="256" w:firstLine="559"/>
      </w:pPr>
      <w:r>
        <w:rPr>
          <w:rFonts w:ascii="黑体" w:eastAsia="黑体" w:hint="eastAsia"/>
        </w:rPr>
        <w:t>第三十四条</w:t>
      </w:r>
      <w:r>
        <w:rPr/>
        <w:t> </w:t>
      </w:r>
      <w:r>
        <w:rPr/>
        <w:t>绩效评价与激励管理报告应根据需要及时报送薪酬与考核委员会或类似机构审批。 </w:t>
      </w:r>
    </w:p>
    <w:p>
      <w:pPr>
        <w:pStyle w:val="BodyText"/>
        <w:ind w:left="719"/>
      </w:pPr>
      <w:r>
        <w:rPr>
          <w:rFonts w:ascii="黑体" w:eastAsia="黑体" w:hint="eastAsia"/>
        </w:rPr>
        <w:t>第三十五条</w:t>
      </w:r>
      <w:r>
        <w:rPr/>
        <w:t> </w:t>
      </w:r>
      <w:r>
        <w:rPr/>
        <w:t>企业应定期通过回顾和分析，检查和评估绩效评价</w:t>
      </w:r>
    </w:p>
    <w:p>
      <w:pPr>
        <w:spacing w:after="0"/>
        <w:sectPr>
          <w:pgSz w:w="11910" w:h="16840"/>
          <w:pgMar w:header="0" w:footer="974" w:top="1520" w:bottom="1160" w:left="1640" w:right="1540"/>
        </w:sectPr>
      </w:pPr>
    </w:p>
    <w:p>
      <w:pPr>
        <w:pStyle w:val="BodyText"/>
        <w:spacing w:line="417" w:lineRule="auto" w:before="34"/>
        <w:ind w:right="257"/>
        <w:rPr>
          <w:b/>
        </w:rPr>
      </w:pPr>
      <w:r>
        <w:rPr>
          <w:spacing w:val="-11"/>
        </w:rPr>
        <w:t>与激励管理的实施效果，不断优化绩效计划和激励计划，改进未来绩</w:t>
      </w:r>
      <w:r>
        <w:rPr>
          <w:spacing w:val="-2"/>
        </w:rPr>
        <w:t>效管理工作。</w:t>
      </w:r>
      <w:r>
        <w:rPr>
          <w:b/>
          <w:w w:val="99"/>
        </w:rPr>
        <w:t> </w:t>
      </w:r>
    </w:p>
    <w:p>
      <w:pPr>
        <w:pStyle w:val="BodyText"/>
        <w:ind w:left="0"/>
        <w:rPr>
          <w:b/>
        </w:rPr>
      </w:pPr>
    </w:p>
    <w:p>
      <w:pPr>
        <w:pStyle w:val="BodyText"/>
        <w:spacing w:before="9"/>
        <w:ind w:left="0"/>
        <w:rPr>
          <w:b/>
          <w:sz w:val="20"/>
        </w:rPr>
      </w:pPr>
    </w:p>
    <w:p>
      <w:pPr>
        <w:pStyle w:val="BodyText"/>
        <w:ind w:left="1032" w:right="1142"/>
        <w:jc w:val="center"/>
        <w:rPr>
          <w:rFonts w:ascii="黑体" w:eastAsia="黑体" w:hint="eastAsia"/>
        </w:rPr>
      </w:pPr>
      <w:r>
        <w:rPr>
          <w:rFonts w:ascii="黑体" w:eastAsia="黑体" w:hint="eastAsia"/>
        </w:rPr>
        <w:t>第六章 附 则</w:t>
      </w:r>
    </w:p>
    <w:p>
      <w:pPr>
        <w:pStyle w:val="BodyText"/>
        <w:spacing w:before="9"/>
        <w:ind w:left="0"/>
        <w:rPr>
          <w:rFonts w:ascii="黑体"/>
          <w:sz w:val="20"/>
        </w:rPr>
      </w:pPr>
    </w:p>
    <w:p>
      <w:pPr>
        <w:pStyle w:val="BodyText"/>
        <w:ind w:left="719"/>
      </w:pPr>
      <w:r>
        <w:rPr>
          <w:rFonts w:ascii="黑体" w:eastAsia="黑体" w:hint="eastAsia"/>
        </w:rPr>
        <w:t>第三十六条</w:t>
      </w:r>
      <w:r>
        <w:rPr/>
        <w:t> </w:t>
      </w:r>
      <w:r>
        <w:rPr/>
        <w:t>本指引由财政部负责解释。 </w:t>
      </w:r>
    </w:p>
    <w:p>
      <w:pPr>
        <w:spacing w:after="0"/>
        <w:sectPr>
          <w:pgSz w:w="11910" w:h="16840"/>
          <w:pgMar w:header="0" w:footer="974" w:top="1520" w:bottom="1160" w:left="1640" w:right="1540"/>
        </w:sect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7"/>
        </w:rPr>
      </w:pPr>
    </w:p>
    <w:p>
      <w:pPr>
        <w:pStyle w:val="Heading1"/>
      </w:pPr>
      <w:r>
        <w:rPr/>
        <w:t>管理会计应用指引第601号</w:t>
      </w:r>
      <w:r>
        <w:rPr>
          <w:rFonts w:ascii="黑体" w:hAnsi="黑体" w:eastAsia="黑体" w:hint="eastAsia"/>
        </w:rPr>
        <w:t>——</w:t>
      </w:r>
      <w:r>
        <w:rPr/>
        <w:t>关键绩效指标法</w:t>
      </w:r>
      <w:r>
        <w:rPr>
          <w:w w:val="99"/>
        </w:rPr>
        <w:t> </w:t>
      </w:r>
    </w:p>
    <w:p>
      <w:pPr>
        <w:pStyle w:val="BodyText"/>
        <w:ind w:left="0"/>
        <w:rPr>
          <w:b/>
          <w:sz w:val="36"/>
        </w:rPr>
      </w:pPr>
    </w:p>
    <w:p>
      <w:pPr>
        <w:pStyle w:val="BodyText"/>
        <w:spacing w:before="5"/>
        <w:ind w:left="0"/>
        <w:rPr>
          <w:b/>
          <w:sz w:val="29"/>
        </w:rPr>
      </w:pPr>
    </w:p>
    <w:p>
      <w:pPr>
        <w:pStyle w:val="BodyText"/>
        <w:ind w:left="1047" w:right="1142"/>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ind w:right="254" w:firstLine="566"/>
        <w:jc w:val="right"/>
      </w:pPr>
      <w:r>
        <w:rPr>
          <w:rFonts w:ascii="黑体" w:eastAsia="黑体" w:hint="eastAsia"/>
        </w:rPr>
        <w:t>第一条</w:t>
      </w:r>
      <w:r>
        <w:rPr/>
        <w:t> </w:t>
      </w:r>
      <w:r>
        <w:rPr>
          <w:spacing w:val="-1"/>
        </w:rPr>
        <w:t>关键绩效指标法，是指基于企业战略目标，通过建立关键绩效指标</w:t>
      </w:r>
      <w:r>
        <w:rPr/>
        <w:t>（Key</w:t>
      </w:r>
      <w:r>
        <w:rPr>
          <w:spacing w:val="-54"/>
        </w:rPr>
        <w:t> </w:t>
      </w:r>
      <w:r>
        <w:rPr/>
        <w:t>Performance</w:t>
      </w:r>
      <w:r>
        <w:rPr>
          <w:spacing w:val="-53"/>
        </w:rPr>
        <w:t> </w:t>
      </w:r>
      <w:r>
        <w:rPr/>
        <w:t>Indicator</w:t>
      </w:r>
      <w:r>
        <w:rPr>
          <w:spacing w:val="-1"/>
        </w:rPr>
        <w:t>，简称</w:t>
      </w:r>
      <w:r>
        <w:rPr/>
        <w:t>KPI）</w:t>
      </w:r>
      <w:r>
        <w:rPr>
          <w:spacing w:val="-3"/>
        </w:rPr>
        <w:t>体系，将价值创造活动与战略规划目标有效联系，并据此进行绩效管理的方法。</w:t>
      </w:r>
      <w:r>
        <w:rPr>
          <w:spacing w:val="-11"/>
        </w:rPr>
        <w:t>关键绩效指标，是对企业绩效产生关键影响力的指标，是通过对</w:t>
      </w:r>
    </w:p>
    <w:p>
      <w:pPr>
        <w:pStyle w:val="BodyText"/>
        <w:spacing w:line="417" w:lineRule="auto"/>
        <w:ind w:right="254"/>
      </w:pPr>
      <w:r>
        <w:rPr>
          <w:spacing w:val="-11"/>
        </w:rPr>
        <w:t>企业战略目标、关键成果领域的绩效特征分析，识别和提炼出的最能</w:t>
      </w:r>
      <w:r>
        <w:rPr>
          <w:spacing w:val="-3"/>
        </w:rPr>
        <w:t>有效驱动企业价值创造的指标。 </w:t>
      </w:r>
    </w:p>
    <w:p>
      <w:pPr>
        <w:pStyle w:val="BodyText"/>
        <w:spacing w:line="417" w:lineRule="auto"/>
        <w:ind w:right="257" w:firstLine="559"/>
      </w:pPr>
      <w:r>
        <w:rPr>
          <w:rFonts w:ascii="黑体" w:eastAsia="黑体" w:hint="eastAsia"/>
        </w:rPr>
        <w:t>第二条</w:t>
      </w:r>
      <w:r>
        <w:rPr>
          <w:spacing w:val="35"/>
        </w:rPr>
        <w:t> </w:t>
      </w:r>
      <w:r>
        <w:rPr>
          <w:spacing w:val="-1"/>
        </w:rPr>
        <w:t>关键绩效指标法可单独使用，也可与经济增加值法、平</w:t>
      </w:r>
      <w:r>
        <w:rPr>
          <w:spacing w:val="-3"/>
        </w:rPr>
        <w:t>衡计分卡等其他方法结合使用。 </w:t>
      </w:r>
    </w:p>
    <w:p>
      <w:pPr>
        <w:pStyle w:val="BodyText"/>
        <w:spacing w:line="417" w:lineRule="auto"/>
        <w:ind w:right="115" w:firstLine="559"/>
      </w:pPr>
      <w:r>
        <w:rPr>
          <w:rFonts w:ascii="黑体" w:eastAsia="黑体" w:hint="eastAsia"/>
        </w:rPr>
        <w:t>第三条</w:t>
      </w:r>
      <w:r>
        <w:rPr/>
        <w:t> </w:t>
      </w:r>
      <w:r>
        <w:rPr>
          <w:spacing w:val="-9"/>
        </w:rPr>
        <w:t>关键绩效指标法的应用对象可为企业、所属单位</w:t>
      </w:r>
      <w:r>
        <w:rPr>
          <w:spacing w:val="-3"/>
        </w:rPr>
        <w:t>（</w:t>
      </w:r>
      <w:r>
        <w:rPr/>
        <w:t>部门</w:t>
      </w:r>
      <w:r>
        <w:rPr>
          <w:spacing w:val="-11"/>
        </w:rPr>
        <w:t>） </w:t>
      </w:r>
      <w:r>
        <w:rPr>
          <w:spacing w:val="-1"/>
        </w:rPr>
        <w:t>和员工。</w:t>
      </w:r>
      <w:r>
        <w:rPr/>
        <w:t> </w:t>
      </w:r>
    </w:p>
    <w:p>
      <w:pPr>
        <w:pStyle w:val="BodyText"/>
        <w:ind w:left="0"/>
      </w:pPr>
    </w:p>
    <w:p>
      <w:pPr>
        <w:pStyle w:val="BodyText"/>
        <w:spacing w:before="8"/>
        <w:ind w:left="0"/>
        <w:rPr>
          <w:sz w:val="20"/>
        </w:rPr>
      </w:pPr>
    </w:p>
    <w:p>
      <w:pPr>
        <w:pStyle w:val="BodyText"/>
        <w:ind w:left="1049" w:right="1142"/>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ind w:right="258" w:firstLine="559"/>
      </w:pPr>
      <w:r>
        <w:rPr>
          <w:rFonts w:ascii="黑体" w:hAnsi="黑体" w:eastAsia="黑体" w:hint="eastAsia"/>
        </w:rPr>
        <w:t>第四条</w:t>
      </w:r>
      <w:r>
        <w:rPr/>
        <w:t> 企业应用关键绩效指标法，应遵循《管理会计应用指引第600号——绩效管理》中对应用环境的一般要求。 </w:t>
      </w:r>
    </w:p>
    <w:p>
      <w:pPr>
        <w:pStyle w:val="BodyText"/>
        <w:spacing w:line="417" w:lineRule="auto"/>
        <w:ind w:right="115" w:firstLine="559"/>
      </w:pPr>
      <w:r>
        <w:rPr>
          <w:rFonts w:ascii="黑体" w:eastAsia="黑体" w:hint="eastAsia"/>
        </w:rPr>
        <w:t>第五条</w:t>
      </w:r>
      <w:r>
        <w:rPr>
          <w:spacing w:val="21"/>
        </w:rPr>
        <w:t> </w:t>
      </w:r>
      <w:r>
        <w:rPr/>
        <w:t>企业应用关键绩效指标法，应综合考虑绩效评价期间宏</w:t>
      </w:r>
      <w:r>
        <w:rPr>
          <w:spacing w:val="-6"/>
        </w:rPr>
        <w:t>观经济政策、外部市场环境、内部管理需要等因素，构建指标体系。</w:t>
      </w:r>
      <w:r>
        <w:rPr/>
        <w:t> </w:t>
      </w:r>
    </w:p>
    <w:p>
      <w:pPr>
        <w:pStyle w:val="BodyText"/>
        <w:ind w:left="719"/>
      </w:pPr>
      <w:r>
        <w:rPr>
          <w:rFonts w:ascii="黑体" w:eastAsia="黑体" w:hint="eastAsia"/>
        </w:rPr>
        <w:t>第六条</w:t>
      </w:r>
      <w:r>
        <w:rPr>
          <w:spacing w:val="44"/>
        </w:rPr>
        <w:t> </w:t>
      </w:r>
      <w:r>
        <w:rPr/>
        <w:t>企业应有明确的战略目标。战略目标是确定关键绩效指</w:t>
      </w:r>
    </w:p>
    <w:p>
      <w:pPr>
        <w:spacing w:after="0"/>
        <w:sectPr>
          <w:pgSz w:w="11910" w:h="16840"/>
          <w:pgMar w:header="0" w:footer="974" w:top="1580" w:bottom="1160" w:left="1640" w:right="1540"/>
        </w:sectPr>
      </w:pPr>
    </w:p>
    <w:p>
      <w:pPr>
        <w:pStyle w:val="BodyText"/>
        <w:spacing w:line="417" w:lineRule="auto" w:before="34"/>
        <w:ind w:right="254"/>
      </w:pPr>
      <w:r>
        <w:rPr>
          <w:spacing w:val="-11"/>
        </w:rPr>
        <w:t>标体系的基础，关键绩效指标反映战略目标，对战略目标实施效果进</w:t>
      </w:r>
      <w:r>
        <w:rPr>
          <w:spacing w:val="-7"/>
        </w:rPr>
        <w:t>行衡量和监控。</w:t>
      </w:r>
      <w:r>
        <w:rPr/>
        <w:t> </w:t>
      </w:r>
    </w:p>
    <w:p>
      <w:pPr>
        <w:pStyle w:val="BodyText"/>
        <w:spacing w:line="417" w:lineRule="auto"/>
        <w:ind w:right="258" w:firstLine="559"/>
      </w:pPr>
      <w:r>
        <w:rPr>
          <w:rFonts w:ascii="黑体" w:eastAsia="黑体" w:hint="eastAsia"/>
        </w:rPr>
        <w:t>第七条</w:t>
      </w:r>
      <w:r>
        <w:rPr/>
        <w:t> </w:t>
      </w:r>
      <w:r>
        <w:rPr/>
        <w:t>企业应清晰识别价值创造模式，按照价值创造路径识别出关键驱动因素，科学地选择和设置关键绩效指标。 </w:t>
      </w:r>
    </w:p>
    <w:p>
      <w:pPr>
        <w:pStyle w:val="BodyText"/>
        <w:ind w:left="0"/>
      </w:pPr>
    </w:p>
    <w:p>
      <w:pPr>
        <w:pStyle w:val="BodyText"/>
        <w:spacing w:before="9"/>
        <w:ind w:left="0"/>
        <w:rPr>
          <w:sz w:val="20"/>
        </w:rPr>
      </w:pPr>
    </w:p>
    <w:p>
      <w:pPr>
        <w:pStyle w:val="BodyText"/>
        <w:ind w:left="1049" w:right="1142"/>
        <w:jc w:val="center"/>
        <w:rPr>
          <w:rFonts w:ascii="黑体" w:eastAsia="黑体" w:hint="eastAsia"/>
        </w:rPr>
      </w:pPr>
      <w:r>
        <w:rPr>
          <w:rFonts w:ascii="黑体" w:eastAsia="黑体" w:hint="eastAsia"/>
        </w:rPr>
        <w:t>第三章 应用程序</w:t>
      </w:r>
    </w:p>
    <w:p>
      <w:pPr>
        <w:pStyle w:val="BodyText"/>
        <w:spacing w:before="9"/>
        <w:ind w:left="0"/>
        <w:rPr>
          <w:rFonts w:ascii="黑体"/>
          <w:sz w:val="20"/>
        </w:rPr>
      </w:pPr>
    </w:p>
    <w:p>
      <w:pPr>
        <w:pStyle w:val="BodyText"/>
        <w:spacing w:line="417" w:lineRule="auto"/>
        <w:ind w:right="256" w:firstLine="559"/>
        <w:jc w:val="both"/>
      </w:pPr>
      <w:r>
        <w:rPr>
          <w:rFonts w:ascii="黑体" w:eastAsia="黑体" w:hint="eastAsia"/>
        </w:rPr>
        <w:t>第八条</w:t>
      </w:r>
      <w:r>
        <w:rPr/>
        <w:t> </w:t>
      </w:r>
      <w:r>
        <w:rPr>
          <w:spacing w:val="-1"/>
        </w:rPr>
        <w:t>企业应用关键绩效指标法，一般按照制定以关键绩效指</w:t>
      </w:r>
      <w:r>
        <w:rPr>
          <w:spacing w:val="-9"/>
        </w:rPr>
        <w:t>标为核心的绩效计划、制定激励计划、执行绩效计划与激励计划、实</w:t>
      </w:r>
      <w:r>
        <w:rPr>
          <w:spacing w:val="-6"/>
        </w:rPr>
        <w:t>施绩效评价与激励、编制绩效评价与激励管理报告等程序进行。</w:t>
      </w:r>
      <w:r>
        <w:rPr/>
        <w:t> </w:t>
      </w:r>
    </w:p>
    <w:p>
      <w:pPr>
        <w:pStyle w:val="BodyText"/>
        <w:spacing w:line="417" w:lineRule="auto"/>
        <w:ind w:right="160" w:firstLine="559"/>
      </w:pPr>
      <w:r>
        <w:rPr>
          <w:rFonts w:ascii="黑体" w:hAnsi="黑体" w:eastAsia="黑体" w:hint="eastAsia"/>
        </w:rPr>
        <w:t>第九条</w:t>
      </w:r>
      <w:r>
        <w:rPr/>
        <w:t> </w:t>
      </w:r>
      <w:r>
        <w:rPr>
          <w:spacing w:val="-3"/>
        </w:rPr>
        <w:t>企业通常按《管理会计应用指引第</w:t>
      </w:r>
      <w:r>
        <w:rPr/>
        <w:t>600</w:t>
      </w:r>
      <w:r>
        <w:rPr>
          <w:spacing w:val="-3"/>
        </w:rPr>
        <w:t>号——绩效管理》</w:t>
      </w:r>
      <w:r>
        <w:rPr>
          <w:spacing w:val="-8"/>
        </w:rPr>
        <w:t>第十条所规定的管理活动制定绩效计划，包括构建指标体系、分配指</w:t>
      </w:r>
      <w:r>
        <w:rPr>
          <w:spacing w:val="-12"/>
        </w:rPr>
        <w:t>标权重、确定绩效目标值、选择计分方法和评价周期、拟定绩效责任</w:t>
      </w:r>
      <w:r>
        <w:rPr>
          <w:spacing w:val="-9"/>
        </w:rPr>
        <w:t>书等。</w:t>
      </w:r>
      <w:r>
        <w:rPr/>
        <w:t> </w:t>
      </w:r>
    </w:p>
    <w:p>
      <w:pPr>
        <w:pStyle w:val="BodyText"/>
        <w:spacing w:line="358" w:lineRule="exact"/>
        <w:ind w:left="719"/>
      </w:pPr>
      <w:r>
        <w:rPr>
          <w:rFonts w:ascii="黑体" w:eastAsia="黑体" w:hint="eastAsia"/>
        </w:rPr>
        <w:t>第十条</w:t>
      </w:r>
      <w:r>
        <w:rPr/>
        <w:t> </w:t>
      </w:r>
      <w:r>
        <w:rPr/>
        <w:t>企业构建关键绩效指标体系，一般按照以下程序进行： </w:t>
      </w:r>
    </w:p>
    <w:p>
      <w:pPr>
        <w:pStyle w:val="BodyText"/>
        <w:spacing w:before="8"/>
        <w:ind w:left="0"/>
        <w:rPr>
          <w:sz w:val="20"/>
        </w:rPr>
      </w:pPr>
    </w:p>
    <w:p>
      <w:pPr>
        <w:pStyle w:val="BodyText"/>
        <w:spacing w:line="417" w:lineRule="auto" w:before="1"/>
        <w:ind w:right="115" w:firstLine="559"/>
      </w:pPr>
      <w:r>
        <w:rPr/>
        <w:t>（一</w:t>
      </w:r>
      <w:r>
        <w:rPr>
          <w:spacing w:val="-32"/>
        </w:rPr>
        <w:t>）</w:t>
      </w:r>
      <w:r>
        <w:rPr>
          <w:spacing w:val="-8"/>
        </w:rPr>
        <w:t>制定企业级关键绩效指标。企业应根据战略目标，结合价</w:t>
      </w:r>
      <w:r>
        <w:rPr>
          <w:spacing w:val="-23"/>
        </w:rPr>
        <w:t>值创造模式，综合考虑内外部环境等因素，设定企业级关键绩效指标。</w:t>
      </w:r>
      <w:r>
        <w:rPr/>
        <w:t> </w:t>
      </w:r>
    </w:p>
    <w:p>
      <w:pPr>
        <w:pStyle w:val="BodyText"/>
        <w:spacing w:line="417" w:lineRule="auto"/>
        <w:ind w:right="251" w:firstLine="559"/>
        <w:jc w:val="both"/>
      </w:pPr>
      <w:r>
        <w:rPr/>
        <w:t>（二</w:t>
      </w:r>
      <w:r>
        <w:rPr>
          <w:spacing w:val="-24"/>
        </w:rPr>
        <w:t>）</w:t>
      </w:r>
      <w:r>
        <w:rPr>
          <w:spacing w:val="-7"/>
        </w:rPr>
        <w:t>制定所属单位</w:t>
      </w:r>
      <w:r>
        <w:rPr/>
        <w:t>（部门</w:t>
      </w:r>
      <w:r>
        <w:rPr>
          <w:spacing w:val="-27"/>
        </w:rPr>
        <w:t>）</w:t>
      </w:r>
      <w:r>
        <w:rPr>
          <w:spacing w:val="-6"/>
        </w:rPr>
        <w:t>级关键绩效指标。根据企业级关键</w:t>
      </w:r>
      <w:r>
        <w:rPr>
          <w:spacing w:val="-7"/>
        </w:rPr>
        <w:t>绩效指标，结合所属单位</w:t>
      </w:r>
      <w:r>
        <w:rPr/>
        <w:t>（</w:t>
      </w:r>
      <w:r>
        <w:rPr>
          <w:spacing w:val="-2"/>
        </w:rPr>
        <w:t>部门</w:t>
      </w:r>
      <w:r>
        <w:rPr>
          <w:spacing w:val="-20"/>
        </w:rPr>
        <w:t>）</w:t>
      </w:r>
      <w:r>
        <w:rPr>
          <w:spacing w:val="-8"/>
        </w:rPr>
        <w:t>关键业务流程，按照上下结合、分</w:t>
      </w:r>
      <w:r>
        <w:rPr>
          <w:spacing w:val="-12"/>
        </w:rPr>
        <w:t>级编制、逐级分解的程序，在沟通反馈的基础上，设定所属单位</w:t>
      </w:r>
      <w:r>
        <w:rPr>
          <w:spacing w:val="-3"/>
        </w:rPr>
        <w:t>（</w:t>
      </w:r>
      <w:r>
        <w:rPr>
          <w:spacing w:val="-13"/>
        </w:rPr>
        <w:t>部</w:t>
      </w:r>
      <w:r>
        <w:rPr/>
        <w:t>门）</w:t>
      </w:r>
      <w:r>
        <w:rPr>
          <w:spacing w:val="-3"/>
        </w:rPr>
        <w:t>级关键绩效指标。</w:t>
      </w:r>
      <w:r>
        <w:rPr/>
        <w:t> </w:t>
      </w:r>
    </w:p>
    <w:p>
      <w:pPr>
        <w:pStyle w:val="BodyText"/>
        <w:spacing w:line="417" w:lineRule="auto"/>
        <w:ind w:right="115" w:firstLine="559"/>
      </w:pPr>
      <w:r>
        <w:rPr/>
        <w:t>（三</w:t>
      </w:r>
      <w:r>
        <w:rPr>
          <w:spacing w:val="-49"/>
        </w:rPr>
        <w:t>）</w:t>
      </w:r>
      <w:r>
        <w:rPr>
          <w:spacing w:val="-13"/>
        </w:rPr>
        <w:t>制定岗位</w:t>
      </w:r>
      <w:r>
        <w:rPr/>
        <w:t>（</w:t>
      </w:r>
      <w:r>
        <w:rPr>
          <w:spacing w:val="-2"/>
        </w:rPr>
        <w:t>员工</w:t>
      </w:r>
      <w:r>
        <w:rPr>
          <w:spacing w:val="-49"/>
        </w:rPr>
        <w:t>）</w:t>
      </w:r>
      <w:r>
        <w:rPr>
          <w:spacing w:val="-11"/>
        </w:rPr>
        <w:t>级关键绩效指标。根据所属单位</w:t>
      </w:r>
      <w:r>
        <w:rPr>
          <w:spacing w:val="-3"/>
        </w:rPr>
        <w:t>（</w:t>
      </w:r>
      <w:r>
        <w:rPr/>
        <w:t>部门） </w:t>
      </w:r>
      <w:r>
        <w:rPr>
          <w:spacing w:val="-10"/>
        </w:rPr>
        <w:t>级关键绩效指标，结合员工岗位职责和关键工作价值贡献，设定岗位</w:t>
      </w:r>
    </w:p>
    <w:p>
      <w:pPr>
        <w:spacing w:after="0" w:line="417" w:lineRule="auto"/>
        <w:sectPr>
          <w:pgSz w:w="11910" w:h="16840"/>
          <w:pgMar w:header="0" w:footer="974" w:top="1520" w:bottom="1160" w:left="1640" w:right="1540"/>
        </w:sectPr>
      </w:pPr>
    </w:p>
    <w:p>
      <w:pPr>
        <w:pStyle w:val="BodyText"/>
        <w:spacing w:before="34"/>
      </w:pPr>
      <w:r>
        <w:rPr/>
        <w:t>（员工）级关键绩效指标。 </w:t>
      </w:r>
    </w:p>
    <w:p>
      <w:pPr>
        <w:pStyle w:val="BodyText"/>
        <w:spacing w:before="9"/>
        <w:ind w:left="0"/>
        <w:rPr>
          <w:sz w:val="20"/>
        </w:rPr>
      </w:pPr>
    </w:p>
    <w:p>
      <w:pPr>
        <w:pStyle w:val="BodyText"/>
        <w:spacing w:line="417" w:lineRule="auto" w:before="1"/>
        <w:ind w:right="118" w:firstLine="559"/>
      </w:pPr>
      <w:r>
        <w:rPr>
          <w:rFonts w:ascii="黑体" w:eastAsia="黑体" w:hint="eastAsia"/>
        </w:rPr>
        <w:t>第十一条</w:t>
      </w:r>
      <w:r>
        <w:rPr/>
        <w:t> </w:t>
      </w:r>
      <w:r>
        <w:rPr/>
        <w:t>企业的关键绩效指标一般可分为结果类和动因类两类</w:t>
      </w:r>
      <w:r>
        <w:rPr>
          <w:spacing w:val="-18"/>
        </w:rPr>
        <w:t>指标。结果类指标是反映企业绩效的价值指标，主要包括投资回报率、</w:t>
      </w:r>
      <w:r>
        <w:rPr>
          <w:spacing w:val="-3"/>
        </w:rPr>
        <w:t>净资产收益率、经济增加值、息税前利润、自由现金流等综合指标； </w:t>
      </w:r>
      <w:r>
        <w:rPr>
          <w:spacing w:val="-8"/>
        </w:rPr>
        <w:t>动因类指标是反映企业价值关键驱动因素的指标，主要包括资本性支</w:t>
      </w:r>
      <w:r>
        <w:rPr>
          <w:spacing w:val="-5"/>
        </w:rPr>
        <w:t>出、单位生产成本、产量、销量、客户满意度、员工满意度等。 </w:t>
      </w:r>
    </w:p>
    <w:p>
      <w:pPr>
        <w:pStyle w:val="BodyText"/>
        <w:spacing w:line="417" w:lineRule="auto"/>
        <w:ind w:right="256" w:firstLine="559"/>
        <w:jc w:val="both"/>
      </w:pPr>
      <w:r>
        <w:rPr>
          <w:rFonts w:ascii="黑体" w:eastAsia="黑体" w:hint="eastAsia"/>
        </w:rPr>
        <w:t>第十二条</w:t>
      </w:r>
      <w:r>
        <w:rPr/>
        <w:t> </w:t>
      </w:r>
      <w:r>
        <w:rPr>
          <w:spacing w:val="-1"/>
        </w:rPr>
        <w:t>关键绩效指标应含义明确、可度量、与战略目标高度</w:t>
      </w:r>
      <w:r>
        <w:rPr>
          <w:spacing w:val="-12"/>
        </w:rPr>
        <w:t>相关。指标的数量不宜过多，每一层级的关键绩效指标一般不超过</w:t>
      </w:r>
      <w:r>
        <w:rPr/>
        <w:t>10 </w:t>
      </w:r>
      <w:r>
        <w:rPr>
          <w:spacing w:val="-2"/>
        </w:rPr>
        <w:t>个。</w:t>
      </w:r>
      <w:r>
        <w:rPr/>
        <w:t> </w:t>
      </w:r>
    </w:p>
    <w:p>
      <w:pPr>
        <w:pStyle w:val="BodyText"/>
        <w:spacing w:line="417" w:lineRule="auto"/>
        <w:ind w:right="260" w:firstLine="559"/>
      </w:pPr>
      <w:r>
        <w:rPr>
          <w:rFonts w:ascii="黑体" w:eastAsia="黑体" w:hint="eastAsia"/>
        </w:rPr>
        <w:t>第十三条</w:t>
      </w:r>
      <w:r>
        <w:rPr/>
        <w:t> </w:t>
      </w:r>
      <w:r>
        <w:rPr/>
        <w:t>关键绩效指标选取的方法主要有关键成果领域分析法、组织功能分解法和工作流程分解法。 </w:t>
      </w:r>
    </w:p>
    <w:p>
      <w:pPr>
        <w:pStyle w:val="BodyText"/>
        <w:spacing w:line="417" w:lineRule="auto"/>
        <w:ind w:right="257" w:firstLine="559"/>
        <w:jc w:val="both"/>
      </w:pPr>
      <w:r>
        <w:rPr>
          <w:spacing w:val="-11"/>
        </w:rPr>
        <w:t>关键成果领域分析法，是基于对企业价值创造模式的分析，确定</w:t>
      </w:r>
      <w:r>
        <w:rPr>
          <w:spacing w:val="-10"/>
        </w:rPr>
        <w:t>企业的关键成果领域，并在此基础上进一步识别关键成功要素，确定</w:t>
      </w:r>
      <w:r>
        <w:rPr>
          <w:spacing w:val="-7"/>
        </w:rPr>
        <w:t>关键绩效指标的方法。 </w:t>
      </w:r>
    </w:p>
    <w:p>
      <w:pPr>
        <w:pStyle w:val="BodyText"/>
        <w:spacing w:line="417" w:lineRule="auto"/>
        <w:ind w:right="112" w:firstLine="559"/>
        <w:jc w:val="right"/>
      </w:pPr>
      <w:r>
        <w:rPr>
          <w:spacing w:val="-17"/>
        </w:rPr>
        <w:t>组织功能分解法，是基于组织功能定位，按照各所属单位</w:t>
      </w:r>
      <w:r>
        <w:rPr/>
        <w:t>（</w:t>
      </w:r>
      <w:r>
        <w:rPr>
          <w:spacing w:val="-2"/>
        </w:rPr>
        <w:t>部门</w:t>
      </w:r>
      <w:r>
        <w:rPr>
          <w:spacing w:val="-11"/>
        </w:rPr>
        <w:t>） </w:t>
      </w:r>
      <w:r>
        <w:rPr>
          <w:spacing w:val="-7"/>
        </w:rPr>
        <w:t>对企业总目标所承担的职责，逐级分解和确定关键绩效指标的方法。</w:t>
      </w:r>
      <w:r>
        <w:rPr>
          <w:spacing w:val="-3"/>
        </w:rPr>
        <w:t>工作流程分解法，是按照工作流程各环节对企业价值贡献程度，</w:t>
      </w:r>
    </w:p>
    <w:p>
      <w:pPr>
        <w:pStyle w:val="BodyText"/>
        <w:spacing w:line="417" w:lineRule="auto"/>
        <w:ind w:right="256"/>
      </w:pPr>
      <w:r>
        <w:rPr>
          <w:spacing w:val="-13"/>
        </w:rPr>
        <w:t>识别出关键业务流程，将企业总目标层层分解至关键业务流程相关所</w:t>
      </w:r>
      <w:r>
        <w:rPr>
          <w:spacing w:val="-1"/>
          <w:w w:val="100"/>
        </w:rPr>
        <w:t>属单位</w:t>
      </w:r>
      <w:r>
        <w:rPr>
          <w:spacing w:val="-3"/>
          <w:w w:val="100"/>
        </w:rPr>
        <w:t>（</w:t>
      </w:r>
      <w:r>
        <w:rPr>
          <w:w w:val="100"/>
        </w:rPr>
        <w:t>部门</w:t>
      </w:r>
      <w:r>
        <w:rPr>
          <w:spacing w:val="-3"/>
          <w:w w:val="100"/>
        </w:rPr>
        <w:t>）</w:t>
      </w:r>
      <w:r>
        <w:rPr>
          <w:spacing w:val="-2"/>
          <w:w w:val="100"/>
        </w:rPr>
        <w:t>或岗位</w:t>
      </w:r>
      <w:r>
        <w:rPr>
          <w:w w:val="100"/>
        </w:rPr>
        <w:t>（</w:t>
      </w:r>
      <w:r>
        <w:rPr>
          <w:spacing w:val="-2"/>
          <w:w w:val="100"/>
        </w:rPr>
        <w:t>员工</w:t>
      </w:r>
      <w:r>
        <w:rPr>
          <w:spacing w:val="-142"/>
          <w:w w:val="100"/>
        </w:rPr>
        <w:t>）</w:t>
      </w:r>
      <w:r>
        <w:rPr>
          <w:spacing w:val="-3"/>
          <w:w w:val="100"/>
        </w:rPr>
        <w:t>，确定关键绩效指标的方法。</w:t>
      </w:r>
      <w:r>
        <w:rPr>
          <w:w w:val="100"/>
        </w:rPr>
        <w:t> </w:t>
      </w:r>
    </w:p>
    <w:p>
      <w:pPr>
        <w:pStyle w:val="BodyText"/>
        <w:spacing w:line="417" w:lineRule="auto"/>
        <w:ind w:right="256" w:firstLine="559"/>
        <w:jc w:val="both"/>
      </w:pPr>
      <w:r>
        <w:rPr>
          <w:rFonts w:ascii="黑体" w:eastAsia="黑体" w:hint="eastAsia"/>
        </w:rPr>
        <w:t>第十四条</w:t>
      </w:r>
      <w:r>
        <w:rPr/>
        <w:t> </w:t>
      </w:r>
      <w:r>
        <w:rPr>
          <w:spacing w:val="-1"/>
        </w:rPr>
        <w:t>关键绩效指标的权重分配应以企业战略目标为导向， </w:t>
      </w:r>
      <w:r>
        <w:rPr>
          <w:spacing w:val="-9"/>
        </w:rPr>
        <w:t>反映被评价对象对企业价值贡献或支持的程度，以及各指标之间的重</w:t>
      </w:r>
      <w:r>
        <w:rPr>
          <w:spacing w:val="-2"/>
        </w:rPr>
        <w:t>要性水平。</w:t>
      </w:r>
      <w:r>
        <w:rPr/>
        <w:t> </w:t>
      </w:r>
    </w:p>
    <w:p>
      <w:pPr>
        <w:spacing w:after="0" w:line="417" w:lineRule="auto"/>
        <w:jc w:val="both"/>
        <w:sectPr>
          <w:pgSz w:w="11910" w:h="16840"/>
          <w:pgMar w:header="0" w:footer="974" w:top="1520" w:bottom="1160" w:left="1640" w:right="1540"/>
        </w:sectPr>
      </w:pPr>
    </w:p>
    <w:p>
      <w:pPr>
        <w:pStyle w:val="BodyText"/>
        <w:spacing w:line="417" w:lineRule="auto" w:before="34"/>
        <w:ind w:right="254" w:firstLine="559"/>
        <w:jc w:val="both"/>
      </w:pPr>
      <w:r>
        <w:rPr>
          <w:spacing w:val="2"/>
        </w:rPr>
        <w:t>单项关键绩效指标权重一般设定在 </w:t>
      </w:r>
      <w:r>
        <w:rPr/>
        <w:t>5%-30%之间，对特别重要的</w:t>
      </w:r>
      <w:r>
        <w:rPr>
          <w:spacing w:val="-11"/>
        </w:rPr>
        <w:t>指标可适当提高权重。对特别关键、影响企业整体价值的指标可设立</w:t>
      </w:r>
      <w:r>
        <w:rPr>
          <w:spacing w:val="-12"/>
        </w:rPr>
        <w:t>“一票否决”制度，即如果某项关键绩效指标未完成，无论其他指标</w:t>
      </w:r>
      <w:r>
        <w:rPr>
          <w:spacing w:val="-7"/>
        </w:rPr>
        <w:t>是否完成，均视为未完成绩效目标。</w:t>
      </w:r>
      <w:r>
        <w:rPr/>
        <w:t> </w:t>
      </w:r>
    </w:p>
    <w:p>
      <w:pPr>
        <w:pStyle w:val="BodyText"/>
        <w:spacing w:line="358" w:lineRule="exact"/>
        <w:ind w:left="719"/>
      </w:pPr>
      <w:r>
        <w:rPr>
          <w:rFonts w:ascii="黑体" w:eastAsia="黑体" w:hint="eastAsia"/>
        </w:rPr>
        <w:t>第十五条</w:t>
      </w:r>
      <w:r>
        <w:rPr/>
        <w:t> </w:t>
      </w:r>
      <w:r>
        <w:rPr/>
        <w:t>企业确定关键绩效指标目标值，一般参考以下标准： </w:t>
      </w:r>
    </w:p>
    <w:p>
      <w:pPr>
        <w:pStyle w:val="BodyText"/>
        <w:spacing w:before="10"/>
        <w:ind w:left="0"/>
        <w:rPr>
          <w:sz w:val="20"/>
        </w:rPr>
      </w:pPr>
    </w:p>
    <w:p>
      <w:pPr>
        <w:pStyle w:val="BodyText"/>
        <w:spacing w:line="417" w:lineRule="auto"/>
        <w:ind w:right="258" w:firstLine="559"/>
      </w:pPr>
      <w:r>
        <w:rPr/>
        <w:t>（一</w:t>
      </w:r>
      <w:r>
        <w:rPr>
          <w:spacing w:val="-94"/>
        </w:rPr>
        <w:t>）</w:t>
      </w:r>
      <w:r>
        <w:rPr>
          <w:spacing w:val="-4"/>
        </w:rPr>
        <w:t>依据国家有关部门或权威机构发布的行业标准或参考竞争</w:t>
      </w:r>
      <w:r>
        <w:rPr>
          <w:spacing w:val="-2"/>
        </w:rPr>
        <w:t>对手标准。</w:t>
      </w:r>
      <w:r>
        <w:rPr/>
        <w:t> </w:t>
      </w:r>
    </w:p>
    <w:p>
      <w:pPr>
        <w:pStyle w:val="BodyText"/>
        <w:spacing w:line="417" w:lineRule="auto"/>
        <w:ind w:right="258" w:firstLine="559"/>
      </w:pPr>
      <w:r>
        <w:rPr/>
        <w:t>（二</w:t>
      </w:r>
      <w:r>
        <w:rPr>
          <w:spacing w:val="-32"/>
        </w:rPr>
        <w:t>）</w:t>
      </w:r>
      <w:r>
        <w:rPr>
          <w:spacing w:val="-10"/>
        </w:rPr>
        <w:t>参照企业内部标准，包括企业战略目标、年度生产经营计</w:t>
      </w:r>
      <w:r>
        <w:rPr>
          <w:spacing w:val="-3"/>
        </w:rPr>
        <w:t>划目标、年度预算目标、历年指标水平等。 </w:t>
      </w:r>
    </w:p>
    <w:p>
      <w:pPr>
        <w:pStyle w:val="BodyText"/>
        <w:spacing w:line="358" w:lineRule="exact"/>
        <w:ind w:left="719"/>
      </w:pPr>
      <w:r>
        <w:rPr/>
        <w:t>（三）不能按前两项方法确定的，可根据企业历史经验值确定。 </w:t>
      </w:r>
    </w:p>
    <w:p>
      <w:pPr>
        <w:pStyle w:val="BodyText"/>
        <w:spacing w:before="8"/>
        <w:ind w:left="0"/>
        <w:rPr>
          <w:sz w:val="20"/>
        </w:rPr>
      </w:pPr>
    </w:p>
    <w:p>
      <w:pPr>
        <w:pStyle w:val="BodyText"/>
        <w:spacing w:line="417" w:lineRule="auto" w:before="1"/>
        <w:ind w:right="256" w:firstLine="559"/>
        <w:jc w:val="both"/>
      </w:pPr>
      <w:r>
        <w:rPr>
          <w:rFonts w:ascii="黑体" w:eastAsia="黑体" w:hint="eastAsia"/>
        </w:rPr>
        <w:t>第十六条</w:t>
      </w:r>
      <w:r>
        <w:rPr/>
        <w:t> </w:t>
      </w:r>
      <w:r>
        <w:rPr>
          <w:spacing w:val="-1"/>
        </w:rPr>
        <w:t>关键绩效指标的目标值确定后，应规定因内外部环境</w:t>
      </w:r>
      <w:r>
        <w:rPr>
          <w:spacing w:val="-11"/>
        </w:rPr>
        <w:t>发生重大变化、自然灾害等不可抗力因素对绩效完成结果产生重大影响时，对目标值进行调整的办法和程序。一般情况下，由被评价对象</w:t>
      </w:r>
      <w:r>
        <w:rPr>
          <w:spacing w:val="-14"/>
        </w:rPr>
        <w:t>或评价主体测算确定影响额度，向相应的绩效管理工作机构提出调整</w:t>
      </w:r>
      <w:r>
        <w:rPr>
          <w:spacing w:val="-8"/>
        </w:rPr>
        <w:t>申请，报薪酬与考核委员会或类似机构审批。 </w:t>
      </w:r>
    </w:p>
    <w:p>
      <w:pPr>
        <w:pStyle w:val="BodyText"/>
        <w:spacing w:line="417" w:lineRule="auto"/>
        <w:ind w:right="114" w:firstLine="559"/>
      </w:pPr>
      <w:r>
        <w:rPr>
          <w:rFonts w:ascii="黑体" w:eastAsia="黑体" w:hint="eastAsia"/>
          <w:spacing w:val="-1"/>
        </w:rPr>
        <w:t>第十七条</w:t>
      </w:r>
      <w:r>
        <w:rPr>
          <w:spacing w:val="-1"/>
        </w:rPr>
        <w:t> </w:t>
      </w:r>
      <w:r>
        <w:rPr>
          <w:spacing w:val="-11"/>
        </w:rPr>
        <w:t>绩效评价计分方法和周期的选择、绩效责任书的签订、激励计划的制定，绩效计划与激励计划的执行、实施及编制报告参照</w:t>
      </w:r>
    </w:p>
    <w:p>
      <w:pPr>
        <w:pStyle w:val="BodyText"/>
      </w:pPr>
      <w:r>
        <w:rPr>
          <w:spacing w:val="-3"/>
        </w:rPr>
        <w:t>《管理会计应用指引第</w:t>
      </w:r>
      <w:r>
        <w:rPr>
          <w:spacing w:val="-1"/>
        </w:rPr>
        <w:t>600</w:t>
      </w:r>
      <w:r>
        <w:rPr>
          <w:spacing w:val="-17"/>
        </w:rPr>
        <w:t>号——绩效管理》。 </w:t>
      </w:r>
    </w:p>
    <w:p>
      <w:pPr>
        <w:pStyle w:val="BodyText"/>
        <w:ind w:left="0"/>
      </w:pPr>
    </w:p>
    <w:p>
      <w:pPr>
        <w:pStyle w:val="BodyText"/>
        <w:spacing w:before="4"/>
        <w:ind w:left="0"/>
        <w:rPr>
          <w:sz w:val="41"/>
        </w:rPr>
      </w:pPr>
    </w:p>
    <w:p>
      <w:pPr>
        <w:pStyle w:val="BodyText"/>
        <w:ind w:left="1046" w:right="1142"/>
        <w:jc w:val="center"/>
        <w:rPr>
          <w:rFonts w:ascii="黑体" w:eastAsia="黑体" w:hint="eastAsia"/>
        </w:rPr>
      </w:pPr>
      <w:r>
        <w:rPr>
          <w:rFonts w:ascii="黑体" w:eastAsia="黑体" w:hint="eastAsia"/>
          <w:spacing w:val="-2"/>
        </w:rPr>
        <w:t>第四章  工具方法评价</w:t>
      </w:r>
    </w:p>
    <w:p>
      <w:pPr>
        <w:pStyle w:val="BodyText"/>
        <w:spacing w:before="9"/>
        <w:ind w:left="0"/>
        <w:rPr>
          <w:rFonts w:ascii="黑体"/>
          <w:sz w:val="20"/>
        </w:rPr>
      </w:pPr>
    </w:p>
    <w:p>
      <w:pPr>
        <w:pStyle w:val="BodyText"/>
        <w:spacing w:line="417" w:lineRule="auto"/>
        <w:ind w:right="254" w:firstLine="559"/>
      </w:pPr>
      <w:r>
        <w:rPr>
          <w:rFonts w:ascii="黑体" w:eastAsia="黑体" w:hint="eastAsia"/>
        </w:rPr>
        <w:t>第十八条</w:t>
      </w:r>
      <w:r>
        <w:rPr/>
        <w:t> </w:t>
      </w:r>
      <w:r>
        <w:rPr/>
        <w:t>关键绩效指标法的主要优点是：一是使企业业绩评价</w:t>
      </w:r>
      <w:r>
        <w:rPr>
          <w:spacing w:val="-11"/>
        </w:rPr>
        <w:t>与战略目标密切相关，有利于战略目标的实现；二是通过识别的价值</w:t>
      </w:r>
    </w:p>
    <w:p>
      <w:pPr>
        <w:spacing w:after="0" w:line="417" w:lineRule="auto"/>
        <w:sectPr>
          <w:pgSz w:w="11910" w:h="16840"/>
          <w:pgMar w:header="0" w:footer="974" w:top="1520" w:bottom="1160" w:left="1640" w:right="1540"/>
        </w:sectPr>
      </w:pPr>
    </w:p>
    <w:p>
      <w:pPr>
        <w:pStyle w:val="BodyText"/>
        <w:spacing w:line="417" w:lineRule="auto" w:before="34"/>
        <w:ind w:right="257"/>
        <w:jc w:val="both"/>
      </w:pPr>
      <w:r>
        <w:rPr>
          <w:spacing w:val="-11"/>
        </w:rPr>
        <w:t>创造模式把握关键价值驱动因素，能够更有效地实现企业价值增值目标；三是评价指标数量相对较少，易于理解和使用，实施成本相对较</w:t>
      </w:r>
      <w:r>
        <w:rPr>
          <w:spacing w:val="-7"/>
        </w:rPr>
        <w:t>低，有利于推广实施。 </w:t>
      </w:r>
    </w:p>
    <w:p>
      <w:pPr>
        <w:pStyle w:val="BodyText"/>
        <w:spacing w:line="417" w:lineRule="auto"/>
        <w:ind w:right="256" w:firstLine="559"/>
        <w:jc w:val="both"/>
      </w:pPr>
      <w:r>
        <w:rPr>
          <w:rFonts w:ascii="黑体" w:eastAsia="黑体" w:hint="eastAsia"/>
        </w:rPr>
        <w:t>第十九条</w:t>
      </w:r>
      <w:r>
        <w:rPr/>
        <w:t> </w:t>
      </w:r>
      <w:r>
        <w:rPr>
          <w:spacing w:val="-1"/>
        </w:rPr>
        <w:t>关键绩效指标法的主要缺点是：关键绩效指标的选取</w:t>
      </w:r>
      <w:r>
        <w:rPr>
          <w:spacing w:val="-9"/>
        </w:rPr>
        <w:t>需要透彻理解企业价值创造模式和战略目标，有效识别核心业务流程</w:t>
      </w:r>
      <w:r>
        <w:rPr>
          <w:spacing w:val="-12"/>
        </w:rPr>
        <w:t>和关键价值驱动因素，指标体系设计不当将导致错误的价值导向或管</w:t>
      </w:r>
      <w:r>
        <w:rPr>
          <w:spacing w:val="-10"/>
        </w:rPr>
        <w:t>理缺失。</w:t>
      </w:r>
      <w:r>
        <w:rPr/>
        <w:t> </w:t>
      </w:r>
    </w:p>
    <w:p>
      <w:pPr>
        <w:pStyle w:val="BodyText"/>
        <w:ind w:left="0"/>
      </w:pPr>
    </w:p>
    <w:p>
      <w:pPr>
        <w:pStyle w:val="BodyText"/>
        <w:spacing w:before="8"/>
        <w:ind w:left="0"/>
        <w:rPr>
          <w:sz w:val="20"/>
        </w:rPr>
      </w:pPr>
    </w:p>
    <w:p>
      <w:pPr>
        <w:pStyle w:val="BodyText"/>
        <w:spacing w:line="417" w:lineRule="auto" w:before="1"/>
        <w:ind w:left="719" w:right="3243" w:firstLine="2614"/>
      </w:pPr>
      <w:r>
        <w:rPr>
          <w:rFonts w:ascii="黑体" w:eastAsia="黑体" w:hint="eastAsia"/>
        </w:rPr>
        <w:t>第五章 附 则第二十条</w:t>
      </w:r>
      <w:r>
        <w:rPr/>
        <w:t> </w:t>
      </w:r>
      <w:r>
        <w:rPr/>
        <w:t>本指引由财政部负责解释。 </w:t>
      </w:r>
    </w:p>
    <w:p>
      <w:pPr>
        <w:spacing w:after="0" w:line="417" w:lineRule="auto"/>
        <w:sectPr>
          <w:pgSz w:w="11910" w:h="16840"/>
          <w:pgMar w:header="0" w:footer="974" w:top="1520" w:bottom="1160" w:left="1640" w:right="1540"/>
        </w:sect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7"/>
        </w:rPr>
      </w:pPr>
    </w:p>
    <w:p>
      <w:pPr>
        <w:pStyle w:val="Heading1"/>
        <w:ind w:left="683"/>
      </w:pPr>
      <w:r>
        <w:rPr/>
        <w:t>管理会计应用指引第602号</w:t>
      </w:r>
      <w:r>
        <w:rPr>
          <w:rFonts w:ascii="黑体" w:hAnsi="黑体" w:eastAsia="黑体" w:hint="eastAsia"/>
          <w:b w:val="0"/>
        </w:rPr>
        <w:t>——</w:t>
      </w:r>
      <w:r>
        <w:rPr/>
        <w:t>经济增加值法</w:t>
      </w:r>
      <w:r>
        <w:rPr>
          <w:w w:val="99"/>
        </w:rPr>
        <w:t> </w:t>
      </w:r>
    </w:p>
    <w:p>
      <w:pPr>
        <w:pStyle w:val="BodyText"/>
        <w:ind w:left="0"/>
        <w:rPr>
          <w:b/>
          <w:sz w:val="36"/>
        </w:rPr>
      </w:pPr>
    </w:p>
    <w:p>
      <w:pPr>
        <w:pStyle w:val="BodyText"/>
        <w:spacing w:before="5"/>
        <w:ind w:left="0"/>
        <w:rPr>
          <w:b/>
          <w:sz w:val="29"/>
        </w:rPr>
      </w:pPr>
    </w:p>
    <w:p>
      <w:pPr>
        <w:pStyle w:val="BodyText"/>
        <w:ind w:left="1047" w:right="1142"/>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ind w:right="117" w:firstLine="566"/>
      </w:pPr>
      <w:r>
        <w:rPr>
          <w:rFonts w:ascii="黑体" w:eastAsia="黑体" w:hint="eastAsia"/>
        </w:rPr>
        <w:t>第一条</w:t>
      </w:r>
      <w:r>
        <w:rPr/>
        <w:t> </w:t>
      </w:r>
      <w:r>
        <w:rPr/>
        <w:t>经济增加值法，是指以经济增加值（Economic Value Added，简称EVA）为核心，建立绩效指标体系，引导企业注重价值创造，并据此进行绩效管理的方法。 </w:t>
      </w:r>
    </w:p>
    <w:p>
      <w:pPr>
        <w:pStyle w:val="BodyText"/>
        <w:spacing w:line="417" w:lineRule="auto"/>
        <w:ind w:right="248" w:firstLine="631"/>
        <w:jc w:val="both"/>
      </w:pPr>
      <w:r>
        <w:rPr/>
        <w:t>经济增加值，是指税后净营业利润扣除全部投入资本的成本后</w:t>
      </w:r>
      <w:r>
        <w:rPr>
          <w:spacing w:val="-11"/>
        </w:rPr>
        <w:t>的剩余收益。经济增加值及其改善值是全面评价经营者有效使用资本</w:t>
      </w:r>
      <w:r>
        <w:rPr>
          <w:spacing w:val="-12"/>
        </w:rPr>
        <w:t>和为企业创造价值的重要指标。经济增加值为正，表明经营者在为企</w:t>
      </w:r>
      <w:r>
        <w:rPr>
          <w:spacing w:val="-7"/>
        </w:rPr>
        <w:t>业创造价值；经济增加值为负，表明经营者在损毁企业价值。 </w:t>
      </w:r>
    </w:p>
    <w:p>
      <w:pPr>
        <w:pStyle w:val="BodyText"/>
        <w:spacing w:line="417" w:lineRule="auto"/>
        <w:ind w:right="256" w:firstLine="559"/>
      </w:pPr>
      <w:r>
        <w:rPr>
          <w:rFonts w:ascii="黑体" w:eastAsia="黑体" w:hint="eastAsia"/>
        </w:rPr>
        <w:t>第二条</w:t>
      </w:r>
      <w:r>
        <w:rPr/>
        <w:t> </w:t>
      </w:r>
      <w:r>
        <w:rPr/>
        <w:t>经济增加值法较少单独应用，一般与关键绩效指标法、平衡计分卡等其他方法结合使用。 </w:t>
      </w:r>
    </w:p>
    <w:p>
      <w:pPr>
        <w:pStyle w:val="BodyText"/>
        <w:spacing w:line="417" w:lineRule="auto"/>
        <w:ind w:right="163" w:firstLine="559"/>
      </w:pPr>
      <w:r>
        <w:rPr>
          <w:rFonts w:ascii="黑体" w:eastAsia="黑体" w:hint="eastAsia"/>
        </w:rPr>
        <w:t>第三条</w:t>
      </w:r>
      <w:r>
        <w:rPr/>
        <w:t> </w:t>
      </w:r>
      <w:r>
        <w:rPr/>
        <w:t>企业应用经济增加值法进行绩效管理的对象，可为企业</w:t>
      </w:r>
      <w:r>
        <w:rPr>
          <w:spacing w:val="-2"/>
          <w:w w:val="100"/>
        </w:rPr>
        <w:t>及其所属单位</w:t>
      </w:r>
      <w:r>
        <w:rPr>
          <w:spacing w:val="-3"/>
          <w:w w:val="100"/>
        </w:rPr>
        <w:t>（</w:t>
      </w:r>
      <w:r>
        <w:rPr>
          <w:spacing w:val="-2"/>
          <w:w w:val="100"/>
        </w:rPr>
        <w:t>部门</w:t>
      </w:r>
      <w:r>
        <w:rPr>
          <w:spacing w:val="-140"/>
          <w:w w:val="100"/>
        </w:rPr>
        <w:t>）</w:t>
      </w:r>
      <w:r>
        <w:rPr>
          <w:spacing w:val="-3"/>
          <w:w w:val="100"/>
        </w:rPr>
        <w:t>（可单独计算经济增加值</w:t>
      </w:r>
      <w:r>
        <w:rPr>
          <w:w w:val="100"/>
        </w:rPr>
        <w:t>）</w:t>
      </w:r>
      <w:r>
        <w:rPr>
          <w:spacing w:val="-3"/>
          <w:w w:val="100"/>
        </w:rPr>
        <w:t>和高级管理人员。 </w:t>
      </w:r>
    </w:p>
    <w:p>
      <w:pPr>
        <w:pStyle w:val="BodyText"/>
        <w:ind w:left="0"/>
      </w:pPr>
    </w:p>
    <w:p>
      <w:pPr>
        <w:pStyle w:val="BodyText"/>
        <w:spacing w:before="8"/>
        <w:ind w:left="0"/>
        <w:rPr>
          <w:sz w:val="20"/>
        </w:rPr>
      </w:pPr>
    </w:p>
    <w:p>
      <w:pPr>
        <w:pStyle w:val="BodyText"/>
        <w:ind w:left="1049" w:right="1142"/>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ind w:right="258" w:firstLine="559"/>
      </w:pPr>
      <w:r>
        <w:rPr>
          <w:rFonts w:ascii="黑体" w:hAnsi="黑体" w:eastAsia="黑体" w:hint="eastAsia"/>
        </w:rPr>
        <w:t>第四条</w:t>
      </w:r>
      <w:r>
        <w:rPr/>
        <w:t> 企业应用经济增加值法，应遵循《管理会计应用指引第600号——绩效管理》中对应用环境的一般要求。 </w:t>
      </w:r>
    </w:p>
    <w:p>
      <w:pPr>
        <w:pStyle w:val="BodyText"/>
        <w:spacing w:line="417" w:lineRule="auto"/>
        <w:ind w:right="257" w:firstLine="559"/>
      </w:pPr>
      <w:r>
        <w:rPr>
          <w:rFonts w:ascii="黑体" w:eastAsia="黑体" w:hint="eastAsia"/>
        </w:rPr>
        <w:t>第五条</w:t>
      </w:r>
      <w:r>
        <w:rPr/>
        <w:t> </w:t>
      </w:r>
      <w:r>
        <w:rPr>
          <w:spacing w:val="-1"/>
        </w:rPr>
        <w:t>企业应用经济增加值法，应树立价值管理理念，明确以</w:t>
      </w:r>
      <w:r>
        <w:rPr>
          <w:spacing w:val="-11"/>
        </w:rPr>
        <w:t>价值创造为中心的战略目标，建立以经济增加值为核心的价值管理体</w:t>
      </w:r>
    </w:p>
    <w:p>
      <w:pPr>
        <w:spacing w:after="0" w:line="417" w:lineRule="auto"/>
        <w:sectPr>
          <w:pgSz w:w="11910" w:h="16840"/>
          <w:pgMar w:header="0" w:footer="974" w:top="1580" w:bottom="1160" w:left="1640" w:right="1540"/>
        </w:sectPr>
      </w:pPr>
    </w:p>
    <w:p>
      <w:pPr>
        <w:pStyle w:val="BodyText"/>
        <w:spacing w:before="34"/>
      </w:pPr>
      <w:r>
        <w:rPr/>
        <w:t>系，使价值管理成为企业的核心管理制度。 </w:t>
      </w:r>
    </w:p>
    <w:p>
      <w:pPr>
        <w:pStyle w:val="BodyText"/>
        <w:spacing w:before="9"/>
        <w:ind w:left="0"/>
        <w:rPr>
          <w:sz w:val="20"/>
        </w:rPr>
      </w:pPr>
    </w:p>
    <w:p>
      <w:pPr>
        <w:pStyle w:val="BodyText"/>
        <w:spacing w:line="417" w:lineRule="auto" w:before="1"/>
        <w:ind w:right="117" w:firstLine="559"/>
      </w:pPr>
      <w:r>
        <w:rPr>
          <w:rFonts w:ascii="黑体" w:eastAsia="黑体" w:hint="eastAsia"/>
        </w:rPr>
        <w:t>第六条</w:t>
      </w:r>
      <w:r>
        <w:rPr/>
        <w:t> </w:t>
      </w:r>
      <w:r>
        <w:rPr>
          <w:spacing w:val="-12"/>
        </w:rPr>
        <w:t>企业应综合考虑宏观环境、行业特点和企业的实际情况， </w:t>
      </w:r>
      <w:r>
        <w:rPr>
          <w:spacing w:val="-9"/>
        </w:rPr>
        <w:t>通过价值创造模式的识别，确定关键价值驱动因素，构建以经济增加</w:t>
      </w:r>
      <w:r>
        <w:rPr>
          <w:spacing w:val="-6"/>
        </w:rPr>
        <w:t>值为核心的指标体系。 </w:t>
      </w:r>
    </w:p>
    <w:p>
      <w:pPr>
        <w:pStyle w:val="BodyText"/>
        <w:spacing w:line="417" w:lineRule="auto"/>
        <w:ind w:right="258" w:firstLine="559"/>
      </w:pPr>
      <w:r>
        <w:rPr>
          <w:rFonts w:ascii="黑体" w:eastAsia="黑体" w:hint="eastAsia"/>
        </w:rPr>
        <w:t>第七条</w:t>
      </w:r>
      <w:r>
        <w:rPr/>
        <w:t> </w:t>
      </w:r>
      <w:r>
        <w:rPr/>
        <w:t>企业应建立清晰的资本资产管理责任体系，确定不同被评价对象的资本资产管理责任。 </w:t>
      </w:r>
    </w:p>
    <w:p>
      <w:pPr>
        <w:pStyle w:val="BodyText"/>
        <w:spacing w:line="417" w:lineRule="auto"/>
        <w:ind w:right="114" w:firstLine="559"/>
      </w:pPr>
      <w:r>
        <w:rPr>
          <w:rFonts w:ascii="黑体" w:eastAsia="黑体" w:hint="eastAsia"/>
        </w:rPr>
        <w:t>第八条</w:t>
      </w:r>
      <w:r>
        <w:rPr/>
        <w:t> </w:t>
      </w:r>
      <w:r>
        <w:rPr>
          <w:spacing w:val="-11"/>
        </w:rPr>
        <w:t>企业应建立健全会计核算体系，确保会计数据真实可靠、</w:t>
      </w:r>
      <w:r>
        <w:rPr>
          <w:spacing w:val="-3"/>
        </w:rPr>
        <w:t>内容完整，并及时获取与经济增加值计算相关的会计数据。 </w:t>
      </w:r>
    </w:p>
    <w:p>
      <w:pPr>
        <w:pStyle w:val="BodyText"/>
        <w:spacing w:line="417" w:lineRule="auto"/>
        <w:ind w:right="258" w:firstLine="559"/>
      </w:pPr>
      <w:r>
        <w:rPr>
          <w:rFonts w:ascii="黑体" w:eastAsia="黑体" w:hint="eastAsia"/>
        </w:rPr>
        <w:t>第九条</w:t>
      </w:r>
      <w:r>
        <w:rPr/>
        <w:t> </w:t>
      </w:r>
      <w:r>
        <w:rPr/>
        <w:t>企业应加强融资管理，关注筹资来源与渠道，及时获取债务资本成本、股权资本成本等相关信息，合理确定资本成本。 </w:t>
      </w:r>
    </w:p>
    <w:p>
      <w:pPr>
        <w:pStyle w:val="BodyText"/>
        <w:spacing w:line="417" w:lineRule="auto"/>
        <w:ind w:right="258" w:firstLine="559"/>
      </w:pPr>
      <w:r>
        <w:rPr>
          <w:rFonts w:ascii="黑体" w:eastAsia="黑体" w:hint="eastAsia"/>
        </w:rPr>
        <w:t>第十条</w:t>
      </w:r>
      <w:r>
        <w:rPr/>
        <w:t> </w:t>
      </w:r>
      <w:r>
        <w:rPr/>
        <w:t>企业应加强投资管理，把能否增加价值作为新增投资项目决策的主要评判标准，以保持持续的价值创造能力。 </w:t>
      </w:r>
    </w:p>
    <w:p>
      <w:pPr>
        <w:pStyle w:val="BodyText"/>
        <w:ind w:left="0"/>
      </w:pPr>
    </w:p>
    <w:p>
      <w:pPr>
        <w:pStyle w:val="BodyText"/>
        <w:spacing w:before="7"/>
        <w:ind w:left="0"/>
        <w:rPr>
          <w:sz w:val="20"/>
        </w:rPr>
      </w:pPr>
    </w:p>
    <w:p>
      <w:pPr>
        <w:pStyle w:val="BodyText"/>
        <w:ind w:left="1049" w:right="1142"/>
        <w:jc w:val="center"/>
        <w:rPr>
          <w:rFonts w:ascii="黑体" w:eastAsia="黑体" w:hint="eastAsia"/>
        </w:rPr>
      </w:pPr>
      <w:r>
        <w:rPr>
          <w:rFonts w:ascii="黑体" w:eastAsia="黑体" w:hint="eastAsia"/>
        </w:rPr>
        <w:t>第三章 应用程序</w:t>
      </w:r>
    </w:p>
    <w:p>
      <w:pPr>
        <w:pStyle w:val="BodyText"/>
        <w:spacing w:before="9"/>
        <w:ind w:left="0"/>
        <w:rPr>
          <w:rFonts w:ascii="黑体"/>
          <w:sz w:val="20"/>
        </w:rPr>
      </w:pPr>
    </w:p>
    <w:p>
      <w:pPr>
        <w:pStyle w:val="BodyText"/>
        <w:spacing w:line="417" w:lineRule="auto"/>
        <w:ind w:right="163" w:firstLine="559"/>
      </w:pPr>
      <w:r>
        <w:rPr>
          <w:rFonts w:ascii="黑体" w:eastAsia="黑体" w:hint="eastAsia"/>
        </w:rPr>
        <w:t>第十一条</w:t>
      </w:r>
      <w:r>
        <w:rPr/>
        <w:t> </w:t>
      </w:r>
      <w:r>
        <w:rPr/>
        <w:t>企业应用经济增加值法，一般按照制定以经济增加值指标为核心的绩效计划、制定激励计划、执行绩效计划与激励计划、实施绩效评价与激励、编制绩效评价与激励管理报告等程序进行。 </w:t>
      </w:r>
    </w:p>
    <w:p>
      <w:pPr>
        <w:pStyle w:val="BodyText"/>
        <w:spacing w:line="417" w:lineRule="auto"/>
        <w:ind w:right="115" w:firstLine="559"/>
        <w:jc w:val="both"/>
      </w:pPr>
      <w:r>
        <w:rPr>
          <w:rFonts w:ascii="黑体" w:hAnsi="黑体" w:eastAsia="黑体" w:hint="eastAsia"/>
          <w:spacing w:val="6"/>
        </w:rPr>
        <w:t>第十二条</w:t>
      </w:r>
      <w:r>
        <w:rPr>
          <w:spacing w:val="6"/>
        </w:rPr>
        <w:t> </w:t>
      </w:r>
      <w:r>
        <w:rPr>
          <w:spacing w:val="4"/>
        </w:rPr>
        <w:t>企业通常按《管理会计应用指引第</w:t>
      </w:r>
      <w:r>
        <w:rPr>
          <w:spacing w:val="2"/>
        </w:rPr>
        <w:t>600</w:t>
      </w:r>
      <w:r>
        <w:rPr>
          <w:spacing w:val="4"/>
        </w:rPr>
        <w:t>号——绩效管</w:t>
      </w:r>
      <w:r>
        <w:rPr>
          <w:spacing w:val="-11"/>
        </w:rPr>
        <w:t>理》第十条所规定的管理活动制定绩效计划。绩效计划是企业开展业</w:t>
      </w:r>
      <w:r>
        <w:rPr>
          <w:spacing w:val="-13"/>
        </w:rPr>
        <w:t>绩评价工作的行动方案，包括构建指标体系、分配指标权重、确定业</w:t>
      </w:r>
      <w:r>
        <w:rPr>
          <w:spacing w:val="-11"/>
        </w:rPr>
        <w:t>绩绩效目标值、选择计分方法和评价周期、拟定业绩绩效责任书等。</w:t>
      </w:r>
      <w:r>
        <w:rPr/>
        <w:t> </w:t>
      </w:r>
    </w:p>
    <w:p>
      <w:pPr>
        <w:pStyle w:val="BodyText"/>
        <w:spacing w:line="358" w:lineRule="exact"/>
        <w:ind w:left="719"/>
      </w:pPr>
      <w:r>
        <w:rPr>
          <w:rFonts w:ascii="黑体" w:eastAsia="黑体" w:hint="eastAsia"/>
        </w:rPr>
        <w:t>第十三条</w:t>
      </w:r>
      <w:r>
        <w:rPr/>
        <w:t> </w:t>
      </w:r>
      <w:r>
        <w:rPr/>
        <w:t>构建经济增加值指标体系，一般按照以下程序进行： </w:t>
      </w:r>
    </w:p>
    <w:p>
      <w:pPr>
        <w:spacing w:after="0" w:line="358" w:lineRule="exact"/>
        <w:sectPr>
          <w:pgSz w:w="11910" w:h="16840"/>
          <w:pgMar w:header="0" w:footer="974" w:top="1520" w:bottom="1160" w:left="1640" w:right="1540"/>
        </w:sectPr>
      </w:pPr>
    </w:p>
    <w:p>
      <w:pPr>
        <w:pStyle w:val="BodyText"/>
        <w:spacing w:line="417" w:lineRule="auto" w:before="34"/>
        <w:ind w:right="252" w:firstLine="479"/>
        <w:jc w:val="both"/>
      </w:pPr>
      <w:r>
        <w:rPr/>
        <w:t>（一</w:t>
      </w:r>
      <w:r>
        <w:rPr>
          <w:spacing w:val="-8"/>
        </w:rPr>
        <w:t>）</w:t>
      </w:r>
      <w:r>
        <w:rPr>
          <w:spacing w:val="-4"/>
        </w:rPr>
        <w:t>制定企业级经济增加值指标体系。首先应结合行业竞争优</w:t>
      </w:r>
      <w:r>
        <w:rPr>
          <w:spacing w:val="-12"/>
        </w:rPr>
        <w:t>势、组织结构、业务特点、会计政策等情况，确定企业级经济增加值</w:t>
      </w:r>
      <w:r>
        <w:rPr>
          <w:spacing w:val="-10"/>
        </w:rPr>
        <w:t>指标的计算公式、调整项目、资本成本等，并围绕经济增加值的关键</w:t>
      </w:r>
      <w:r>
        <w:rPr>
          <w:spacing w:val="-7"/>
        </w:rPr>
        <w:t>驱动因素，制定企业的经济增加值指标体系。 </w:t>
      </w:r>
    </w:p>
    <w:p>
      <w:pPr>
        <w:pStyle w:val="BodyText"/>
        <w:spacing w:line="417" w:lineRule="auto"/>
        <w:ind w:right="118" w:firstLine="479"/>
      </w:pPr>
      <w:r>
        <w:rPr/>
        <w:t>（二</w:t>
      </w:r>
      <w:r>
        <w:rPr>
          <w:spacing w:val="-5"/>
        </w:rPr>
        <w:t>）</w:t>
      </w:r>
      <w:r>
        <w:rPr>
          <w:spacing w:val="-3"/>
        </w:rPr>
        <w:t>制定所属单位</w:t>
      </w:r>
      <w:r>
        <w:rPr/>
        <w:t>（</w:t>
      </w:r>
      <w:r>
        <w:rPr>
          <w:spacing w:val="-3"/>
        </w:rPr>
        <w:t>部门）</w:t>
      </w:r>
      <w:r>
        <w:rPr>
          <w:spacing w:val="-4"/>
        </w:rPr>
        <w:t>级经济增加值指标体系。根据企业</w:t>
      </w:r>
      <w:r>
        <w:rPr>
          <w:spacing w:val="-13"/>
        </w:rPr>
        <w:t>级经济增加值指标体系，结合所属单位</w:t>
      </w:r>
      <w:r>
        <w:rPr/>
        <w:t>（</w:t>
      </w:r>
      <w:r>
        <w:rPr>
          <w:spacing w:val="-2"/>
        </w:rPr>
        <w:t>部门</w:t>
      </w:r>
      <w:r>
        <w:rPr>
          <w:spacing w:val="-61"/>
        </w:rPr>
        <w:t>）</w:t>
      </w:r>
      <w:r>
        <w:rPr>
          <w:spacing w:val="-9"/>
        </w:rPr>
        <w:t>所处行业、业务特点、</w:t>
      </w:r>
      <w:r>
        <w:rPr>
          <w:spacing w:val="-10"/>
        </w:rPr>
        <w:t>资产规模等因素，在充分沟通的基础上，设定所属单位</w:t>
      </w:r>
      <w:r>
        <w:rPr/>
        <w:t>（部门</w:t>
      </w:r>
      <w:r>
        <w:rPr>
          <w:spacing w:val="-24"/>
        </w:rPr>
        <w:t>）</w:t>
      </w:r>
      <w:r>
        <w:rPr>
          <w:spacing w:val="-2"/>
        </w:rPr>
        <w:t>级经</w:t>
      </w:r>
      <w:r>
        <w:rPr>
          <w:spacing w:val="-10"/>
        </w:rPr>
        <w:t>济增加值指标的计算公式、调整项目、资本成本等，并围绕所属单位</w:t>
      </w:r>
    </w:p>
    <w:p>
      <w:pPr>
        <w:pStyle w:val="BodyText"/>
        <w:spacing w:line="417" w:lineRule="auto"/>
        <w:ind w:right="254"/>
      </w:pPr>
      <w:r>
        <w:rPr/>
        <w:t>（部门</w:t>
      </w:r>
      <w:r>
        <w:rPr>
          <w:spacing w:val="-24"/>
        </w:rPr>
        <w:t>）</w:t>
      </w:r>
      <w:r>
        <w:rPr>
          <w:spacing w:val="-6"/>
        </w:rPr>
        <w:t>经济增加值的关键驱动因素，细化制定所属单位</w:t>
      </w:r>
      <w:r>
        <w:rPr/>
        <w:t>（部门</w:t>
      </w:r>
      <w:r>
        <w:rPr>
          <w:spacing w:val="-27"/>
        </w:rPr>
        <w:t>）</w:t>
      </w:r>
      <w:r>
        <w:rPr>
          <w:spacing w:val="-13"/>
        </w:rPr>
        <w:t>的</w:t>
      </w:r>
      <w:r>
        <w:rPr>
          <w:spacing w:val="-3"/>
        </w:rPr>
        <w:t>经济增加值指标体系。 </w:t>
      </w:r>
    </w:p>
    <w:p>
      <w:pPr>
        <w:pStyle w:val="BodyText"/>
        <w:spacing w:line="417" w:lineRule="auto"/>
        <w:ind w:right="244" w:firstLine="479"/>
        <w:jc w:val="both"/>
      </w:pPr>
      <w:r>
        <w:rPr/>
        <w:t>（三）</w:t>
      </w:r>
      <w:r>
        <w:rPr>
          <w:spacing w:val="-4"/>
        </w:rPr>
        <w:t>制定高级管理人员的经济增加值指标体系。根据企业级、</w:t>
      </w:r>
      <w:r>
        <w:rPr>
          <w:spacing w:val="-9"/>
        </w:rPr>
        <w:t>所属单位</w:t>
      </w:r>
      <w:r>
        <w:rPr/>
        <w:t>（</w:t>
      </w:r>
      <w:r>
        <w:rPr>
          <w:spacing w:val="-2"/>
        </w:rPr>
        <w:t>部门</w:t>
      </w:r>
      <w:r>
        <w:rPr>
          <w:spacing w:val="-34"/>
        </w:rPr>
        <w:t>）</w:t>
      </w:r>
      <w:r>
        <w:rPr>
          <w:spacing w:val="-6"/>
        </w:rPr>
        <w:t>级经济增加值指标体系，结合高级管理人员的岗位</w:t>
      </w:r>
      <w:r>
        <w:rPr>
          <w:spacing w:val="-5"/>
        </w:rPr>
        <w:t>职责，制定高级管理人员的经济增加值指标体系。 </w:t>
      </w:r>
    </w:p>
    <w:p>
      <w:pPr>
        <w:pStyle w:val="BodyText"/>
        <w:spacing w:line="358" w:lineRule="exact"/>
        <w:ind w:left="719"/>
      </w:pPr>
      <w:r>
        <w:rPr>
          <w:rFonts w:ascii="黑体" w:eastAsia="黑体" w:hint="eastAsia"/>
        </w:rPr>
        <w:t>第十四条</w:t>
      </w:r>
      <w:r>
        <w:rPr/>
        <w:t> </w:t>
      </w:r>
      <w:r>
        <w:rPr/>
        <w:t>经济增加值的计算公式为： </w:t>
      </w:r>
    </w:p>
    <w:p>
      <w:pPr>
        <w:pStyle w:val="BodyText"/>
        <w:spacing w:before="12"/>
        <w:ind w:left="0"/>
        <w:rPr>
          <w:sz w:val="24"/>
        </w:rPr>
      </w:pPr>
    </w:p>
    <w:p>
      <w:pPr>
        <w:pStyle w:val="BodyText"/>
        <w:spacing w:line="393" w:lineRule="auto"/>
        <w:ind w:right="256" w:firstLine="631"/>
      </w:pPr>
      <w:r>
        <w:rPr/>
        <w:t>经济增加值＝税后净营业利润－平均资本占用×加权平均资本成本 </w:t>
      </w:r>
    </w:p>
    <w:p>
      <w:pPr>
        <w:pStyle w:val="BodyText"/>
        <w:spacing w:line="303" w:lineRule="exact"/>
        <w:ind w:left="791"/>
      </w:pPr>
      <w:r>
        <w:rPr/>
        <w:t>其中：税后净营业利润衡量的是企业的经营盈利情况；平均资</w:t>
      </w:r>
    </w:p>
    <w:p>
      <w:pPr>
        <w:pStyle w:val="BodyText"/>
        <w:spacing w:before="9"/>
        <w:ind w:left="0"/>
        <w:rPr>
          <w:sz w:val="20"/>
        </w:rPr>
      </w:pPr>
    </w:p>
    <w:p>
      <w:pPr>
        <w:pStyle w:val="BodyText"/>
        <w:spacing w:line="417" w:lineRule="auto"/>
        <w:ind w:right="258"/>
      </w:pPr>
      <w:r>
        <w:rPr>
          <w:spacing w:val="-8"/>
        </w:rPr>
        <w:t>本占用反映的是企业持续投入的各种债务资本和股权资本；加权平均</w:t>
      </w:r>
      <w:r>
        <w:rPr>
          <w:spacing w:val="-3"/>
        </w:rPr>
        <w:t>资本成本反映的是企业各种资本的平均成本率。 </w:t>
      </w:r>
    </w:p>
    <w:p>
      <w:pPr>
        <w:pStyle w:val="BodyText"/>
        <w:spacing w:line="417" w:lineRule="auto"/>
        <w:ind w:right="257" w:firstLine="559"/>
        <w:jc w:val="both"/>
      </w:pPr>
      <w:r>
        <w:rPr>
          <w:rFonts w:ascii="黑体" w:eastAsia="黑体" w:hint="eastAsia"/>
        </w:rPr>
        <w:t>第十五条</w:t>
      </w:r>
      <w:r>
        <w:rPr/>
        <w:t> </w:t>
      </w:r>
      <w:r>
        <w:rPr>
          <w:spacing w:val="-1"/>
        </w:rPr>
        <w:t>计算经济增加值时，需要进行相应的会计项目调整， </w:t>
      </w:r>
      <w:r>
        <w:rPr>
          <w:spacing w:val="-8"/>
        </w:rPr>
        <w:t>以消除财务报表中不能准确反映企业价值创造的部分。会计调整项目</w:t>
      </w:r>
      <w:r>
        <w:rPr>
          <w:spacing w:val="-11"/>
        </w:rPr>
        <w:t>的选择应遵循价值导向性、重要性、可控性、可操作性与行业可比性</w:t>
      </w:r>
    </w:p>
    <w:p>
      <w:pPr>
        <w:spacing w:after="0" w:line="417" w:lineRule="auto"/>
        <w:jc w:val="both"/>
        <w:sectPr>
          <w:pgSz w:w="11910" w:h="16840"/>
          <w:pgMar w:header="0" w:footer="974" w:top="1520" w:bottom="1160" w:left="1640" w:right="1540"/>
        </w:sectPr>
      </w:pPr>
    </w:p>
    <w:p>
      <w:pPr>
        <w:pStyle w:val="BodyText"/>
        <w:spacing w:before="34"/>
      </w:pPr>
      <w:r>
        <w:rPr/>
        <w:t>等原则，根据企业实际情况确定。常用的调整项目有： </w:t>
      </w:r>
    </w:p>
    <w:p>
      <w:pPr>
        <w:pStyle w:val="BodyText"/>
        <w:spacing w:before="9"/>
        <w:ind w:left="0"/>
        <w:rPr>
          <w:sz w:val="20"/>
        </w:rPr>
      </w:pPr>
    </w:p>
    <w:p>
      <w:pPr>
        <w:pStyle w:val="BodyText"/>
        <w:spacing w:line="417" w:lineRule="auto" w:before="1"/>
        <w:ind w:right="256" w:firstLine="631"/>
      </w:pPr>
      <w:r>
        <w:rPr/>
        <w:t>（一）研究开发费、大型广告费等一次性支出但收益期较长的费用，应予以资本化处理，不计入当期费用。 </w:t>
      </w:r>
    </w:p>
    <w:p>
      <w:pPr>
        <w:pStyle w:val="BodyText"/>
        <w:spacing w:line="417" w:lineRule="auto"/>
        <w:ind w:right="261" w:firstLine="631"/>
      </w:pPr>
      <w:r>
        <w:rPr/>
        <w:t>（二）反映付息债务成本的利息支出，不作为期间费用扣除， 计算税后净营业利润时扣除所得税影响后予以加回。 </w:t>
      </w:r>
    </w:p>
    <w:p>
      <w:pPr>
        <w:pStyle w:val="BodyText"/>
        <w:spacing w:line="417" w:lineRule="auto"/>
        <w:ind w:right="261" w:firstLine="631"/>
      </w:pPr>
      <w:r>
        <w:rPr/>
        <w:t>（三）营业外收入、营业外支出具有偶发性，将当期发生的营业外收支从税后净营业利润中扣除。 </w:t>
      </w:r>
    </w:p>
    <w:p>
      <w:pPr>
        <w:pStyle w:val="BodyText"/>
        <w:spacing w:line="417" w:lineRule="auto"/>
        <w:ind w:right="255" w:firstLine="631"/>
      </w:pPr>
      <w:r>
        <w:rPr/>
        <w:t>（四）将当期减值损失扣除所得税影响后予以加回，并在计算资本占用时相应调整资产减值准备发生额。 </w:t>
      </w:r>
    </w:p>
    <w:p>
      <w:pPr>
        <w:pStyle w:val="BodyText"/>
        <w:spacing w:line="417" w:lineRule="auto"/>
        <w:ind w:right="253" w:firstLine="631"/>
        <w:jc w:val="both"/>
      </w:pPr>
      <w:r>
        <w:rPr/>
        <w:t>（五）递延税金不反映实际支付的税款情况，将递延所得税资产及递延所得税负债变动影响的企业所得税从税后净营业利润中扣除，相应调整资本占用。 </w:t>
      </w:r>
    </w:p>
    <w:p>
      <w:pPr>
        <w:pStyle w:val="BodyText"/>
        <w:spacing w:line="358" w:lineRule="exact"/>
        <w:ind w:left="719"/>
      </w:pPr>
      <w:r>
        <w:rPr/>
        <w:t>（六）其他非经常性损益调整项目，如股权转让收益等。 </w:t>
      </w:r>
    </w:p>
    <w:p>
      <w:pPr>
        <w:pStyle w:val="BodyText"/>
        <w:spacing w:before="7"/>
        <w:ind w:left="0"/>
        <w:rPr>
          <w:sz w:val="20"/>
        </w:rPr>
      </w:pPr>
    </w:p>
    <w:p>
      <w:pPr>
        <w:pStyle w:val="BodyText"/>
        <w:spacing w:line="417" w:lineRule="auto"/>
        <w:ind w:right="258" w:firstLine="559"/>
      </w:pPr>
      <w:r>
        <w:rPr>
          <w:rFonts w:ascii="黑体" w:eastAsia="黑体" w:hint="eastAsia"/>
        </w:rPr>
        <w:t>第十六条</w:t>
      </w:r>
      <w:r>
        <w:rPr/>
        <w:t> </w:t>
      </w:r>
      <w:r>
        <w:rPr/>
        <w:t>税后净营业利润等于会计上的税后净利润加上利息支出等会计调整项目后得到的税后利润。 </w:t>
      </w:r>
    </w:p>
    <w:p>
      <w:pPr>
        <w:pStyle w:val="BodyText"/>
        <w:spacing w:line="417" w:lineRule="auto"/>
        <w:ind w:right="254" w:firstLine="559"/>
        <w:jc w:val="both"/>
      </w:pPr>
      <w:r>
        <w:rPr>
          <w:rFonts w:ascii="黑体" w:eastAsia="黑体" w:hint="eastAsia"/>
          <w:spacing w:val="12"/>
        </w:rPr>
        <w:t>第十七条</w:t>
      </w:r>
      <w:r>
        <w:rPr>
          <w:spacing w:val="12"/>
        </w:rPr>
        <w:t> </w:t>
      </w:r>
      <w:r>
        <w:rPr>
          <w:spacing w:val="8"/>
        </w:rPr>
        <w:t>平均资本占用是所有投资者投入企业经营的全部资</w:t>
      </w:r>
      <w:r>
        <w:rPr>
          <w:spacing w:val="-11"/>
        </w:rPr>
        <w:t>本，包括债务资本和股权资本。其中债务资本包括融资活动产生的各</w:t>
      </w:r>
      <w:r>
        <w:rPr>
          <w:spacing w:val="-10"/>
        </w:rPr>
        <w:t>类有息负债，不包括经营活动产生的无息流动负债。股权资本中包含</w:t>
      </w:r>
      <w:r>
        <w:rPr>
          <w:spacing w:val="-7"/>
        </w:rPr>
        <w:t>少数股东权益。</w:t>
      </w:r>
      <w:r>
        <w:rPr/>
        <w:t> </w:t>
      </w:r>
    </w:p>
    <w:p>
      <w:pPr>
        <w:pStyle w:val="BodyText"/>
        <w:spacing w:line="417" w:lineRule="auto"/>
        <w:ind w:right="256" w:firstLine="559"/>
        <w:jc w:val="both"/>
      </w:pPr>
      <w:r>
        <w:rPr>
          <w:spacing w:val="-8"/>
        </w:rPr>
        <w:t>资本占用除根据经济业务实质相应调整资产减值损失、递延所得</w:t>
      </w:r>
      <w:r>
        <w:rPr>
          <w:spacing w:val="-10"/>
        </w:rPr>
        <w:t>税等，还可根据管理需要调整研发支出、在建工程等项目，引导企业</w:t>
      </w:r>
      <w:r>
        <w:rPr>
          <w:spacing w:val="-7"/>
        </w:rPr>
        <w:t>注重长期价值创造。 </w:t>
      </w:r>
    </w:p>
    <w:p>
      <w:pPr>
        <w:spacing w:after="0" w:line="417" w:lineRule="auto"/>
        <w:jc w:val="both"/>
        <w:sectPr>
          <w:pgSz w:w="11910" w:h="16840"/>
          <w:pgMar w:header="0" w:footer="974" w:top="1520" w:bottom="1160" w:left="1640" w:right="1540"/>
        </w:sectPr>
      </w:pPr>
    </w:p>
    <w:p>
      <w:pPr>
        <w:pStyle w:val="BodyText"/>
        <w:spacing w:line="417" w:lineRule="auto" w:before="34"/>
        <w:ind w:right="167" w:firstLine="631"/>
      </w:pPr>
      <w:r>
        <w:rPr>
          <w:rFonts w:ascii="黑体" w:eastAsia="黑体" w:hint="eastAsia"/>
        </w:rPr>
        <w:t>第十八条</w:t>
      </w:r>
      <w:r>
        <w:rPr/>
        <w:t> </w:t>
      </w:r>
      <w:r>
        <w:rPr/>
        <w:t>加权平均资本成本是债务资本成本和股权资本成本的加权平均，反映了投资者所要求的必要报酬率。加权平均资本成本</w:t>
      </w:r>
    </w:p>
    <w:p>
      <w:pPr>
        <w:spacing w:after="0" w:line="417" w:lineRule="auto"/>
        <w:sectPr>
          <w:pgSz w:w="11910" w:h="16840"/>
          <w:pgMar w:header="0" w:footer="974" w:top="1520" w:bottom="1160" w:left="1640" w:right="1540"/>
        </w:sectPr>
      </w:pPr>
    </w:p>
    <w:p>
      <w:pPr>
        <w:pStyle w:val="BodyText"/>
      </w:pPr>
      <w:r>
        <w:rPr/>
        <w:pict>
          <v:shape style="position:absolute;margin-left:288.306030pt;margin-top:41.79377pt;width:9.950pt;height:12.05pt;mso-position-horizontal-relative:page;mso-position-vertical-relative:paragraph;z-index:-16091648" type="#_x0000_t202" filled="false" stroked="false">
            <v:textbox inset="0,0,0,0">
              <w:txbxContent>
                <w:p>
                  <w:pPr>
                    <w:spacing w:line="241" w:lineRule="exact" w:before="0"/>
                    <w:ind w:left="0" w:right="0" w:firstLine="0"/>
                    <w:jc w:val="left"/>
                    <w:rPr>
                      <w:sz w:val="24"/>
                    </w:rPr>
                  </w:pPr>
                  <w:r>
                    <w:rPr>
                      <w:spacing w:val="-49"/>
                      <w:w w:val="102"/>
                      <w:sz w:val="24"/>
                    </w:rPr>
                    <w:t>（</w:t>
                  </w:r>
                </w:p>
              </w:txbxContent>
            </v:textbox>
            <w10:wrap type="none"/>
          </v:shape>
        </w:pict>
      </w:r>
      <w:r>
        <w:rPr/>
        <w:t>的计算公式如下： </w:t>
      </w:r>
    </w:p>
    <w:p>
      <w:pPr>
        <w:pStyle w:val="BodyText"/>
        <w:ind w:left="0"/>
      </w:pPr>
      <w:r>
        <w:rPr/>
        <w:br w:type="column"/>
      </w:r>
      <w:r>
        <w:rPr/>
      </w:r>
    </w:p>
    <w:p>
      <w:pPr>
        <w:pStyle w:val="BodyText"/>
        <w:spacing w:before="9"/>
        <w:ind w:left="0"/>
        <w:rPr>
          <w:sz w:val="34"/>
        </w:rPr>
      </w:pPr>
    </w:p>
    <w:p>
      <w:pPr>
        <w:spacing w:before="0"/>
        <w:ind w:left="158" w:right="0" w:firstLine="0"/>
        <w:jc w:val="left"/>
        <w:rPr>
          <w:sz w:val="14"/>
        </w:rPr>
      </w:pPr>
      <w:r>
        <w:rPr>
          <w:w w:val="105"/>
          <w:position w:val="6"/>
          <w:sz w:val="24"/>
        </w:rPr>
        <w:t>K</w:t>
      </w:r>
      <w:r>
        <w:rPr>
          <w:w w:val="105"/>
          <w:sz w:val="14"/>
        </w:rPr>
        <w:t>WACC</w:t>
      </w:r>
    </w:p>
    <w:p>
      <w:pPr>
        <w:pStyle w:val="BodyText"/>
        <w:ind w:left="0"/>
        <w:rPr>
          <w:sz w:val="32"/>
        </w:rPr>
      </w:pPr>
      <w:r>
        <w:rPr/>
        <w:br w:type="column"/>
      </w:r>
      <w:r>
        <w:rPr>
          <w:sz w:val="32"/>
        </w:rPr>
      </w:r>
    </w:p>
    <w:p>
      <w:pPr>
        <w:pStyle w:val="BodyText"/>
        <w:spacing w:before="7"/>
        <w:ind w:left="0"/>
        <w:rPr>
          <w:sz w:val="30"/>
        </w:rPr>
      </w:pPr>
    </w:p>
    <w:p>
      <w:pPr>
        <w:spacing w:before="0"/>
        <w:ind w:left="118" w:right="0" w:firstLine="0"/>
        <w:jc w:val="left"/>
        <w:rPr>
          <w:sz w:val="14"/>
        </w:rPr>
      </w:pPr>
      <w:r>
        <w:rPr>
          <w:rFonts w:ascii="Symbol" w:hAnsi="Symbol"/>
          <w:w w:val="105"/>
          <w:sz w:val="24"/>
        </w:rPr>
        <w:t></w:t>
      </w:r>
      <w:r>
        <w:rPr>
          <w:rFonts w:ascii="Times New Roman" w:hAnsi="Times New Roman"/>
          <w:spacing w:val="51"/>
          <w:w w:val="105"/>
          <w:sz w:val="24"/>
        </w:rPr>
        <w:t> </w:t>
      </w:r>
      <w:r>
        <w:rPr>
          <w:w w:val="105"/>
          <w:sz w:val="24"/>
        </w:rPr>
        <w:t>K</w:t>
      </w:r>
      <w:r>
        <w:rPr>
          <w:w w:val="105"/>
          <w:position w:val="-5"/>
          <w:sz w:val="14"/>
        </w:rPr>
        <w:t>D</w:t>
      </w:r>
    </w:p>
    <w:p>
      <w:pPr>
        <w:pStyle w:val="BodyText"/>
        <w:ind w:left="0"/>
      </w:pPr>
      <w:r>
        <w:rPr/>
        <w:br w:type="column"/>
      </w:r>
      <w:r>
        <w:rPr/>
      </w:r>
    </w:p>
    <w:p>
      <w:pPr>
        <w:pStyle w:val="BodyText"/>
        <w:spacing w:before="3"/>
        <w:ind w:left="0"/>
        <w:rPr>
          <w:sz w:val="30"/>
        </w:rPr>
      </w:pPr>
    </w:p>
    <w:p>
      <w:pPr>
        <w:tabs>
          <w:tab w:pos="1603" w:val="left" w:leader="none"/>
        </w:tabs>
        <w:spacing w:line="146" w:lineRule="auto" w:before="0"/>
        <w:ind w:left="88" w:right="0" w:firstLine="2"/>
        <w:jc w:val="left"/>
        <w:rPr>
          <w:sz w:val="24"/>
        </w:rPr>
      </w:pPr>
      <w:r>
        <w:rPr>
          <w:w w:val="105"/>
          <w:position w:val="15"/>
          <w:sz w:val="24"/>
        </w:rPr>
        <w:t>DC </w:t>
      </w:r>
      <w:r>
        <w:rPr>
          <w:w w:val="105"/>
          <w:sz w:val="24"/>
        </w:rPr>
        <w:t>1 </w:t>
      </w:r>
      <w:r>
        <w:rPr>
          <w:rFonts w:ascii="Symbol" w:hAnsi="Symbol"/>
          <w:w w:val="105"/>
          <w:sz w:val="24"/>
        </w:rPr>
        <w:t></w:t>
      </w:r>
      <w:r>
        <w:rPr>
          <w:rFonts w:ascii="Times New Roman" w:hAnsi="Times New Roman"/>
          <w:w w:val="105"/>
          <w:sz w:val="24"/>
        </w:rPr>
        <w:t> </w:t>
      </w:r>
      <w:r>
        <w:rPr>
          <w:spacing w:val="-15"/>
          <w:w w:val="105"/>
          <w:sz w:val="24"/>
        </w:rPr>
        <w:t>T）</w:t>
      </w:r>
      <w:r>
        <w:rPr>
          <w:rFonts w:ascii="Symbol" w:hAnsi="Symbol"/>
          <w:spacing w:val="-15"/>
          <w:w w:val="105"/>
          <w:sz w:val="24"/>
        </w:rPr>
        <w:t></w:t>
      </w:r>
      <w:r>
        <w:rPr>
          <w:rFonts w:ascii="Times New Roman" w:hAnsi="Times New Roman"/>
          <w:spacing w:val="-15"/>
          <w:w w:val="105"/>
          <w:sz w:val="24"/>
        </w:rPr>
        <w:t> </w:t>
      </w:r>
      <w:r>
        <w:rPr>
          <w:w w:val="105"/>
          <w:sz w:val="24"/>
        </w:rPr>
        <w:t>K TC</w:t>
        <w:tab/>
      </w:r>
      <w:r>
        <w:rPr>
          <w:spacing w:val="-20"/>
          <w:w w:val="105"/>
          <w:sz w:val="24"/>
          <w:vertAlign w:val="superscript"/>
        </w:rPr>
        <w:t>S</w:t>
      </w:r>
    </w:p>
    <w:p>
      <w:pPr>
        <w:pStyle w:val="BodyText"/>
        <w:spacing w:before="10"/>
        <w:ind w:left="0"/>
        <w:rPr>
          <w:sz w:val="50"/>
        </w:rPr>
      </w:pPr>
      <w:r>
        <w:rPr/>
        <w:br w:type="column"/>
      </w:r>
      <w:r>
        <w:rPr>
          <w:sz w:val="50"/>
        </w:rPr>
      </w:r>
    </w:p>
    <w:p>
      <w:pPr>
        <w:spacing w:before="1"/>
        <w:ind w:left="81" w:right="0" w:firstLine="0"/>
        <w:jc w:val="left"/>
        <w:rPr>
          <w:sz w:val="28"/>
        </w:rPr>
      </w:pPr>
      <w:r>
        <w:rPr>
          <w:w w:val="105"/>
          <w:sz w:val="24"/>
        </w:rPr>
        <w:t>EC</w:t>
      </w:r>
      <w:r>
        <w:rPr>
          <w:spacing w:val="-76"/>
          <w:sz w:val="24"/>
        </w:rPr>
        <w:t> </w:t>
      </w:r>
      <w:r>
        <w:rPr>
          <w:w w:val="100"/>
          <w:position w:val="-14"/>
          <w:sz w:val="28"/>
        </w:rPr>
        <w:t> </w:t>
      </w:r>
    </w:p>
    <w:p>
      <w:pPr>
        <w:pStyle w:val="BodyText"/>
        <w:spacing w:line="20" w:lineRule="exact"/>
        <w:ind w:left="64"/>
        <w:rPr>
          <w:sz w:val="2"/>
        </w:rPr>
      </w:pPr>
      <w:r>
        <w:rPr>
          <w:sz w:val="2"/>
        </w:rPr>
        <w:pict>
          <v:group style="width:13.25pt;height:.5pt;mso-position-horizontal-relative:char;mso-position-vertical-relative:line" coordorigin="0,0" coordsize="265,10">
            <v:line style="position:absolute" from="0,5" to="265,5" stroked="true" strokeweight=".485837pt" strokecolor="#000000">
              <v:stroke dashstyle="solid"/>
            </v:line>
          </v:group>
        </w:pict>
      </w:r>
      <w:r>
        <w:rPr>
          <w:sz w:val="2"/>
        </w:rPr>
      </w:r>
    </w:p>
    <w:p>
      <w:pPr>
        <w:spacing w:before="13"/>
        <w:ind w:left="81" w:right="0" w:firstLine="0"/>
        <w:jc w:val="left"/>
        <w:rPr>
          <w:sz w:val="24"/>
        </w:rPr>
      </w:pPr>
      <w:r>
        <w:rPr>
          <w:w w:val="105"/>
          <w:sz w:val="24"/>
        </w:rPr>
        <w:t>TC</w:t>
      </w:r>
    </w:p>
    <w:p>
      <w:pPr>
        <w:spacing w:after="0"/>
        <w:jc w:val="left"/>
        <w:rPr>
          <w:sz w:val="24"/>
        </w:rPr>
        <w:sectPr>
          <w:type w:val="continuous"/>
          <w:pgSz w:w="11910" w:h="16840"/>
          <w:pgMar w:top="1520" w:bottom="1160" w:left="1640" w:right="1540"/>
          <w:cols w:num="5" w:equalWidth="0">
            <w:col w:w="2541" w:space="40"/>
            <w:col w:w="583" w:space="39"/>
            <w:col w:w="590" w:space="39"/>
            <w:col w:w="1676" w:space="40"/>
            <w:col w:w="3182"/>
          </w:cols>
        </w:sectPr>
      </w:pPr>
    </w:p>
    <w:p>
      <w:pPr>
        <w:pStyle w:val="BodyText"/>
        <w:spacing w:before="7"/>
        <w:ind w:left="0"/>
        <w:rPr>
          <w:sz w:val="15"/>
        </w:rPr>
      </w:pPr>
    </w:p>
    <w:p>
      <w:pPr>
        <w:pStyle w:val="BodyText"/>
        <w:spacing w:line="415" w:lineRule="auto" w:before="61"/>
        <w:ind w:right="115" w:firstLine="479"/>
      </w:pPr>
      <w:r>
        <w:rPr/>
        <w:pict>
          <v:line style="position:absolute;mso-position-horizontal-relative:page;mso-position-vertical-relative:paragraph;z-index:-16092160" from="277.295776pt,-25.818899pt" to="290.722187pt,-25.818899pt" stroked="true" strokeweight=".485837pt" strokecolor="#000000">
            <v:stroke dashstyle="solid"/>
            <w10:wrap type="none"/>
          </v:line>
        </w:pict>
      </w:r>
      <w:r>
        <w:rPr>
          <w:spacing w:val="-3"/>
        </w:rPr>
        <w:t>其中：</w:t>
      </w:r>
      <w:r>
        <w:rPr>
          <w:spacing w:val="-8"/>
        </w:rPr>
        <w:t>TC</w:t>
      </w:r>
      <w:r>
        <w:rPr>
          <w:spacing w:val="-12"/>
        </w:rPr>
        <w:t> 代表资本占用，</w:t>
      </w:r>
      <w:r>
        <w:rPr>
          <w:spacing w:val="-8"/>
        </w:rPr>
        <w:t>EC</w:t>
      </w:r>
      <w:r>
        <w:rPr>
          <w:spacing w:val="-12"/>
        </w:rPr>
        <w:t> 代表股权资本，</w:t>
      </w:r>
      <w:r>
        <w:rPr>
          <w:spacing w:val="-8"/>
        </w:rPr>
        <w:t>DC</w:t>
      </w:r>
      <w:r>
        <w:rPr>
          <w:spacing w:val="-12"/>
        </w:rPr>
        <w:t> 代表债务资本；</w:t>
      </w:r>
      <w:r>
        <w:rPr>
          <w:spacing w:val="-11"/>
        </w:rPr>
        <w:t>T </w:t>
      </w:r>
      <w:r>
        <w:rPr>
          <w:spacing w:val="-2"/>
          <w:position w:val="2"/>
        </w:rPr>
        <w:t>代表所得税税率；</w:t>
      </w:r>
      <w:r>
        <w:rPr>
          <w:spacing w:val="-9"/>
          <w:position w:val="2"/>
        </w:rPr>
        <w:t>K</w:t>
      </w:r>
      <w:r>
        <w:rPr>
          <w:spacing w:val="-9"/>
          <w:sz w:val="14"/>
        </w:rPr>
        <w:t>WACC </w:t>
      </w:r>
      <w:r>
        <w:rPr>
          <w:spacing w:val="-4"/>
          <w:position w:val="2"/>
        </w:rPr>
        <w:t>代表加权平均资本成本，</w:t>
      </w:r>
      <w:r>
        <w:rPr>
          <w:spacing w:val="-17"/>
          <w:position w:val="2"/>
        </w:rPr>
        <w:t>K</w:t>
      </w:r>
      <w:r>
        <w:rPr>
          <w:spacing w:val="-17"/>
          <w:sz w:val="14"/>
        </w:rPr>
        <w:t>D </w:t>
      </w:r>
      <w:r>
        <w:rPr>
          <w:spacing w:val="-4"/>
          <w:position w:val="2"/>
        </w:rPr>
        <w:t>代表债务资本成本， </w:t>
      </w:r>
      <w:r>
        <w:rPr>
          <w:i/>
          <w:spacing w:val="1"/>
          <w:w w:val="96"/>
          <w:position w:val="2"/>
          <w:sz w:val="29"/>
        </w:rPr>
        <w:t>K</w:t>
      </w:r>
      <w:r>
        <w:rPr>
          <w:i/>
          <w:w w:val="99"/>
          <w:sz w:val="14"/>
        </w:rPr>
        <w:t>S</w:t>
      </w:r>
      <w:r>
        <w:rPr>
          <w:i/>
          <w:sz w:val="14"/>
        </w:rPr>
        <w:t> </w:t>
      </w:r>
      <w:r>
        <w:rPr>
          <w:spacing w:val="-3"/>
          <w:w w:val="100"/>
          <w:position w:val="2"/>
        </w:rPr>
        <w:t>代表股权资本成本。</w:t>
      </w:r>
      <w:r>
        <w:rPr>
          <w:w w:val="100"/>
          <w:position w:val="2"/>
        </w:rPr>
        <w:t> </w:t>
      </w:r>
    </w:p>
    <w:p>
      <w:pPr>
        <w:pStyle w:val="BodyText"/>
        <w:spacing w:line="417" w:lineRule="auto"/>
        <w:ind w:right="256" w:firstLine="479"/>
        <w:jc w:val="both"/>
      </w:pPr>
      <w:r>
        <w:rPr>
          <w:spacing w:val="-5"/>
        </w:rPr>
        <w:t>债务资本成本是企业实际支付给债权人的税前利率，反映的是企</w:t>
      </w:r>
      <w:r>
        <w:rPr>
          <w:spacing w:val="-10"/>
        </w:rPr>
        <w:t>业在资本市场中债务融资的成本率。如果企业存在不同利率的融资来</w:t>
      </w:r>
      <w:r>
        <w:rPr>
          <w:spacing w:val="-3"/>
        </w:rPr>
        <w:t>源，债务资本成本应使用加权平均值。 </w:t>
      </w:r>
    </w:p>
    <w:p>
      <w:pPr>
        <w:pStyle w:val="BodyText"/>
        <w:spacing w:line="417" w:lineRule="auto"/>
        <w:ind w:right="212" w:firstLine="479"/>
      </w:pPr>
      <w:r>
        <w:rPr/>
        <w:t>股权资本成本是在不同风险下，所有者对投资者要求的最低回报率。通常根据资本资产定价模型确定，计算公式为： </w:t>
      </w:r>
    </w:p>
    <w:p>
      <w:pPr>
        <w:spacing w:line="357" w:lineRule="exact" w:before="0"/>
        <w:ind w:left="1182" w:right="1142" w:firstLine="0"/>
        <w:jc w:val="center"/>
        <w:rPr>
          <w:sz w:val="28"/>
        </w:rPr>
      </w:pPr>
      <w:r>
        <w:rPr>
          <w:position w:val="2"/>
          <w:sz w:val="28"/>
        </w:rPr>
        <w:t>K</w:t>
      </w:r>
      <w:r>
        <w:rPr>
          <w:sz w:val="14"/>
        </w:rPr>
        <w:t>S</w:t>
      </w:r>
      <w:r>
        <w:rPr>
          <w:position w:val="2"/>
          <w:sz w:val="28"/>
        </w:rPr>
        <w:t>＝R</w:t>
      </w:r>
      <w:r>
        <w:rPr>
          <w:sz w:val="14"/>
        </w:rPr>
        <w:t>f</w:t>
      </w:r>
      <w:r>
        <w:rPr>
          <w:position w:val="2"/>
          <w:sz w:val="28"/>
        </w:rPr>
        <w:t>＋β（R</w:t>
      </w:r>
      <w:r>
        <w:rPr>
          <w:sz w:val="14"/>
        </w:rPr>
        <w:t>m</w:t>
      </w:r>
      <w:r>
        <w:rPr>
          <w:position w:val="2"/>
          <w:sz w:val="28"/>
        </w:rPr>
        <w:t>－R</w:t>
      </w:r>
      <w:r>
        <w:rPr>
          <w:sz w:val="14"/>
        </w:rPr>
        <w:t>f</w:t>
      </w:r>
      <w:r>
        <w:rPr>
          <w:position w:val="2"/>
          <w:sz w:val="28"/>
        </w:rPr>
        <w:t>） </w:t>
      </w:r>
    </w:p>
    <w:p>
      <w:pPr>
        <w:pStyle w:val="BodyText"/>
        <w:spacing w:before="10"/>
        <w:ind w:left="0"/>
        <w:rPr>
          <w:sz w:val="19"/>
        </w:rPr>
      </w:pPr>
    </w:p>
    <w:p>
      <w:pPr>
        <w:pStyle w:val="BodyText"/>
        <w:spacing w:line="295" w:lineRule="exact"/>
        <w:ind w:left="640"/>
      </w:pPr>
      <w:r>
        <w:rPr>
          <w:position w:val="2"/>
        </w:rPr>
        <w:t>其中：R</w:t>
      </w:r>
      <w:r>
        <w:rPr>
          <w:sz w:val="14"/>
        </w:rPr>
        <w:t>f </w:t>
      </w:r>
      <w:r>
        <w:rPr>
          <w:position w:val="2"/>
        </w:rPr>
        <w:t>为无风险收益率，R</w:t>
      </w:r>
      <w:r>
        <w:rPr>
          <w:sz w:val="14"/>
        </w:rPr>
        <w:t>m </w:t>
      </w:r>
      <w:r>
        <w:rPr>
          <w:position w:val="2"/>
        </w:rPr>
        <w:t>为市场预期回报率，R</w:t>
      </w:r>
      <w:r>
        <w:rPr>
          <w:sz w:val="14"/>
        </w:rPr>
        <w:t>m</w:t>
      </w:r>
      <w:r>
        <w:rPr>
          <w:position w:val="2"/>
        </w:rPr>
        <w:t>－R</w:t>
      </w:r>
      <w:r>
        <w:rPr>
          <w:sz w:val="14"/>
        </w:rPr>
        <w:t>f </w:t>
      </w:r>
      <w:r>
        <w:rPr>
          <w:position w:val="2"/>
        </w:rPr>
        <w:t>为市场</w:t>
      </w:r>
    </w:p>
    <w:p>
      <w:pPr>
        <w:pStyle w:val="BodyText"/>
        <w:spacing w:line="295" w:lineRule="exact"/>
        <w:ind w:left="7486"/>
      </w:pPr>
      <w:r>
        <w:rPr>
          <w:w w:val="100"/>
        </w:rPr>
        <w:t> </w:t>
      </w:r>
    </w:p>
    <w:p>
      <w:pPr>
        <w:pStyle w:val="BodyText"/>
        <w:spacing w:line="417" w:lineRule="auto" w:before="35"/>
        <w:ind w:right="253"/>
        <w:jc w:val="both"/>
      </w:pPr>
      <w:r>
        <w:rPr>
          <w:spacing w:val="-11"/>
        </w:rPr>
        <w:t>风险溢价。</w:t>
      </w:r>
      <w:r>
        <w:rPr/>
        <w:t>β</w:t>
      </w:r>
      <w:r>
        <w:rPr>
          <w:spacing w:val="-6"/>
        </w:rPr>
        <w:t>是企业股票相对于整个市场的风险指数。上市企业的</w:t>
      </w:r>
      <w:r>
        <w:rPr>
          <w:spacing w:val="-13"/>
        </w:rPr>
        <w:t>β </w:t>
      </w:r>
      <w:r>
        <w:rPr>
          <w:spacing w:val="-10"/>
        </w:rPr>
        <w:t>值，可采用回归分析法或单独使用最小二乘法等方法测算确定，也可</w:t>
      </w:r>
      <w:r>
        <w:rPr>
          <w:spacing w:val="-7"/>
        </w:rPr>
        <w:t>以直接采用证券机构等提供或发布的</w:t>
      </w:r>
      <w:r>
        <w:rPr/>
        <w:t>β</w:t>
      </w:r>
      <w:r>
        <w:rPr>
          <w:spacing w:val="-8"/>
        </w:rPr>
        <w:t>值；非上市企业的</w:t>
      </w:r>
      <w:r>
        <w:rPr/>
        <w:t>β</w:t>
      </w:r>
      <w:r>
        <w:rPr>
          <w:spacing w:val="-14"/>
        </w:rPr>
        <w:t>值，可采</w:t>
      </w:r>
      <w:r>
        <w:rPr>
          <w:spacing w:val="-8"/>
        </w:rPr>
        <w:t>用类比法，参考同类上市企业的</w:t>
      </w:r>
      <w:r>
        <w:rPr>
          <w:spacing w:val="-3"/>
        </w:rPr>
        <w:t>β</w:t>
      </w:r>
      <w:r>
        <w:rPr>
          <w:spacing w:val="-2"/>
        </w:rPr>
        <w:t>值确定。 </w:t>
      </w:r>
    </w:p>
    <w:p>
      <w:pPr>
        <w:pStyle w:val="BodyText"/>
        <w:spacing w:line="417" w:lineRule="auto"/>
        <w:ind w:right="258" w:firstLine="559"/>
        <w:jc w:val="both"/>
      </w:pPr>
      <w:r>
        <w:rPr>
          <w:rFonts w:ascii="黑体" w:eastAsia="黑体" w:hint="eastAsia"/>
        </w:rPr>
        <w:t>第十九条</w:t>
      </w:r>
      <w:r>
        <w:rPr/>
        <w:t> </w:t>
      </w:r>
      <w:r>
        <w:rPr>
          <w:spacing w:val="-1"/>
        </w:rPr>
        <w:t>企业级加权平均资本成本确定后，应结合行业情况、</w:t>
      </w:r>
      <w:r>
        <w:rPr>
          <w:spacing w:val="-12"/>
        </w:rPr>
        <w:t>不同所属单位</w:t>
      </w:r>
      <w:r>
        <w:rPr>
          <w:spacing w:val="-3"/>
        </w:rPr>
        <w:t>（</w:t>
      </w:r>
      <w:r>
        <w:rPr>
          <w:spacing w:val="-2"/>
        </w:rPr>
        <w:t>部门</w:t>
      </w:r>
      <w:r>
        <w:rPr>
          <w:spacing w:val="-63"/>
        </w:rPr>
        <w:t>）</w:t>
      </w:r>
      <w:r>
        <w:rPr>
          <w:spacing w:val="-19"/>
        </w:rPr>
        <w:t>的特点，通过计算</w:t>
      </w:r>
      <w:r>
        <w:rPr/>
        <w:t>（</w:t>
      </w:r>
      <w:r>
        <w:rPr>
          <w:spacing w:val="-3"/>
        </w:rPr>
        <w:t>能单独计算的</w:t>
      </w:r>
      <w:r>
        <w:rPr>
          <w:spacing w:val="-65"/>
        </w:rPr>
        <w:t>）</w:t>
      </w:r>
      <w:r>
        <w:rPr>
          <w:spacing w:val="-21"/>
        </w:rPr>
        <w:t>或指定</w:t>
      </w:r>
      <w:r>
        <w:rPr>
          <w:spacing w:val="-3"/>
        </w:rPr>
        <w:t>（</w:t>
      </w:r>
      <w:r>
        <w:rPr/>
        <w:t>不</w:t>
      </w:r>
      <w:r>
        <w:rPr>
          <w:spacing w:val="-1"/>
        </w:rPr>
        <w:t>能单独计算的</w:t>
      </w:r>
      <w:r>
        <w:rPr>
          <w:spacing w:val="-3"/>
        </w:rPr>
        <w:t>）的方式确定所属单位</w:t>
      </w:r>
      <w:r>
        <w:rPr/>
        <w:t>（部门</w:t>
      </w:r>
      <w:r>
        <w:rPr>
          <w:spacing w:val="-3"/>
        </w:rPr>
        <w:t>）</w:t>
      </w:r>
      <w:r>
        <w:rPr>
          <w:spacing w:val="-2"/>
        </w:rPr>
        <w:t>的资本成本。 </w:t>
      </w:r>
    </w:p>
    <w:p>
      <w:pPr>
        <w:pStyle w:val="BodyText"/>
        <w:spacing w:line="358" w:lineRule="exact"/>
        <w:ind w:left="791"/>
      </w:pPr>
      <w:r>
        <w:rPr/>
        <w:t>通常情况下，企业对所属单位（部门）所投入资本即股权资本</w:t>
      </w:r>
    </w:p>
    <w:p>
      <w:pPr>
        <w:spacing w:after="0" w:line="358" w:lineRule="exact"/>
        <w:sectPr>
          <w:type w:val="continuous"/>
          <w:pgSz w:w="11910" w:h="16840"/>
          <w:pgMar w:top="1520" w:bottom="1160" w:left="1640" w:right="1540"/>
        </w:sectPr>
      </w:pPr>
    </w:p>
    <w:p>
      <w:pPr>
        <w:pStyle w:val="BodyText"/>
        <w:spacing w:line="417" w:lineRule="auto" w:before="34"/>
        <w:ind w:right="254"/>
      </w:pPr>
      <w:r>
        <w:rPr>
          <w:spacing w:val="-8"/>
        </w:rPr>
        <w:t>的成本率是相同的，为简化资本成本的计算，所属单位</w:t>
      </w:r>
      <w:r>
        <w:rPr/>
        <w:t>（部门</w:t>
      </w:r>
      <w:r>
        <w:rPr>
          <w:spacing w:val="-24"/>
        </w:rPr>
        <w:t>）</w:t>
      </w:r>
      <w:r>
        <w:rPr>
          <w:spacing w:val="-8"/>
        </w:rPr>
        <w:t>的加</w:t>
      </w:r>
      <w:r>
        <w:rPr>
          <w:spacing w:val="-3"/>
        </w:rPr>
        <w:t>权平均资本成本一般与企业保持一致。 </w:t>
      </w:r>
    </w:p>
    <w:p>
      <w:pPr>
        <w:pStyle w:val="BodyText"/>
        <w:spacing w:line="417" w:lineRule="auto"/>
        <w:ind w:right="253" w:firstLine="559"/>
        <w:jc w:val="both"/>
      </w:pPr>
      <w:r>
        <w:rPr>
          <w:rFonts w:ascii="黑体" w:eastAsia="黑体" w:hint="eastAsia"/>
        </w:rPr>
        <w:t>第二十条</w:t>
      </w:r>
      <w:r>
        <w:rPr/>
        <w:t> </w:t>
      </w:r>
      <w:r>
        <w:rPr/>
        <w:t>经济增加值法指标体系通常包括经济增加值、经济增</w:t>
      </w:r>
      <w:r>
        <w:rPr>
          <w:spacing w:val="-10"/>
        </w:rPr>
        <w:t>加值改善值、经济增加值回报率、资本周转率、产量、销量、单位生</w:t>
      </w:r>
      <w:r>
        <w:rPr>
          <w:spacing w:val="-2"/>
        </w:rPr>
        <w:t>产成本等。</w:t>
      </w:r>
      <w:r>
        <w:rPr/>
        <w:t> </w:t>
      </w:r>
    </w:p>
    <w:p>
      <w:pPr>
        <w:pStyle w:val="BodyText"/>
        <w:spacing w:line="417" w:lineRule="auto"/>
        <w:ind w:right="257" w:firstLine="559"/>
      </w:pPr>
      <w:r>
        <w:rPr>
          <w:rFonts w:ascii="黑体" w:eastAsia="黑体" w:hint="eastAsia"/>
        </w:rPr>
        <w:t>第二十一条</w:t>
      </w:r>
      <w:r>
        <w:rPr/>
        <w:t> </w:t>
      </w:r>
      <w:r>
        <w:rPr/>
        <w:t>应用经济增加值法建立的绩效评价体系，应赋予经济增加值指标较高的权重。 </w:t>
      </w:r>
    </w:p>
    <w:p>
      <w:pPr>
        <w:pStyle w:val="BodyText"/>
        <w:spacing w:line="417" w:lineRule="auto"/>
        <w:ind w:right="255" w:firstLine="559"/>
      </w:pPr>
      <w:r>
        <w:rPr>
          <w:rFonts w:ascii="黑体" w:hAnsi="黑体" w:eastAsia="黑体" w:hint="eastAsia"/>
          <w:spacing w:val="-1"/>
        </w:rPr>
        <w:t>第二十二条</w:t>
      </w:r>
      <w:r>
        <w:rPr>
          <w:spacing w:val="-1"/>
        </w:rPr>
        <w:t> </w:t>
      </w:r>
      <w:r>
        <w:rPr>
          <w:spacing w:val="-9"/>
        </w:rPr>
        <w:t>经济增加值目标值根据经济增加值基准值</w:t>
      </w:r>
      <w:r>
        <w:rPr/>
        <w:t>（</w:t>
      </w:r>
      <w:r>
        <w:rPr>
          <w:spacing w:val="-2"/>
        </w:rPr>
        <w:t>简称</w:t>
      </w:r>
      <w:r>
        <w:rPr>
          <w:spacing w:val="-5"/>
        </w:rPr>
        <w:t>EVA </w:t>
      </w:r>
      <w:r>
        <w:rPr/>
        <w:t>基准值</w:t>
      </w:r>
      <w:r>
        <w:rPr>
          <w:spacing w:val="-3"/>
        </w:rPr>
        <w:t>）和期望的经济增加值改善值</w:t>
      </w:r>
      <w:r>
        <w:rPr/>
        <w:t>（</w:t>
      </w:r>
      <w:r>
        <w:rPr>
          <w:spacing w:val="-1"/>
        </w:rPr>
        <w:t>简称期望的△</w:t>
      </w:r>
      <w:r>
        <w:rPr/>
        <w:t>EVA）确定。 </w:t>
      </w:r>
    </w:p>
    <w:p>
      <w:pPr>
        <w:pStyle w:val="BodyText"/>
        <w:spacing w:line="358" w:lineRule="exact"/>
        <w:ind w:left="791"/>
      </w:pPr>
      <w:r>
        <w:rPr/>
        <w:t>EVA 目标值＝EVA 基准值＋期望的△EVA  </w:t>
      </w:r>
    </w:p>
    <w:p>
      <w:pPr>
        <w:pStyle w:val="BodyText"/>
        <w:spacing w:before="8"/>
        <w:ind w:left="0"/>
        <w:rPr>
          <w:sz w:val="20"/>
        </w:rPr>
      </w:pPr>
    </w:p>
    <w:p>
      <w:pPr>
        <w:pStyle w:val="BodyText"/>
        <w:spacing w:line="417" w:lineRule="auto" w:before="1"/>
        <w:ind w:right="162" w:firstLine="479"/>
      </w:pPr>
      <w:r>
        <w:rPr>
          <w:spacing w:val="-10"/>
        </w:rPr>
        <w:t>企业在确定 </w:t>
      </w:r>
      <w:r>
        <w:rPr/>
        <w:t>EVA</w:t>
      </w:r>
      <w:r>
        <w:rPr>
          <w:spacing w:val="-8"/>
        </w:rPr>
        <w:t> 基准值和期望的</w:t>
      </w:r>
      <w:r>
        <w:rPr/>
        <w:t>△EVA</w:t>
      </w:r>
      <w:r>
        <w:rPr>
          <w:spacing w:val="-8"/>
        </w:rPr>
        <w:t> 值时，要充分考虑企业规</w:t>
      </w:r>
      <w:r>
        <w:rPr>
          <w:spacing w:val="-6"/>
        </w:rPr>
        <w:t>模、发展阶段、行业特点等因素。其中，</w:t>
      </w:r>
      <w:r>
        <w:rPr/>
        <w:t>EVA</w:t>
      </w:r>
      <w:r>
        <w:rPr>
          <w:spacing w:val="-10"/>
        </w:rPr>
        <w:t> 基准值可参照上年实际</w:t>
      </w:r>
      <w:r>
        <w:rPr>
          <w:spacing w:val="-7"/>
        </w:rPr>
        <w:t>完成值、上年实际完成值与目标值的平均值、近几年</w:t>
      </w:r>
      <w:r>
        <w:rPr>
          <w:spacing w:val="-3"/>
        </w:rPr>
        <w:t>（</w:t>
      </w:r>
      <w:r>
        <w:rPr>
          <w:spacing w:val="-15"/>
        </w:rPr>
        <w:t>比如前 </w:t>
      </w:r>
      <w:r>
        <w:rPr/>
        <w:t>3</w:t>
      </w:r>
      <w:r>
        <w:rPr>
          <w:spacing w:val="-31"/>
        </w:rPr>
        <w:t> 年</w:t>
      </w:r>
      <w:r>
        <w:rPr>
          <w:spacing w:val="-13"/>
        </w:rPr>
        <w:t>） </w:t>
      </w:r>
      <w:r>
        <w:rPr>
          <w:spacing w:val="-3"/>
        </w:rPr>
        <w:t>实际完成值的平均值等确定。期望的△</w:t>
      </w:r>
      <w:r>
        <w:rPr/>
        <w:t>EVA</w:t>
      </w:r>
      <w:r>
        <w:rPr>
          <w:spacing w:val="-9"/>
        </w:rPr>
        <w:t> 值，根据企业战略目标、</w:t>
      </w:r>
      <w:r>
        <w:rPr>
          <w:spacing w:val="-12"/>
        </w:rPr>
        <w:t>年度生产经营计划、年度预算安排、投资者期望等因素，结合价值创</w:t>
      </w:r>
      <w:r>
        <w:rPr>
          <w:spacing w:val="-7"/>
        </w:rPr>
        <w:t>造能力改善等要求综合确定。 </w:t>
      </w:r>
    </w:p>
    <w:p>
      <w:pPr>
        <w:pStyle w:val="BodyText"/>
        <w:spacing w:line="417" w:lineRule="auto"/>
        <w:ind w:right="256" w:firstLine="559"/>
      </w:pPr>
      <w:r>
        <w:rPr>
          <w:rFonts w:ascii="黑体" w:hAnsi="黑体" w:eastAsia="黑体" w:hint="eastAsia"/>
        </w:rPr>
        <w:t>第二十三条</w:t>
      </w:r>
      <w:r>
        <w:rPr/>
        <w:t> </w:t>
      </w:r>
      <w:r>
        <w:rPr/>
        <w:t>绩效评价计分方法和周期的选择、绩效责任书的签订，参照《管理会计应用指引第600号——绩效管理》。 </w:t>
      </w:r>
    </w:p>
    <w:p>
      <w:pPr>
        <w:pStyle w:val="BodyText"/>
        <w:spacing w:line="417" w:lineRule="auto"/>
        <w:ind w:right="115" w:firstLine="559"/>
        <w:jc w:val="both"/>
      </w:pPr>
      <w:r>
        <w:rPr>
          <w:rFonts w:ascii="黑体" w:eastAsia="黑体" w:hint="eastAsia"/>
        </w:rPr>
        <w:t>第二十四条</w:t>
      </w:r>
      <w:r>
        <w:rPr>
          <w:spacing w:val="21"/>
        </w:rPr>
        <w:t> </w:t>
      </w:r>
      <w:r>
        <w:rPr/>
        <w:t>经济增加值法的激励计划按激励形式可分为薪酬激</w:t>
      </w:r>
      <w:r>
        <w:rPr>
          <w:spacing w:val="-10"/>
        </w:rPr>
        <w:t>励计划、能力开发激励计划、职业发展激励计划和其他激励计划。应用经济增加值法建立的激励体系，应以经济增加值的改善值为基础。</w:t>
      </w:r>
      <w:r>
        <w:rPr/>
        <w:t> </w:t>
      </w:r>
    </w:p>
    <w:p>
      <w:pPr>
        <w:pStyle w:val="BodyText"/>
        <w:spacing w:line="358" w:lineRule="exact"/>
        <w:ind w:left="820"/>
      </w:pPr>
      <w:r>
        <w:rPr/>
        <w:t>（一）薪酬激励计划主要包括目标奖金、奖金库和基于经济增</w:t>
      </w:r>
    </w:p>
    <w:p>
      <w:pPr>
        <w:spacing w:after="0" w:line="358" w:lineRule="exact"/>
        <w:sectPr>
          <w:pgSz w:w="11910" w:h="16840"/>
          <w:pgMar w:header="0" w:footer="974" w:top="1520" w:bottom="1160" w:left="1640" w:right="1540"/>
        </w:sectPr>
      </w:pPr>
    </w:p>
    <w:p>
      <w:pPr>
        <w:pStyle w:val="BodyText"/>
        <w:spacing w:before="34"/>
      </w:pPr>
      <w:r>
        <w:rPr/>
        <w:t>加值的股票期权。 </w:t>
      </w:r>
    </w:p>
    <w:p>
      <w:pPr>
        <w:pStyle w:val="BodyText"/>
        <w:spacing w:before="9"/>
        <w:ind w:left="0"/>
        <w:rPr>
          <w:sz w:val="20"/>
        </w:rPr>
      </w:pPr>
    </w:p>
    <w:p>
      <w:pPr>
        <w:pStyle w:val="ListParagraph"/>
        <w:numPr>
          <w:ilvl w:val="0"/>
          <w:numId w:val="1"/>
        </w:numPr>
        <w:tabs>
          <w:tab w:pos="1244" w:val="left" w:leader="none"/>
        </w:tabs>
        <w:spacing w:line="417" w:lineRule="auto" w:before="1" w:after="0"/>
        <w:ind w:left="160" w:right="119" w:firstLine="659"/>
        <w:jc w:val="left"/>
        <w:rPr>
          <w:rFonts w:ascii="宋体" w:eastAsia="宋体" w:hint="eastAsia"/>
          <w:sz w:val="28"/>
        </w:rPr>
      </w:pPr>
      <w:r>
        <w:rPr>
          <w:rFonts w:ascii="宋体" w:eastAsia="宋体" w:hint="eastAsia"/>
          <w:spacing w:val="-12"/>
          <w:sz w:val="28"/>
        </w:rPr>
        <w:t>目标奖金。目标奖金是达到经济增加值目标值所获得的奖金</w:t>
      </w:r>
      <w:r>
        <w:rPr>
          <w:rFonts w:ascii="宋体" w:eastAsia="宋体" w:hint="eastAsia"/>
          <w:spacing w:val="-3"/>
          <w:sz w:val="28"/>
        </w:rPr>
        <w:t>，只对经济增加值增量部分实施奖励。 </w:t>
      </w:r>
    </w:p>
    <w:p>
      <w:pPr>
        <w:pStyle w:val="ListParagraph"/>
        <w:numPr>
          <w:ilvl w:val="0"/>
          <w:numId w:val="1"/>
        </w:numPr>
        <w:tabs>
          <w:tab w:pos="1244" w:val="left" w:leader="none"/>
        </w:tabs>
        <w:spacing w:line="417" w:lineRule="auto" w:before="0" w:after="0"/>
        <w:ind w:left="160" w:right="256" w:firstLine="659"/>
        <w:jc w:val="both"/>
        <w:rPr>
          <w:rFonts w:ascii="宋体" w:eastAsia="宋体" w:hint="eastAsia"/>
          <w:sz w:val="28"/>
        </w:rPr>
      </w:pPr>
      <w:r>
        <w:rPr>
          <w:rFonts w:ascii="宋体" w:eastAsia="宋体" w:hint="eastAsia"/>
          <w:spacing w:val="-6"/>
          <w:sz w:val="28"/>
        </w:rPr>
        <w:t>奖金库。奖金库是基于对企业经济增加值长期增长目标实 </w:t>
      </w:r>
      <w:r>
        <w:rPr>
          <w:rFonts w:ascii="宋体" w:eastAsia="宋体" w:hint="eastAsia"/>
          <w:spacing w:val="-13"/>
          <w:sz w:val="28"/>
        </w:rPr>
        <w:t>施的奖励。企业设立专门的账号管理奖金，将以经济增加值为基准计</w:t>
      </w:r>
      <w:r>
        <w:rPr>
          <w:rFonts w:ascii="宋体" w:eastAsia="宋体" w:hint="eastAsia"/>
          <w:spacing w:val="-3"/>
          <w:sz w:val="28"/>
        </w:rPr>
        <w:t>算的奖金额存入专门账户中，以递延奖金形式发放。 </w:t>
      </w:r>
    </w:p>
    <w:p>
      <w:pPr>
        <w:pStyle w:val="ListParagraph"/>
        <w:numPr>
          <w:ilvl w:val="0"/>
          <w:numId w:val="1"/>
        </w:numPr>
        <w:tabs>
          <w:tab w:pos="1244" w:val="left" w:leader="none"/>
        </w:tabs>
        <w:spacing w:line="417" w:lineRule="auto" w:before="0" w:after="0"/>
        <w:ind w:left="160" w:right="118" w:firstLine="659"/>
        <w:jc w:val="left"/>
        <w:rPr>
          <w:rFonts w:ascii="宋体" w:eastAsia="宋体" w:hint="eastAsia"/>
          <w:sz w:val="28"/>
        </w:rPr>
      </w:pPr>
      <w:r>
        <w:rPr>
          <w:rFonts w:ascii="宋体" w:eastAsia="宋体" w:hint="eastAsia"/>
          <w:spacing w:val="-12"/>
          <w:sz w:val="28"/>
        </w:rPr>
        <w:t>股票期权。根据经济增加值确定股票期权的行权价格和数量</w:t>
      </w:r>
      <w:r>
        <w:rPr>
          <w:rFonts w:ascii="宋体" w:eastAsia="宋体" w:hint="eastAsia"/>
          <w:spacing w:val="-7"/>
          <w:sz w:val="28"/>
        </w:rPr>
        <w:t>，行权价格每年以相当于企业资本成本的比例上升，授予数量由当年</w:t>
      </w:r>
      <w:r>
        <w:rPr>
          <w:rFonts w:ascii="宋体" w:eastAsia="宋体" w:hint="eastAsia"/>
          <w:spacing w:val="-2"/>
          <w:sz w:val="28"/>
        </w:rPr>
        <w:t>所获得的奖金确定。 </w:t>
      </w:r>
    </w:p>
    <w:p>
      <w:pPr>
        <w:pStyle w:val="BodyText"/>
        <w:spacing w:line="417" w:lineRule="auto"/>
        <w:ind w:right="257" w:firstLine="659"/>
      </w:pPr>
      <w:r>
        <w:rPr/>
        <w:t>（二）能力开发激励计划主要包括对员工知识、技能等方面的提升计划。 </w:t>
      </w:r>
    </w:p>
    <w:p>
      <w:pPr>
        <w:pStyle w:val="BodyText"/>
        <w:ind w:left="820"/>
      </w:pPr>
      <w:r>
        <w:rPr/>
        <w:t>（三）职业发展激励计划主要是对员工职业发展做出的规划。 </w:t>
      </w:r>
    </w:p>
    <w:p>
      <w:pPr>
        <w:pStyle w:val="BodyText"/>
        <w:spacing w:before="7"/>
        <w:ind w:left="0"/>
        <w:rPr>
          <w:sz w:val="20"/>
        </w:rPr>
      </w:pPr>
    </w:p>
    <w:p>
      <w:pPr>
        <w:pStyle w:val="BodyText"/>
        <w:spacing w:line="417" w:lineRule="auto"/>
        <w:ind w:right="257" w:firstLine="659"/>
      </w:pPr>
      <w:r>
        <w:rPr/>
        <w:t>（四）其他激励计划包括良好的工作环境、晋升与降职、表扬与批评等。 </w:t>
      </w:r>
    </w:p>
    <w:p>
      <w:pPr>
        <w:pStyle w:val="BodyText"/>
        <w:spacing w:line="417" w:lineRule="auto"/>
        <w:ind w:right="258" w:firstLine="559"/>
      </w:pPr>
      <w:r>
        <w:rPr>
          <w:rFonts w:ascii="黑体" w:hAnsi="黑体" w:eastAsia="黑体" w:hint="eastAsia"/>
        </w:rPr>
        <w:t>第二十五条</w:t>
      </w:r>
      <w:r>
        <w:rPr/>
        <w:t> </w:t>
      </w:r>
      <w:r>
        <w:rPr/>
        <w:t>绩效计划和激励计划制定后，执行、实施及编制报告参照《管理会计应用指引第600号——绩效管理》。 </w:t>
      </w:r>
    </w:p>
    <w:p>
      <w:pPr>
        <w:pStyle w:val="BodyText"/>
        <w:spacing w:line="417" w:lineRule="auto"/>
        <w:ind w:right="257" w:firstLine="559"/>
      </w:pPr>
      <w:r>
        <w:rPr>
          <w:rFonts w:ascii="黑体" w:eastAsia="黑体" w:hint="eastAsia"/>
        </w:rPr>
        <w:t>第二十六条</w:t>
      </w:r>
      <w:r>
        <w:rPr/>
        <w:t> </w:t>
      </w:r>
      <w:r>
        <w:rPr/>
        <w:t>企业应用经济增加值法，应循序渐进，在企业及部分所属单位试点的基础上，总结完善后稳步推开。 </w:t>
      </w:r>
    </w:p>
    <w:p>
      <w:pPr>
        <w:pStyle w:val="BodyText"/>
        <w:ind w:left="0"/>
      </w:pPr>
    </w:p>
    <w:p>
      <w:pPr>
        <w:pStyle w:val="BodyText"/>
        <w:spacing w:before="8"/>
        <w:ind w:left="0"/>
        <w:rPr>
          <w:sz w:val="20"/>
        </w:rPr>
      </w:pPr>
    </w:p>
    <w:p>
      <w:pPr>
        <w:pStyle w:val="BodyText"/>
        <w:ind w:left="1046" w:right="1142"/>
        <w:jc w:val="center"/>
        <w:rPr>
          <w:rFonts w:ascii="黑体" w:eastAsia="黑体" w:hint="eastAsia"/>
        </w:rPr>
      </w:pPr>
      <w:r>
        <w:rPr>
          <w:rFonts w:ascii="黑体" w:eastAsia="黑体" w:hint="eastAsia"/>
        </w:rPr>
        <w:t>第四章 工具方法评价</w:t>
      </w:r>
    </w:p>
    <w:p>
      <w:pPr>
        <w:pStyle w:val="BodyText"/>
        <w:spacing w:before="9"/>
        <w:ind w:left="0"/>
        <w:rPr>
          <w:rFonts w:ascii="黑体"/>
          <w:sz w:val="20"/>
        </w:rPr>
      </w:pPr>
    </w:p>
    <w:p>
      <w:pPr>
        <w:pStyle w:val="BodyText"/>
        <w:spacing w:line="417" w:lineRule="auto"/>
        <w:ind w:right="252"/>
      </w:pPr>
      <w:r>
        <w:rPr>
          <w:rFonts w:ascii="黑体" w:eastAsia="黑体" w:hint="eastAsia"/>
        </w:rPr>
        <w:t>第二十七条</w:t>
      </w:r>
      <w:r>
        <w:rPr/>
        <w:t> </w:t>
      </w:r>
      <w:r>
        <w:rPr>
          <w:spacing w:val="-1"/>
        </w:rPr>
        <w:t>经济增加值法的主要优点是：考虑了所有资本的成本， </w:t>
      </w:r>
      <w:r>
        <w:rPr>
          <w:spacing w:val="-8"/>
        </w:rPr>
        <w:t>更真实地反映了企业的价值创造能力；实现了企业利益、经营者利益</w:t>
      </w:r>
    </w:p>
    <w:p>
      <w:pPr>
        <w:spacing w:after="0" w:line="417" w:lineRule="auto"/>
        <w:sectPr>
          <w:pgSz w:w="11910" w:h="16840"/>
          <w:pgMar w:header="0" w:footer="974" w:top="1520" w:bottom="1160" w:left="1640" w:right="1540"/>
        </w:sectPr>
      </w:pPr>
    </w:p>
    <w:p>
      <w:pPr>
        <w:pStyle w:val="BodyText"/>
        <w:spacing w:line="417" w:lineRule="auto" w:before="34"/>
        <w:ind w:right="256"/>
        <w:jc w:val="both"/>
      </w:pPr>
      <w:r>
        <w:rPr>
          <w:spacing w:val="-12"/>
        </w:rPr>
        <w:t>和员工利益的统一，激励经营者和所有员工为企业创造更多价值；能</w:t>
      </w:r>
      <w:r>
        <w:rPr>
          <w:spacing w:val="-7"/>
        </w:rPr>
        <w:t>有效遏制企业盲目扩张规模以追求利润总量和增长率的倾向，引导企</w:t>
      </w:r>
      <w:r>
        <w:rPr>
          <w:spacing w:val="-5"/>
        </w:rPr>
        <w:t>业注重长期价值创造。 </w:t>
      </w:r>
    </w:p>
    <w:p>
      <w:pPr>
        <w:pStyle w:val="BodyText"/>
        <w:spacing w:line="417" w:lineRule="auto"/>
        <w:ind w:right="116" w:firstLine="559"/>
      </w:pPr>
      <w:r>
        <w:rPr>
          <w:rFonts w:ascii="黑体" w:eastAsia="黑体" w:hint="eastAsia"/>
        </w:rPr>
        <w:t>第二十八条</w:t>
      </w:r>
      <w:r>
        <w:rPr/>
        <w:t> </w:t>
      </w:r>
      <w:r>
        <w:rPr/>
        <w:t>经济增加值法的主要缺点是：一是仅对企业当期或未来1-3年价值创造情况的衡量和预判，无法衡量企业长远发展战略</w:t>
      </w:r>
      <w:r>
        <w:rPr>
          <w:spacing w:val="-11"/>
        </w:rPr>
        <w:t>的价值创造情况；二是计算主要基于财务指标，无法对企业的营运效</w:t>
      </w:r>
      <w:r>
        <w:rPr>
          <w:spacing w:val="-13"/>
        </w:rPr>
        <w:t>率与效果进行综合评价；三是不同行业、不同发展阶段、不同规模等</w:t>
      </w:r>
      <w:r>
        <w:rPr>
          <w:spacing w:val="-19"/>
        </w:rPr>
        <w:t>的企业，其会计调整项和加权平均资本成本各不相同，计算比较复杂， </w:t>
      </w:r>
      <w:r>
        <w:rPr>
          <w:spacing w:val="-2"/>
        </w:rPr>
        <w:t>影响指标的可比性。 </w:t>
      </w:r>
    </w:p>
    <w:p>
      <w:pPr>
        <w:pStyle w:val="BodyText"/>
        <w:ind w:left="0"/>
      </w:pPr>
    </w:p>
    <w:p>
      <w:pPr>
        <w:pStyle w:val="BodyText"/>
        <w:spacing w:before="8"/>
        <w:ind w:left="0"/>
        <w:rPr>
          <w:sz w:val="20"/>
        </w:rPr>
      </w:pPr>
    </w:p>
    <w:p>
      <w:pPr>
        <w:pStyle w:val="BodyText"/>
        <w:ind w:left="1047" w:right="1142"/>
        <w:jc w:val="center"/>
        <w:rPr>
          <w:rFonts w:ascii="黑体" w:eastAsia="黑体" w:hint="eastAsia"/>
        </w:rPr>
      </w:pPr>
      <w:r>
        <w:rPr>
          <w:rFonts w:ascii="黑体" w:eastAsia="黑体" w:hint="eastAsia"/>
        </w:rPr>
        <w:t>第五章 附 则</w:t>
      </w:r>
    </w:p>
    <w:p>
      <w:pPr>
        <w:pStyle w:val="BodyText"/>
        <w:spacing w:before="9"/>
        <w:ind w:left="0"/>
        <w:rPr>
          <w:rFonts w:ascii="黑体"/>
          <w:sz w:val="20"/>
        </w:rPr>
      </w:pPr>
    </w:p>
    <w:p>
      <w:pPr>
        <w:pStyle w:val="BodyText"/>
        <w:ind w:left="719"/>
      </w:pPr>
      <w:r>
        <w:rPr>
          <w:rFonts w:ascii="黑体" w:eastAsia="黑体" w:hint="eastAsia"/>
        </w:rPr>
        <w:t>第二十九条</w:t>
      </w:r>
      <w:r>
        <w:rPr/>
        <w:t> </w:t>
      </w:r>
      <w:r>
        <w:rPr/>
        <w:t>本指引由财政部负责解释。 </w:t>
      </w:r>
    </w:p>
    <w:p>
      <w:pPr>
        <w:spacing w:after="0"/>
        <w:sectPr>
          <w:pgSz w:w="11910" w:h="16840"/>
          <w:pgMar w:header="0" w:footer="974" w:top="1520" w:bottom="1160" w:left="1640" w:right="1540"/>
        </w:sect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7"/>
        </w:rPr>
      </w:pPr>
    </w:p>
    <w:p>
      <w:pPr>
        <w:pStyle w:val="Heading1"/>
        <w:ind w:left="870"/>
      </w:pPr>
      <w:r>
        <w:rPr/>
        <w:t>管理会计应用指引第603号</w:t>
      </w:r>
      <w:r>
        <w:rPr>
          <w:rFonts w:ascii="黑体" w:hAnsi="黑体" w:eastAsia="黑体" w:hint="eastAsia"/>
          <w:b w:val="0"/>
        </w:rPr>
        <w:t>——</w:t>
      </w:r>
      <w:r>
        <w:rPr/>
        <w:t>平衡计分卡</w:t>
      </w:r>
      <w:r>
        <w:rPr>
          <w:w w:val="99"/>
        </w:rPr>
        <w:t> </w:t>
      </w:r>
    </w:p>
    <w:p>
      <w:pPr>
        <w:pStyle w:val="BodyText"/>
        <w:ind w:left="0"/>
        <w:rPr>
          <w:b/>
          <w:sz w:val="36"/>
        </w:rPr>
      </w:pPr>
    </w:p>
    <w:p>
      <w:pPr>
        <w:pStyle w:val="BodyText"/>
        <w:spacing w:before="5"/>
        <w:ind w:left="0"/>
        <w:rPr>
          <w:b/>
          <w:sz w:val="29"/>
        </w:rPr>
      </w:pPr>
    </w:p>
    <w:p>
      <w:pPr>
        <w:pStyle w:val="BodyText"/>
        <w:ind w:left="1047" w:right="1142"/>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ind w:right="119" w:firstLine="566"/>
      </w:pPr>
      <w:r>
        <w:rPr>
          <w:rFonts w:ascii="黑体" w:eastAsia="黑体" w:hint="eastAsia"/>
        </w:rPr>
        <w:t>第一条</w:t>
      </w:r>
      <w:r>
        <w:rPr/>
        <w:t> </w:t>
      </w:r>
      <w:r>
        <w:rPr/>
        <w:t>平衡计分卡，是指基于企业战略，从财务、客户、内部</w:t>
      </w:r>
      <w:r>
        <w:rPr>
          <w:spacing w:val="-18"/>
        </w:rPr>
        <w:t>业务流程、学习与成长四个维度，将战略目标逐层分解转化为具体的、</w:t>
      </w:r>
      <w:r>
        <w:rPr>
          <w:spacing w:val="-3"/>
        </w:rPr>
        <w:t>相互平衡的绩效指标体系，并据此进行绩效管理的方法。 </w:t>
      </w:r>
    </w:p>
    <w:p>
      <w:pPr>
        <w:pStyle w:val="BodyText"/>
        <w:spacing w:line="358" w:lineRule="exact"/>
        <w:ind w:left="719"/>
      </w:pPr>
      <w:r>
        <w:rPr>
          <w:rFonts w:ascii="黑体" w:eastAsia="黑体" w:hint="eastAsia"/>
        </w:rPr>
        <w:t>第二条</w:t>
      </w:r>
      <w:r>
        <w:rPr/>
        <w:t> </w:t>
      </w:r>
      <w:r>
        <w:rPr/>
        <w:t>平衡计分卡通常与战略地图等其他工具结合使用。 </w:t>
      </w:r>
    </w:p>
    <w:p>
      <w:pPr>
        <w:pStyle w:val="BodyText"/>
        <w:spacing w:before="9"/>
        <w:ind w:left="0"/>
        <w:rPr>
          <w:sz w:val="20"/>
        </w:rPr>
      </w:pPr>
    </w:p>
    <w:p>
      <w:pPr>
        <w:pStyle w:val="BodyText"/>
        <w:spacing w:line="417" w:lineRule="auto"/>
        <w:ind w:right="256" w:firstLine="559"/>
      </w:pPr>
      <w:r>
        <w:rPr>
          <w:rFonts w:ascii="黑体" w:eastAsia="黑体" w:hint="eastAsia"/>
        </w:rPr>
        <w:t>第三条</w:t>
      </w:r>
      <w:r>
        <w:rPr/>
        <w:t> </w:t>
      </w:r>
      <w:r>
        <w:rPr/>
        <w:t>平衡计分卡适用于战略目标明确、管理制度比较完善、管理水平相对较高的企业。 </w:t>
      </w:r>
    </w:p>
    <w:p>
      <w:pPr>
        <w:pStyle w:val="BodyText"/>
        <w:ind w:left="640"/>
      </w:pPr>
      <w:r>
        <w:rPr/>
        <w:t>平衡计分卡的应用对象可为企业、所属单位（部门）和员工。 </w:t>
      </w:r>
    </w:p>
    <w:p>
      <w:pPr>
        <w:pStyle w:val="BodyText"/>
        <w:ind w:left="0"/>
      </w:pPr>
    </w:p>
    <w:p>
      <w:pPr>
        <w:pStyle w:val="BodyText"/>
        <w:spacing w:before="5"/>
        <w:ind w:left="0"/>
        <w:rPr>
          <w:sz w:val="41"/>
        </w:rPr>
      </w:pPr>
    </w:p>
    <w:p>
      <w:pPr>
        <w:pStyle w:val="BodyText"/>
        <w:ind w:left="1049" w:right="1142"/>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ind w:right="258" w:firstLine="559"/>
      </w:pPr>
      <w:r>
        <w:rPr>
          <w:rFonts w:ascii="黑体" w:hAnsi="黑体" w:eastAsia="黑体" w:hint="eastAsia"/>
        </w:rPr>
        <w:t>第四条</w:t>
      </w:r>
      <w:r>
        <w:rPr/>
        <w:t> 企业应用平衡计分卡工具方法，应遵循《管理会计应用指引第600号——绩效管理》中对应用环境的一般要求。 </w:t>
      </w:r>
    </w:p>
    <w:p>
      <w:pPr>
        <w:pStyle w:val="BodyText"/>
        <w:spacing w:line="417" w:lineRule="auto" w:before="1"/>
        <w:ind w:right="115" w:firstLine="559"/>
        <w:jc w:val="both"/>
      </w:pPr>
      <w:r>
        <w:rPr>
          <w:rFonts w:ascii="黑体" w:eastAsia="黑体" w:hint="eastAsia"/>
        </w:rPr>
        <w:t>第五条</w:t>
      </w:r>
      <w:r>
        <w:rPr/>
        <w:t> </w:t>
      </w:r>
      <w:r>
        <w:rPr>
          <w:spacing w:val="-11"/>
        </w:rPr>
        <w:t>企业应用平衡计分卡工具方法，应有明确的愿景和战略。</w:t>
      </w:r>
      <w:r>
        <w:rPr>
          <w:spacing w:val="-3"/>
        </w:rPr>
        <w:t>平衡计分卡应以战略目标为核心，全面描述、衡量和管理战略目标， 将战略目标转化为可操作的行动。 </w:t>
      </w:r>
    </w:p>
    <w:p>
      <w:pPr>
        <w:pStyle w:val="BodyText"/>
        <w:spacing w:line="417" w:lineRule="auto"/>
        <w:ind w:right="117" w:firstLine="559"/>
      </w:pPr>
      <w:r>
        <w:rPr>
          <w:rFonts w:ascii="黑体" w:eastAsia="黑体" w:hint="eastAsia"/>
        </w:rPr>
        <w:t>第六条</w:t>
      </w:r>
      <w:r>
        <w:rPr/>
        <w:t> </w:t>
      </w:r>
      <w:r>
        <w:rPr>
          <w:spacing w:val="-10"/>
        </w:rPr>
        <w:t>平衡计分卡可能涉及到组织和流程变革，具有创新精神、</w:t>
      </w:r>
      <w:r>
        <w:rPr>
          <w:spacing w:val="-3"/>
        </w:rPr>
        <w:t>变革精神的企业文化有助于成功实施平衡计分卡。 </w:t>
      </w:r>
    </w:p>
    <w:p>
      <w:pPr>
        <w:pStyle w:val="BodyText"/>
        <w:ind w:left="719"/>
      </w:pPr>
      <w:r>
        <w:rPr>
          <w:rFonts w:ascii="黑体" w:eastAsia="黑体" w:hint="eastAsia"/>
        </w:rPr>
        <w:t>第七条</w:t>
      </w:r>
      <w:r>
        <w:rPr/>
        <w:t> </w:t>
      </w:r>
      <w:r>
        <w:rPr/>
        <w:t>企业应对组织结构和职能进行梳理，消除不同组织职能</w:t>
      </w:r>
    </w:p>
    <w:p>
      <w:pPr>
        <w:spacing w:after="0"/>
        <w:sectPr>
          <w:pgSz w:w="11910" w:h="16840"/>
          <w:pgMar w:header="0" w:footer="974" w:top="1580" w:bottom="1160" w:left="1640" w:right="1540"/>
        </w:sectPr>
      </w:pPr>
    </w:p>
    <w:p>
      <w:pPr>
        <w:pStyle w:val="BodyText"/>
        <w:spacing w:line="417" w:lineRule="auto" w:before="34"/>
        <w:ind w:right="165"/>
      </w:pPr>
      <w:r>
        <w:rPr>
          <w:spacing w:val="-3"/>
        </w:rPr>
        <w:t>间的壁垒，实现良好的组织协同，既包括企业内部各级单位</w:t>
      </w:r>
      <w:r>
        <w:rPr/>
        <w:t>（</w:t>
      </w:r>
      <w:r>
        <w:rPr>
          <w:spacing w:val="-2"/>
        </w:rPr>
        <w:t>部门</w:t>
      </w:r>
      <w:r>
        <w:rPr>
          <w:spacing w:val="-13"/>
        </w:rPr>
        <w:t>） </w:t>
      </w:r>
      <w:r>
        <w:rPr>
          <w:spacing w:val="-10"/>
        </w:rPr>
        <w:t>之间的横向与纵向协同，也包括与投资者、客户、供应商等外部利益</w:t>
      </w:r>
      <w:r>
        <w:rPr>
          <w:spacing w:val="-7"/>
        </w:rPr>
        <w:t>相关者之间的协同。 </w:t>
      </w:r>
    </w:p>
    <w:p>
      <w:pPr>
        <w:pStyle w:val="BodyText"/>
        <w:spacing w:line="417" w:lineRule="auto"/>
        <w:ind w:right="256" w:firstLine="559"/>
        <w:jc w:val="both"/>
      </w:pPr>
      <w:r>
        <w:rPr>
          <w:rFonts w:ascii="黑体" w:eastAsia="黑体" w:hint="eastAsia"/>
        </w:rPr>
        <w:t>第八条</w:t>
      </w:r>
      <w:r>
        <w:rPr/>
        <w:t> </w:t>
      </w:r>
      <w:r>
        <w:rPr>
          <w:spacing w:val="-1"/>
        </w:rPr>
        <w:t>企业应注重员工学习与成长能力的提升，以更好地实现</w:t>
      </w:r>
      <w:r>
        <w:rPr>
          <w:spacing w:val="-12"/>
        </w:rPr>
        <w:t>平衡计分卡的财务、客户、内部业务流程目标，使战略目标贯彻到每</w:t>
      </w:r>
      <w:r>
        <w:rPr>
          <w:spacing w:val="-3"/>
        </w:rPr>
        <w:t>一名员工的日常工作中。 </w:t>
      </w:r>
    </w:p>
    <w:p>
      <w:pPr>
        <w:pStyle w:val="BodyText"/>
        <w:spacing w:line="417" w:lineRule="auto"/>
        <w:ind w:right="256" w:firstLine="559"/>
        <w:jc w:val="both"/>
      </w:pPr>
      <w:r>
        <w:rPr>
          <w:rFonts w:ascii="黑体" w:eastAsia="黑体" w:hint="eastAsia"/>
        </w:rPr>
        <w:t>第九条</w:t>
      </w:r>
      <w:r>
        <w:rPr/>
        <w:t> </w:t>
      </w:r>
      <w:r>
        <w:rPr>
          <w:spacing w:val="-1"/>
        </w:rPr>
        <w:t>平衡计分卡的实施是一项复杂的系统工程。企业一般需</w:t>
      </w:r>
      <w:r>
        <w:rPr>
          <w:spacing w:val="-12"/>
        </w:rPr>
        <w:t>要建立由战略管理、人力资源管理、财务管理和外部专家等组成的团</w:t>
      </w:r>
      <w:r>
        <w:rPr>
          <w:spacing w:val="-7"/>
        </w:rPr>
        <w:t>队，为平衡计分卡的实施提供机制保障。</w:t>
      </w:r>
      <w:r>
        <w:rPr/>
        <w:t> </w:t>
      </w:r>
    </w:p>
    <w:p>
      <w:pPr>
        <w:pStyle w:val="BodyText"/>
        <w:spacing w:line="417" w:lineRule="auto"/>
        <w:ind w:right="256" w:firstLine="559"/>
        <w:jc w:val="both"/>
      </w:pPr>
      <w:r>
        <w:rPr>
          <w:rFonts w:ascii="黑体" w:eastAsia="黑体" w:hint="eastAsia"/>
        </w:rPr>
        <w:t>第十条</w:t>
      </w:r>
      <w:r>
        <w:rPr/>
        <w:t> </w:t>
      </w:r>
      <w:r>
        <w:rPr>
          <w:spacing w:val="-1"/>
        </w:rPr>
        <w:t>企业应建立高效集成的信息系统，实现绩效管理与预算</w:t>
      </w:r>
      <w:r>
        <w:rPr>
          <w:spacing w:val="-11"/>
        </w:rPr>
        <w:t>管理、财务管理、生产经营等系统的紧密结合，为平衡计分卡的实施</w:t>
      </w:r>
      <w:r>
        <w:rPr>
          <w:spacing w:val="-7"/>
        </w:rPr>
        <w:t>提供信息支持。</w:t>
      </w:r>
      <w:r>
        <w:rPr/>
        <w:t> </w:t>
      </w:r>
    </w:p>
    <w:p>
      <w:pPr>
        <w:pStyle w:val="BodyText"/>
        <w:ind w:left="0"/>
      </w:pPr>
    </w:p>
    <w:p>
      <w:pPr>
        <w:pStyle w:val="BodyText"/>
        <w:spacing w:before="8"/>
        <w:ind w:left="0"/>
        <w:rPr>
          <w:sz w:val="20"/>
        </w:rPr>
      </w:pPr>
    </w:p>
    <w:p>
      <w:pPr>
        <w:pStyle w:val="BodyText"/>
        <w:ind w:left="1049" w:right="1142"/>
        <w:jc w:val="center"/>
        <w:rPr>
          <w:rFonts w:ascii="黑体" w:eastAsia="黑体" w:hint="eastAsia"/>
        </w:rPr>
      </w:pPr>
      <w:r>
        <w:rPr>
          <w:rFonts w:ascii="黑体" w:eastAsia="黑体" w:hint="eastAsia"/>
        </w:rPr>
        <w:t>第三章 应用程序</w:t>
      </w:r>
    </w:p>
    <w:p>
      <w:pPr>
        <w:pStyle w:val="BodyText"/>
        <w:spacing w:before="9"/>
        <w:ind w:left="0"/>
        <w:rPr>
          <w:rFonts w:ascii="黑体"/>
          <w:sz w:val="20"/>
        </w:rPr>
      </w:pPr>
    </w:p>
    <w:p>
      <w:pPr>
        <w:pStyle w:val="BodyText"/>
        <w:spacing w:line="417" w:lineRule="auto"/>
        <w:ind w:right="256" w:firstLine="559"/>
        <w:jc w:val="both"/>
      </w:pPr>
      <w:r>
        <w:rPr>
          <w:rFonts w:ascii="黑体" w:eastAsia="黑体" w:hint="eastAsia"/>
        </w:rPr>
        <w:t>第十一条</w:t>
      </w:r>
      <w:r>
        <w:rPr/>
        <w:t> </w:t>
      </w:r>
      <w:r>
        <w:rPr>
          <w:spacing w:val="-1"/>
        </w:rPr>
        <w:t>企业应用平衡计分卡工具方法，一般按照制定战略地</w:t>
      </w:r>
      <w:r>
        <w:rPr>
          <w:spacing w:val="-10"/>
        </w:rPr>
        <w:t>图、制定以平衡计分卡为核心的绩效计划、制定激励计划、制定战略</w:t>
      </w:r>
      <w:r>
        <w:rPr>
          <w:spacing w:val="-12"/>
        </w:rPr>
        <w:t>性行动方案、执行绩效计划与激励计划、实施绩效评价与激励、编制</w:t>
      </w:r>
      <w:r>
        <w:rPr>
          <w:spacing w:val="-3"/>
        </w:rPr>
        <w:t>绩效评价与激励管理报告等程序进行。 </w:t>
      </w:r>
    </w:p>
    <w:p>
      <w:pPr>
        <w:pStyle w:val="BodyText"/>
        <w:spacing w:line="417" w:lineRule="auto"/>
        <w:ind w:right="165" w:firstLine="559"/>
      </w:pPr>
      <w:r>
        <w:rPr>
          <w:rFonts w:ascii="黑体" w:hAnsi="黑体" w:eastAsia="黑体" w:hint="eastAsia"/>
        </w:rPr>
        <w:t>第十二条</w:t>
      </w:r>
      <w:r>
        <w:rPr/>
        <w:t> </w:t>
      </w:r>
      <w:r>
        <w:rPr/>
        <w:t>企业首先应制定战略地图，即基于企业愿景与战略， 将战略目标及其因果关系、价值创造路径以图示的形式直观、明确、清晰地呈现。战略地图的制定参照《管理会计应用指引第101号—— 战略地图》。 </w:t>
      </w:r>
    </w:p>
    <w:p>
      <w:pPr>
        <w:spacing w:after="0" w:line="417" w:lineRule="auto"/>
        <w:sectPr>
          <w:pgSz w:w="11910" w:h="16840"/>
          <w:pgMar w:header="0" w:footer="974" w:top="1520" w:bottom="1160" w:left="1640" w:right="1540"/>
        </w:sectPr>
      </w:pPr>
    </w:p>
    <w:p>
      <w:pPr>
        <w:pStyle w:val="BodyText"/>
        <w:spacing w:line="417" w:lineRule="auto" w:before="34"/>
        <w:ind w:right="258" w:firstLine="559"/>
      </w:pPr>
      <w:r>
        <w:rPr>
          <w:rFonts w:ascii="黑体" w:eastAsia="黑体" w:hint="eastAsia"/>
        </w:rPr>
        <w:t>第十三条</w:t>
      </w:r>
      <w:r>
        <w:rPr/>
        <w:t> </w:t>
      </w:r>
      <w:r>
        <w:rPr/>
        <w:t>战略地图基于战略主题构建，战略主题反映企业价值创造的关键业务流程，每个战略主题包括相互关联的1-2个目标。 </w:t>
      </w:r>
    </w:p>
    <w:p>
      <w:pPr>
        <w:pStyle w:val="BodyText"/>
        <w:spacing w:line="417" w:lineRule="auto"/>
        <w:ind w:right="163" w:firstLine="559"/>
        <w:jc w:val="both"/>
      </w:pPr>
      <w:r>
        <w:rPr>
          <w:rFonts w:ascii="黑体" w:eastAsia="黑体" w:hint="eastAsia"/>
        </w:rPr>
        <w:t>第十四条</w:t>
      </w:r>
      <w:r>
        <w:rPr/>
        <w:t> </w:t>
      </w:r>
      <w:r>
        <w:rPr/>
        <w:t>战略地图制定后，应以平衡计分卡为核心编制绩效计</w:t>
      </w:r>
      <w:r>
        <w:rPr>
          <w:spacing w:val="-10"/>
        </w:rPr>
        <w:t>划。绩效计划是企业开展绩效评价工作的行动方案，包括构建指标体系、分配指标权重、确定绩效目标值、选择计分方法和评价周期、签</w:t>
      </w:r>
      <w:r>
        <w:rPr>
          <w:spacing w:val="-8"/>
        </w:rPr>
        <w:t>订绩效责任书等一系列管理活动。制定绩效计划通常从企业级开始， </w:t>
      </w:r>
      <w:r>
        <w:rPr>
          <w:spacing w:val="-3"/>
          <w:w w:val="100"/>
        </w:rPr>
        <w:t>层层分解到所属单位</w:t>
      </w:r>
      <w:r>
        <w:rPr>
          <w:w w:val="100"/>
        </w:rPr>
        <w:t>（</w:t>
      </w:r>
      <w:r>
        <w:rPr>
          <w:spacing w:val="-2"/>
          <w:w w:val="100"/>
        </w:rPr>
        <w:t>部门</w:t>
      </w:r>
      <w:r>
        <w:rPr>
          <w:spacing w:val="-140"/>
          <w:w w:val="100"/>
        </w:rPr>
        <w:t>）</w:t>
      </w:r>
      <w:r>
        <w:rPr>
          <w:spacing w:val="-3"/>
          <w:w w:val="100"/>
        </w:rPr>
        <w:t>，最终落实到具体岗位和员工。 </w:t>
      </w:r>
    </w:p>
    <w:p>
      <w:pPr>
        <w:pStyle w:val="BodyText"/>
        <w:spacing w:line="417" w:lineRule="auto"/>
        <w:ind w:right="258" w:firstLine="559"/>
        <w:jc w:val="both"/>
      </w:pPr>
      <w:r>
        <w:rPr>
          <w:rFonts w:ascii="黑体" w:eastAsia="黑体" w:hint="eastAsia"/>
        </w:rPr>
        <w:t>第十五条</w:t>
      </w:r>
      <w:r>
        <w:rPr/>
        <w:t> </w:t>
      </w:r>
      <w:r>
        <w:rPr>
          <w:spacing w:val="-1"/>
        </w:rPr>
        <w:t>平衡计分卡指标体系的构建应围绕战略地图，针对财</w:t>
      </w:r>
      <w:r>
        <w:rPr>
          <w:spacing w:val="-10"/>
        </w:rPr>
        <w:t>务、客户、内部业务流程和学习与成长四个维度的战略目标，确定相</w:t>
      </w:r>
      <w:r>
        <w:rPr>
          <w:spacing w:val="-7"/>
        </w:rPr>
        <w:t>应的评价指标。</w:t>
      </w:r>
      <w:r>
        <w:rPr/>
        <w:t> </w:t>
      </w:r>
    </w:p>
    <w:p>
      <w:pPr>
        <w:pStyle w:val="BodyText"/>
        <w:spacing w:line="358" w:lineRule="exact"/>
        <w:ind w:left="650"/>
      </w:pPr>
      <w:r>
        <w:rPr/>
        <w:t>构建平衡计分卡指标体系的一般程序： </w:t>
      </w:r>
    </w:p>
    <w:p>
      <w:pPr>
        <w:pStyle w:val="BodyText"/>
        <w:spacing w:before="9"/>
        <w:ind w:left="0"/>
        <w:rPr>
          <w:sz w:val="20"/>
        </w:rPr>
      </w:pPr>
    </w:p>
    <w:p>
      <w:pPr>
        <w:pStyle w:val="BodyText"/>
        <w:spacing w:line="417" w:lineRule="auto"/>
        <w:ind w:right="258" w:firstLine="559"/>
        <w:jc w:val="both"/>
      </w:pPr>
      <w:r>
        <w:rPr/>
        <w:t>（一</w:t>
      </w:r>
      <w:r>
        <w:rPr>
          <w:spacing w:val="-32"/>
        </w:rPr>
        <w:t>）</w:t>
      </w:r>
      <w:r>
        <w:rPr>
          <w:spacing w:val="-9"/>
        </w:rPr>
        <w:t>制定企业级指标体系。根据企业层面的战略地图，为每个</w:t>
      </w:r>
      <w:r>
        <w:rPr>
          <w:spacing w:val="-7"/>
        </w:rPr>
        <w:t>战略主题的目标设定指标，每个目标至少应有 </w:t>
      </w:r>
      <w:r>
        <w:rPr/>
        <w:t>1</w:t>
      </w:r>
      <w:r>
        <w:rPr>
          <w:spacing w:val="-16"/>
        </w:rPr>
        <w:t> 个指标。 </w:t>
      </w:r>
    </w:p>
    <w:p>
      <w:pPr>
        <w:pStyle w:val="BodyText"/>
        <w:spacing w:line="417" w:lineRule="auto"/>
        <w:ind w:right="252" w:firstLine="559"/>
        <w:jc w:val="both"/>
      </w:pPr>
      <w:r>
        <w:rPr/>
        <w:t>（二</w:t>
      </w:r>
      <w:r>
        <w:rPr>
          <w:spacing w:val="-24"/>
        </w:rPr>
        <w:t>）</w:t>
      </w:r>
      <w:r>
        <w:rPr>
          <w:spacing w:val="-7"/>
        </w:rPr>
        <w:t>制定所属单位</w:t>
      </w:r>
      <w:r>
        <w:rPr/>
        <w:t>（部门</w:t>
      </w:r>
      <w:r>
        <w:rPr>
          <w:spacing w:val="-27"/>
        </w:rPr>
        <w:t>）</w:t>
      </w:r>
      <w:r>
        <w:rPr>
          <w:spacing w:val="-6"/>
        </w:rPr>
        <w:t>级指标体系。依据企业级战略地图</w:t>
      </w:r>
      <w:r>
        <w:rPr>
          <w:spacing w:val="-7"/>
        </w:rPr>
        <w:t>和指标体系，制定所属单位</w:t>
      </w:r>
      <w:r>
        <w:rPr>
          <w:spacing w:val="-3"/>
        </w:rPr>
        <w:t>（</w:t>
      </w:r>
      <w:r>
        <w:rPr/>
        <w:t>部门</w:t>
      </w:r>
      <w:r>
        <w:rPr>
          <w:spacing w:val="-27"/>
        </w:rPr>
        <w:t>）</w:t>
      </w:r>
      <w:r>
        <w:rPr>
          <w:spacing w:val="-6"/>
        </w:rPr>
        <w:t>的战略地图，确定相应的指标体</w:t>
      </w:r>
      <w:r>
        <w:rPr>
          <w:spacing w:val="-3"/>
        </w:rPr>
        <w:t>系，协同各所属单位</w:t>
      </w:r>
      <w:r>
        <w:rPr/>
        <w:t>（</w:t>
      </w:r>
      <w:r>
        <w:rPr>
          <w:spacing w:val="-2"/>
        </w:rPr>
        <w:t>部门</w:t>
      </w:r>
      <w:r>
        <w:rPr/>
        <w:t>）</w:t>
      </w:r>
      <w:r>
        <w:rPr>
          <w:spacing w:val="-3"/>
        </w:rPr>
        <w:t>的行动与战略目标保持一致。 </w:t>
      </w:r>
    </w:p>
    <w:p>
      <w:pPr>
        <w:pStyle w:val="BodyText"/>
        <w:spacing w:line="417" w:lineRule="auto"/>
        <w:ind w:right="115" w:firstLine="559"/>
      </w:pPr>
      <w:r>
        <w:rPr/>
        <w:t>（三）制定岗位（员工）级指标体系。根据企业、所属单位（部门）级指标体系，按照岗位职责逐级形成岗位（员工）级指标体系。 </w:t>
      </w:r>
    </w:p>
    <w:p>
      <w:pPr>
        <w:pStyle w:val="BodyText"/>
        <w:spacing w:line="417" w:lineRule="auto"/>
        <w:ind w:right="255" w:firstLine="559"/>
        <w:jc w:val="both"/>
      </w:pPr>
      <w:r>
        <w:rPr>
          <w:rFonts w:ascii="黑体" w:eastAsia="黑体" w:hint="eastAsia"/>
        </w:rPr>
        <w:t>第十六条</w:t>
      </w:r>
      <w:r>
        <w:rPr/>
        <w:t> </w:t>
      </w:r>
      <w:r>
        <w:rPr>
          <w:spacing w:val="-1"/>
        </w:rPr>
        <w:t>平衡计分卡指标体系构建时，应注重短期目标与长期</w:t>
      </w:r>
      <w:r>
        <w:rPr>
          <w:spacing w:val="-12"/>
        </w:rPr>
        <w:t>目标的平衡、财务指标与非财务指标的平衡、结果性指标与动因性指标的平衡、企业内部利益与外部利益的平衡。平衡计分卡每个维度的</w:t>
      </w:r>
      <w:r>
        <w:rPr>
          <w:spacing w:val="-1"/>
        </w:rPr>
        <w:t>指标通常为</w:t>
      </w:r>
      <w:r>
        <w:rPr/>
        <w:t>4-7</w:t>
      </w:r>
      <w:r>
        <w:rPr>
          <w:spacing w:val="-3"/>
        </w:rPr>
        <w:t>个，总数量一般不超过</w:t>
      </w:r>
      <w:r>
        <w:rPr/>
        <w:t>25</w:t>
      </w:r>
      <w:r>
        <w:rPr>
          <w:spacing w:val="-2"/>
        </w:rPr>
        <w:t>个。</w:t>
      </w:r>
      <w:r>
        <w:rPr/>
        <w:t> </w:t>
      </w:r>
    </w:p>
    <w:p>
      <w:pPr>
        <w:spacing w:after="0" w:line="417" w:lineRule="auto"/>
        <w:jc w:val="both"/>
        <w:sectPr>
          <w:pgSz w:w="11910" w:h="16840"/>
          <w:pgMar w:header="0" w:footer="974" w:top="1520" w:bottom="1160" w:left="1640" w:right="1540"/>
        </w:sectPr>
      </w:pPr>
    </w:p>
    <w:p>
      <w:pPr>
        <w:pStyle w:val="BodyText"/>
        <w:spacing w:line="417" w:lineRule="auto" w:before="34"/>
        <w:ind w:right="258" w:firstLine="559"/>
        <w:jc w:val="both"/>
      </w:pPr>
      <w:r>
        <w:rPr>
          <w:rFonts w:ascii="黑体" w:eastAsia="黑体" w:hint="eastAsia"/>
        </w:rPr>
        <w:t>第十七条</w:t>
      </w:r>
      <w:r>
        <w:rPr/>
        <w:t> </w:t>
      </w:r>
      <w:r>
        <w:rPr>
          <w:spacing w:val="-1"/>
        </w:rPr>
        <w:t>平衡计分卡指标体系构建时，企业应以财务维度为核</w:t>
      </w:r>
      <w:r>
        <w:rPr>
          <w:spacing w:val="-11"/>
        </w:rPr>
        <w:t>心，其他维度的指标都与核心维度的一个或多个指标相联系。通过梳</w:t>
      </w:r>
      <w:r>
        <w:rPr>
          <w:spacing w:val="-10"/>
        </w:rPr>
        <w:t>理核心维度目标的实现过程，确定每个维度的关键驱动因素，结合战</w:t>
      </w:r>
      <w:r>
        <w:rPr>
          <w:spacing w:val="-3"/>
        </w:rPr>
        <w:t>略主题，选取关键绩效指标。</w:t>
      </w:r>
      <w:r>
        <w:rPr/>
        <w:t> </w:t>
      </w:r>
    </w:p>
    <w:p>
      <w:pPr>
        <w:pStyle w:val="BodyText"/>
        <w:spacing w:line="417" w:lineRule="auto"/>
        <w:ind w:right="255" w:firstLine="489"/>
        <w:jc w:val="both"/>
      </w:pPr>
      <w:r>
        <w:rPr>
          <w:spacing w:val="-5"/>
        </w:rPr>
        <w:t>财务维度以财务术语描述了战略目标的有形成果。企业常用指标</w:t>
      </w:r>
      <w:r>
        <w:rPr>
          <w:spacing w:val="-11"/>
        </w:rPr>
        <w:t>有投资资本回报率、净资产收益率、经济增加值、息税前利润、自由</w:t>
      </w:r>
      <w:r>
        <w:rPr>
          <w:spacing w:val="-3"/>
        </w:rPr>
        <w:t>现金流、资产负债率、总资产周转率等。 </w:t>
      </w:r>
    </w:p>
    <w:p>
      <w:pPr>
        <w:pStyle w:val="BodyText"/>
        <w:spacing w:line="417" w:lineRule="auto"/>
        <w:ind w:right="253" w:firstLine="489"/>
        <w:jc w:val="both"/>
      </w:pPr>
      <w:r>
        <w:rPr>
          <w:spacing w:val="6"/>
        </w:rPr>
        <w:t>客户维度界定了目标客户的价值主张。企业常用指标有市场份</w:t>
      </w:r>
      <w:r>
        <w:rPr>
          <w:spacing w:val="-11"/>
        </w:rPr>
        <w:t>额、客户满意度、客户获得率、客户保持率、客户获利率、战略客户</w:t>
      </w:r>
      <w:r>
        <w:rPr>
          <w:spacing w:val="-1"/>
        </w:rPr>
        <w:t>数量等。</w:t>
      </w:r>
      <w:r>
        <w:rPr/>
        <w:t> </w:t>
      </w:r>
    </w:p>
    <w:p>
      <w:pPr>
        <w:pStyle w:val="BodyText"/>
        <w:spacing w:line="417" w:lineRule="auto"/>
        <w:ind w:right="255" w:firstLine="489"/>
        <w:jc w:val="both"/>
      </w:pPr>
      <w:r>
        <w:rPr>
          <w:spacing w:val="-5"/>
        </w:rPr>
        <w:t>内部业务流程维度确定了对战略目标产生影响的关键流程。企业</w:t>
      </w:r>
      <w:r>
        <w:rPr>
          <w:spacing w:val="-10"/>
        </w:rPr>
        <w:t>常用指标有交货及时率、生产负荷率、产品合格率、存货周转率、单</w:t>
      </w:r>
      <w:r>
        <w:rPr>
          <w:spacing w:val="-2"/>
        </w:rPr>
        <w:t>位生产成本等。</w:t>
      </w:r>
      <w:r>
        <w:rPr/>
        <w:t> </w:t>
      </w:r>
    </w:p>
    <w:p>
      <w:pPr>
        <w:pStyle w:val="BodyText"/>
        <w:spacing w:line="417" w:lineRule="auto"/>
        <w:ind w:right="258" w:firstLine="489"/>
      </w:pPr>
      <w:r>
        <w:rPr>
          <w:spacing w:val="-5"/>
        </w:rPr>
        <w:t>学习与成长维度确定了对战略最重要的无形资产。企业常用指标</w:t>
      </w:r>
      <w:r>
        <w:rPr>
          <w:spacing w:val="-3"/>
        </w:rPr>
        <w:t>有员工保持率、员工生产率、培训计划完成率、员工满意度等。</w:t>
      </w:r>
      <w:r>
        <w:rPr/>
        <w:t> </w:t>
      </w:r>
    </w:p>
    <w:p>
      <w:pPr>
        <w:pStyle w:val="BodyText"/>
        <w:spacing w:line="417" w:lineRule="auto"/>
        <w:ind w:right="258" w:firstLine="559"/>
      </w:pPr>
      <w:r>
        <w:rPr>
          <w:rFonts w:ascii="黑体" w:eastAsia="黑体" w:hint="eastAsia"/>
        </w:rPr>
        <w:t>第十八条</w:t>
      </w:r>
      <w:r>
        <w:rPr>
          <w:spacing w:val="37"/>
        </w:rPr>
        <w:t> </w:t>
      </w:r>
      <w:r>
        <w:rPr>
          <w:spacing w:val="-1"/>
        </w:rPr>
        <w:t>企业可根据实际情况建立通用类指标库，不同层级单</w:t>
      </w:r>
      <w:r>
        <w:rPr>
          <w:spacing w:val="-3"/>
        </w:rPr>
        <w:t>位和部门结合不同的战略定位、业务特点选择适合的指标体系。 </w:t>
      </w:r>
    </w:p>
    <w:p>
      <w:pPr>
        <w:pStyle w:val="BodyText"/>
        <w:spacing w:line="417" w:lineRule="auto"/>
        <w:ind w:right="257" w:firstLine="559"/>
        <w:jc w:val="both"/>
      </w:pPr>
      <w:r>
        <w:rPr>
          <w:rFonts w:ascii="黑体" w:eastAsia="黑体" w:hint="eastAsia"/>
        </w:rPr>
        <w:t>第十九条</w:t>
      </w:r>
      <w:r>
        <w:rPr/>
        <w:t> </w:t>
      </w:r>
      <w:r>
        <w:rPr>
          <w:spacing w:val="-1"/>
        </w:rPr>
        <w:t>平衡计分卡指标的权重分配应以战略目标为导向，反</w:t>
      </w:r>
      <w:r>
        <w:rPr>
          <w:spacing w:val="-9"/>
        </w:rPr>
        <w:t>映被评价对象对企业战略目标贡献或支持的程度，以及各指标之间的</w:t>
      </w:r>
      <w:r>
        <w:rPr>
          <w:spacing w:val="-2"/>
        </w:rPr>
        <w:t>重要性水平。</w:t>
      </w:r>
      <w:r>
        <w:rPr/>
        <w:t> </w:t>
      </w:r>
    </w:p>
    <w:p>
      <w:pPr>
        <w:pStyle w:val="BodyText"/>
        <w:spacing w:line="417" w:lineRule="auto"/>
        <w:ind w:left="100" w:right="254" w:firstLine="479"/>
        <w:jc w:val="both"/>
      </w:pPr>
      <w:r>
        <w:rPr>
          <w:spacing w:val="-7"/>
        </w:rPr>
        <w:t>企业绩效指标权重一般设定在 </w:t>
      </w:r>
      <w:r>
        <w:rPr/>
        <w:t>5%-30</w:t>
      </w:r>
      <w:r>
        <w:rPr>
          <w:spacing w:val="-6"/>
        </w:rPr>
        <w:t>%之间，对特别重要的指标可</w:t>
      </w:r>
      <w:r>
        <w:rPr>
          <w:spacing w:val="-5"/>
        </w:rPr>
        <w:t>适当提高权重。对特别关键、影响企业整体价值的指标可设立“一票</w:t>
      </w:r>
    </w:p>
    <w:p>
      <w:pPr>
        <w:spacing w:after="0" w:line="417" w:lineRule="auto"/>
        <w:jc w:val="both"/>
        <w:sectPr>
          <w:pgSz w:w="11910" w:h="16840"/>
          <w:pgMar w:header="0" w:footer="974" w:top="1520" w:bottom="1160" w:left="1640" w:right="1540"/>
        </w:sectPr>
      </w:pPr>
    </w:p>
    <w:p>
      <w:pPr>
        <w:pStyle w:val="BodyText"/>
        <w:spacing w:line="417" w:lineRule="auto" w:before="34"/>
        <w:ind w:left="100" w:right="221"/>
      </w:pPr>
      <w:r>
        <w:rPr/>
        <w:t>否决”制度，即如果某项绩效指标未完成，无论其他指标是否完成， 均视为未完成绩效目标。 </w:t>
      </w:r>
    </w:p>
    <w:p>
      <w:pPr>
        <w:pStyle w:val="BodyText"/>
        <w:spacing w:line="417" w:lineRule="auto"/>
        <w:ind w:right="257" w:firstLine="559"/>
        <w:jc w:val="both"/>
      </w:pPr>
      <w:r>
        <w:rPr>
          <w:rFonts w:ascii="黑体" w:eastAsia="黑体" w:hint="eastAsia"/>
        </w:rPr>
        <w:t>第二十条</w:t>
      </w:r>
      <w:r>
        <w:rPr/>
        <w:t> </w:t>
      </w:r>
      <w:r>
        <w:rPr>
          <w:spacing w:val="-1"/>
        </w:rPr>
        <w:t>平衡计分卡绩效目标值应根据战略地图的因果关系分</w:t>
      </w:r>
      <w:r>
        <w:rPr>
          <w:spacing w:val="-10"/>
        </w:rPr>
        <w:t>别设置。首先确定战略主题的目标值，其次确定主题内的目标值，然</w:t>
      </w:r>
      <w:r>
        <w:rPr>
          <w:spacing w:val="-11"/>
        </w:rPr>
        <w:t>后基于平衡计分卡评价指标与战略目标的对应关系，为每个评价指标</w:t>
      </w:r>
      <w:r>
        <w:rPr>
          <w:spacing w:val="-3"/>
        </w:rPr>
        <w:t>设定目标值，通常设计</w:t>
      </w:r>
      <w:r>
        <w:rPr/>
        <w:t>3-5</w:t>
      </w:r>
      <w:r>
        <w:rPr>
          <w:spacing w:val="-3"/>
        </w:rPr>
        <w:t>年的目标值。 </w:t>
      </w:r>
    </w:p>
    <w:p>
      <w:pPr>
        <w:pStyle w:val="BodyText"/>
        <w:spacing w:line="417" w:lineRule="auto"/>
        <w:ind w:right="256" w:firstLine="559"/>
        <w:jc w:val="both"/>
      </w:pPr>
      <w:r>
        <w:rPr>
          <w:rFonts w:ascii="黑体" w:eastAsia="黑体" w:hint="eastAsia"/>
        </w:rPr>
        <w:t>第二十一条</w:t>
      </w:r>
      <w:r>
        <w:rPr/>
        <w:t> </w:t>
      </w:r>
      <w:r>
        <w:rPr>
          <w:spacing w:val="-1"/>
        </w:rPr>
        <w:t>平衡计分卡绩效目标值确定后，应规定因内外部环</w:t>
      </w:r>
      <w:r>
        <w:rPr>
          <w:spacing w:val="-11"/>
        </w:rPr>
        <w:t>境发生重大变化、自然灾害等不可抗力因素对绩效完成结果产生重大</w:t>
      </w:r>
      <w:r>
        <w:rPr>
          <w:spacing w:val="-10"/>
        </w:rPr>
        <w:t>影响时，对目标值进行调整的办法和程序。一般情况下，由被评价对</w:t>
      </w:r>
      <w:r>
        <w:rPr>
          <w:spacing w:val="-13"/>
        </w:rPr>
        <w:t>象或评价主体测算确定影响程度，向相应的绩效管理工作机构提出调</w:t>
      </w:r>
      <w:r>
        <w:rPr>
          <w:spacing w:val="-3"/>
        </w:rPr>
        <w:t>整申请，报薪酬与考核委员会或类似机构审批。 </w:t>
      </w:r>
    </w:p>
    <w:p>
      <w:pPr>
        <w:pStyle w:val="BodyText"/>
        <w:spacing w:line="417" w:lineRule="auto"/>
        <w:ind w:right="253" w:firstLine="559"/>
        <w:jc w:val="both"/>
      </w:pPr>
      <w:r>
        <w:rPr>
          <w:rFonts w:ascii="黑体" w:hAnsi="黑体" w:eastAsia="黑体" w:hint="eastAsia"/>
        </w:rPr>
        <w:t>第二十二条</w:t>
      </w:r>
      <w:r>
        <w:rPr/>
        <w:t> </w:t>
      </w:r>
      <w:r>
        <w:rPr/>
        <w:t>绩效评价计分方法和周期的选择、绩效责任书的签订、激励计划的制定，参照《管理会计应用指引第600号——绩效管理》。 </w:t>
      </w:r>
    </w:p>
    <w:p>
      <w:pPr>
        <w:pStyle w:val="BodyText"/>
        <w:spacing w:line="417" w:lineRule="auto"/>
        <w:ind w:right="253" w:firstLine="559"/>
        <w:jc w:val="both"/>
      </w:pPr>
      <w:r>
        <w:rPr>
          <w:rFonts w:ascii="黑体" w:eastAsia="黑体" w:hint="eastAsia"/>
        </w:rPr>
        <w:t>第二十三条</w:t>
      </w:r>
      <w:r>
        <w:rPr/>
        <w:t> </w:t>
      </w:r>
      <w:r>
        <w:rPr/>
        <w:t>绩效计划与激励计划制定后，企业应在战略主题的</w:t>
      </w:r>
      <w:r>
        <w:rPr>
          <w:spacing w:val="-11"/>
        </w:rPr>
        <w:t>基础上，制定战略性行动方案，实现短期行动计划与长期战略目标的</w:t>
      </w:r>
      <w:r>
        <w:rPr>
          <w:spacing w:val="-7"/>
        </w:rPr>
        <w:t>协同。战略性行动方案的制定主要包括以下内容：</w:t>
      </w:r>
      <w:r>
        <w:rPr>
          <w:spacing w:val="-2"/>
        </w:rPr>
        <w:t> </w:t>
      </w:r>
      <w:r>
        <w:rPr/>
        <w:t> </w:t>
      </w:r>
    </w:p>
    <w:p>
      <w:pPr>
        <w:pStyle w:val="BodyText"/>
        <w:spacing w:line="417" w:lineRule="auto"/>
        <w:ind w:left="100" w:right="116" w:firstLine="479"/>
      </w:pPr>
      <w:r>
        <w:rPr/>
        <w:t>（一</w:t>
      </w:r>
      <w:r>
        <w:rPr>
          <w:spacing w:val="-49"/>
        </w:rPr>
        <w:t>）</w:t>
      </w:r>
      <w:r>
        <w:rPr>
          <w:spacing w:val="-9"/>
        </w:rPr>
        <w:t>选择战略性行动方案。制定每个战略主题的多个行动方案， </w:t>
      </w:r>
      <w:r>
        <w:rPr>
          <w:spacing w:val="-3"/>
        </w:rPr>
        <w:t>并从中区分、排序和选择最优的战略性行动方案。 </w:t>
      </w:r>
    </w:p>
    <w:p>
      <w:pPr>
        <w:pStyle w:val="BodyText"/>
        <w:spacing w:line="417" w:lineRule="auto"/>
        <w:ind w:right="256" w:firstLine="419"/>
      </w:pPr>
      <w:r>
        <w:rPr/>
        <w:t>（二）提供战略性资金。建立战略性支出的预算，为战略性行动方案提供资金支持。 </w:t>
      </w:r>
    </w:p>
    <w:p>
      <w:pPr>
        <w:pStyle w:val="BodyText"/>
        <w:ind w:left="580"/>
      </w:pPr>
      <w:r>
        <w:rPr/>
        <w:t>（三）建立责任制。明确战略性行动方案的执行责任方，定期回</w:t>
      </w:r>
    </w:p>
    <w:p>
      <w:pPr>
        <w:spacing w:after="0"/>
        <w:sectPr>
          <w:pgSz w:w="11910" w:h="16840"/>
          <w:pgMar w:header="0" w:footer="974" w:top="1520" w:bottom="1160" w:left="1640" w:right="1540"/>
        </w:sectPr>
      </w:pPr>
    </w:p>
    <w:p>
      <w:pPr>
        <w:pStyle w:val="BodyText"/>
        <w:spacing w:before="34"/>
        <w:ind w:left="100"/>
      </w:pPr>
      <w:r>
        <w:rPr/>
        <w:t>顾战略性行动方案的执行进程和效果。 </w:t>
      </w:r>
    </w:p>
    <w:p>
      <w:pPr>
        <w:pStyle w:val="BodyText"/>
        <w:spacing w:before="9"/>
        <w:ind w:left="0"/>
        <w:rPr>
          <w:sz w:val="20"/>
        </w:rPr>
      </w:pPr>
    </w:p>
    <w:p>
      <w:pPr>
        <w:pStyle w:val="BodyText"/>
        <w:spacing w:line="417" w:lineRule="auto" w:before="1"/>
        <w:ind w:right="256" w:firstLine="559"/>
        <w:jc w:val="both"/>
      </w:pPr>
      <w:r>
        <w:rPr>
          <w:rFonts w:ascii="黑体" w:eastAsia="黑体" w:hint="eastAsia"/>
        </w:rPr>
        <w:t>第二十四条</w:t>
      </w:r>
      <w:r>
        <w:rPr/>
        <w:t> </w:t>
      </w:r>
      <w:r>
        <w:rPr>
          <w:spacing w:val="-1"/>
        </w:rPr>
        <w:t>绩效计划与激励计划执行过程中，企业应按照纵向</w:t>
      </w:r>
      <w:r>
        <w:rPr>
          <w:spacing w:val="-12"/>
        </w:rPr>
        <w:t>一致、横向协调的原则，持续地推进组织协同，将协同作为一个重要的流程进行管理，使企业和员工的目标、职责与行动保持一致，创造</w:t>
      </w:r>
      <w:r>
        <w:rPr>
          <w:spacing w:val="-2"/>
        </w:rPr>
        <w:t>协同效应。</w:t>
      </w:r>
      <w:r>
        <w:rPr/>
        <w:t> </w:t>
      </w:r>
    </w:p>
    <w:p>
      <w:pPr>
        <w:pStyle w:val="BodyText"/>
        <w:spacing w:line="417" w:lineRule="auto"/>
        <w:ind w:right="255" w:firstLine="559"/>
        <w:jc w:val="both"/>
      </w:pPr>
      <w:r>
        <w:rPr>
          <w:rFonts w:ascii="黑体" w:eastAsia="黑体" w:hint="eastAsia"/>
        </w:rPr>
        <w:t>第二十五条</w:t>
      </w:r>
      <w:r>
        <w:rPr/>
        <w:t> </w:t>
      </w:r>
      <w:r>
        <w:rPr>
          <w:spacing w:val="-1"/>
        </w:rPr>
        <w:t>绩效计划与激励计划执行过程中，企业应持续深入</w:t>
      </w:r>
      <w:r>
        <w:rPr>
          <w:spacing w:val="-11"/>
        </w:rPr>
        <w:t>地开展流程管理，及时识别存在问题的关键流程，根据需要对流程进</w:t>
      </w:r>
      <w:r>
        <w:rPr>
          <w:spacing w:val="-12"/>
        </w:rPr>
        <w:t>行优化完善，必要时进行流程再造，将流程改进计划与战略目标相协</w:t>
      </w:r>
      <w:r>
        <w:rPr>
          <w:spacing w:val="-2"/>
        </w:rPr>
        <w:t>同。</w:t>
      </w:r>
      <w:r>
        <w:rPr/>
        <w:t> </w:t>
      </w:r>
    </w:p>
    <w:p>
      <w:pPr>
        <w:pStyle w:val="BodyText"/>
        <w:spacing w:line="358" w:lineRule="exact"/>
        <w:ind w:left="719"/>
      </w:pPr>
      <w:r>
        <w:rPr>
          <w:rFonts w:ascii="黑体" w:eastAsia="黑体" w:hint="eastAsia"/>
        </w:rPr>
        <w:t>第二十六条</w:t>
      </w:r>
      <w:r>
        <w:rPr/>
        <w:t> </w:t>
      </w:r>
      <w:r>
        <w:rPr/>
        <w:t>绩效计划与激励计划的执行、实施及编制报告参照</w:t>
      </w:r>
    </w:p>
    <w:p>
      <w:pPr>
        <w:pStyle w:val="BodyText"/>
        <w:spacing w:before="8"/>
        <w:ind w:left="0"/>
        <w:rPr>
          <w:sz w:val="20"/>
        </w:rPr>
      </w:pPr>
    </w:p>
    <w:p>
      <w:pPr>
        <w:pStyle w:val="BodyText"/>
      </w:pPr>
      <w:r>
        <w:rPr/>
        <w:t>《管理会计应用指引第600号——绩效管理》。 </w:t>
      </w:r>
    </w:p>
    <w:p>
      <w:pPr>
        <w:pStyle w:val="BodyText"/>
        <w:spacing w:before="9"/>
        <w:ind w:left="0"/>
        <w:rPr>
          <w:sz w:val="20"/>
        </w:rPr>
      </w:pPr>
    </w:p>
    <w:p>
      <w:pPr>
        <w:pStyle w:val="BodyText"/>
        <w:spacing w:line="417" w:lineRule="auto" w:before="1"/>
        <w:ind w:right="258" w:firstLine="559"/>
      </w:pPr>
      <w:r>
        <w:rPr>
          <w:rFonts w:ascii="黑体" w:eastAsia="黑体" w:hint="eastAsia"/>
        </w:rPr>
        <w:t>第二十七条</w:t>
      </w:r>
      <w:r>
        <w:rPr/>
        <w:t> </w:t>
      </w:r>
      <w:r>
        <w:rPr/>
        <w:t>平衡计分卡的实施是一项长期的管理改善工作，在实践中通常采用先试点后推广的方式，循序渐进，分步实施。 </w:t>
      </w:r>
    </w:p>
    <w:p>
      <w:pPr>
        <w:pStyle w:val="BodyText"/>
        <w:ind w:left="0"/>
      </w:pPr>
    </w:p>
    <w:p>
      <w:pPr>
        <w:pStyle w:val="BodyText"/>
        <w:spacing w:before="8"/>
        <w:ind w:left="0"/>
        <w:rPr>
          <w:sz w:val="20"/>
        </w:rPr>
      </w:pPr>
    </w:p>
    <w:p>
      <w:pPr>
        <w:pStyle w:val="BodyText"/>
        <w:ind w:left="1046" w:right="1142"/>
        <w:jc w:val="center"/>
        <w:rPr>
          <w:rFonts w:ascii="黑体" w:eastAsia="黑体" w:hint="eastAsia"/>
        </w:rPr>
      </w:pPr>
      <w:r>
        <w:rPr>
          <w:rFonts w:ascii="黑体" w:eastAsia="黑体" w:hint="eastAsia"/>
        </w:rPr>
        <w:t>第四章 工具方法评价</w:t>
      </w:r>
    </w:p>
    <w:p>
      <w:pPr>
        <w:pStyle w:val="BodyText"/>
        <w:spacing w:before="9"/>
        <w:ind w:left="0"/>
        <w:rPr>
          <w:rFonts w:ascii="黑体"/>
          <w:sz w:val="20"/>
        </w:rPr>
      </w:pPr>
    </w:p>
    <w:p>
      <w:pPr>
        <w:pStyle w:val="BodyText"/>
        <w:spacing w:line="417" w:lineRule="auto"/>
        <w:ind w:right="117" w:firstLine="559"/>
      </w:pPr>
      <w:r>
        <w:rPr>
          <w:rFonts w:ascii="黑体" w:eastAsia="黑体" w:hint="eastAsia"/>
        </w:rPr>
        <w:t>第二十八条</w:t>
      </w:r>
      <w:r>
        <w:rPr/>
        <w:t> </w:t>
      </w:r>
      <w:r>
        <w:rPr/>
        <w:t>平衡计分卡的主要优点是：一是战略目标逐层分解</w:t>
      </w:r>
      <w:r>
        <w:rPr>
          <w:spacing w:val="-8"/>
        </w:rPr>
        <w:t>并转化为被评价对象的绩效指标和行动方案，使整个组织行动协调一</w:t>
      </w:r>
      <w:r>
        <w:rPr>
          <w:spacing w:val="-11"/>
        </w:rPr>
        <w:t>致；二是从财务、客户、内部业务流程、学习与成长四个维度确定绩</w:t>
      </w:r>
      <w:r>
        <w:rPr>
          <w:spacing w:val="-18"/>
        </w:rPr>
        <w:t>效指标，使绩效评价更为全面完整；三是将学习与成长作为一个维度， </w:t>
      </w:r>
      <w:r>
        <w:rPr>
          <w:spacing w:val="-3"/>
        </w:rPr>
        <w:t>注重员工的发展要求和组织资本、信息资本等无形资产的开发利用， 有利于增强企业可持续发展的动力。 </w:t>
      </w:r>
    </w:p>
    <w:p>
      <w:pPr>
        <w:pStyle w:val="BodyText"/>
        <w:spacing w:line="358" w:lineRule="exact"/>
        <w:ind w:left="719"/>
      </w:pPr>
      <w:r>
        <w:rPr>
          <w:rFonts w:ascii="黑体" w:eastAsia="黑体" w:hint="eastAsia"/>
        </w:rPr>
        <w:t>第二十九条</w:t>
      </w:r>
      <w:r>
        <w:rPr/>
        <w:t> </w:t>
      </w:r>
      <w:r>
        <w:rPr/>
        <w:t>应用平衡计分卡的主要缺点是：一是专业技术要求</w:t>
      </w:r>
    </w:p>
    <w:p>
      <w:pPr>
        <w:spacing w:after="0" w:line="358" w:lineRule="exact"/>
        <w:sectPr>
          <w:pgSz w:w="11910" w:h="16840"/>
          <w:pgMar w:header="0" w:footer="974" w:top="1520" w:bottom="1160" w:left="1640" w:right="1540"/>
        </w:sectPr>
      </w:pPr>
    </w:p>
    <w:p>
      <w:pPr>
        <w:pStyle w:val="BodyText"/>
        <w:spacing w:line="417" w:lineRule="auto" w:before="34"/>
        <w:ind w:right="253"/>
        <w:jc w:val="both"/>
      </w:pPr>
      <w:r>
        <w:rPr>
          <w:spacing w:val="-11"/>
        </w:rPr>
        <w:t>高，工作量比较大，操作难度也较大，需要持续地沟通和反馈，实施比较复杂，实施成本高；二是各指标权重在不同层级及各层级不同指</w:t>
      </w:r>
      <w:r>
        <w:rPr>
          <w:spacing w:val="-10"/>
        </w:rPr>
        <w:t>标之间的分配比较困难，且部分非财务指标的量化工作难以落实；三</w:t>
      </w:r>
      <w:r>
        <w:rPr>
          <w:spacing w:val="-13"/>
        </w:rPr>
        <w:t>是系统性强、涉及面广，需要专业人员的指导、企业全员的参与和长</w:t>
      </w:r>
      <w:r>
        <w:rPr>
          <w:spacing w:val="-8"/>
        </w:rPr>
        <w:t>期持续地修正与完善，对信息系统、管理能力有较高的要求。 </w:t>
      </w:r>
    </w:p>
    <w:p>
      <w:pPr>
        <w:pStyle w:val="BodyText"/>
        <w:ind w:left="0"/>
      </w:pPr>
    </w:p>
    <w:p>
      <w:pPr>
        <w:pStyle w:val="BodyText"/>
        <w:spacing w:before="9"/>
        <w:ind w:left="0"/>
        <w:rPr>
          <w:sz w:val="20"/>
        </w:rPr>
      </w:pPr>
    </w:p>
    <w:p>
      <w:pPr>
        <w:pStyle w:val="BodyText"/>
        <w:spacing w:line="417" w:lineRule="auto"/>
        <w:ind w:left="719" w:right="3382" w:firstLine="2614"/>
      </w:pPr>
      <w:r>
        <w:rPr>
          <w:rFonts w:ascii="黑体" w:eastAsia="黑体" w:hint="eastAsia"/>
        </w:rPr>
        <w:t>第五章 附  则第三十条</w:t>
      </w:r>
      <w:r>
        <w:rPr/>
        <w:t> </w:t>
      </w:r>
      <w:r>
        <w:rPr/>
        <w:t>本指引由财政部负责解释。</w:t>
      </w:r>
    </w:p>
    <w:p>
      <w:pPr>
        <w:spacing w:after="0" w:line="417" w:lineRule="auto"/>
        <w:sectPr>
          <w:pgSz w:w="11910" w:h="16840"/>
          <w:pgMar w:header="0" w:footer="974" w:top="1520" w:bottom="1160" w:left="1640" w:right="1540"/>
        </w:sectPr>
      </w:pPr>
    </w:p>
    <w:p>
      <w:pPr>
        <w:pStyle w:val="BodyText"/>
        <w:spacing w:before="34"/>
        <w:rPr>
          <w:rFonts w:ascii="黑体" w:eastAsia="黑体" w:hint="eastAsia"/>
        </w:rPr>
      </w:pPr>
      <w:r>
        <w:rPr>
          <w:rFonts w:ascii="黑体" w:eastAsia="黑体" w:hint="eastAsia"/>
        </w:rPr>
        <w:t>附录：</w:t>
      </w:r>
    </w:p>
    <w:p>
      <w:pPr>
        <w:pStyle w:val="BodyText"/>
        <w:ind w:left="0"/>
        <w:rPr>
          <w:rFonts w:ascii="黑体"/>
          <w:sz w:val="20"/>
        </w:rPr>
      </w:pPr>
    </w:p>
    <w:p>
      <w:pPr>
        <w:pStyle w:val="BodyText"/>
        <w:ind w:left="0"/>
        <w:rPr>
          <w:rFonts w:ascii="黑体"/>
          <w:sz w:val="20"/>
        </w:rPr>
      </w:pPr>
    </w:p>
    <w:p>
      <w:pPr>
        <w:pStyle w:val="BodyText"/>
        <w:spacing w:before="7"/>
        <w:ind w:left="0"/>
        <w:rPr>
          <w:rFonts w:ascii="黑体"/>
          <w:sz w:val="21"/>
        </w:rPr>
      </w:pPr>
    </w:p>
    <w:p>
      <w:pPr>
        <w:pStyle w:val="Heading1"/>
        <w:ind w:left="1221" w:right="1142"/>
        <w:jc w:val="center"/>
      </w:pPr>
      <w:r>
        <w:rPr/>
        <w:t>相关工具方法及指标计算说明</w:t>
      </w:r>
      <w:r>
        <w:rPr>
          <w:w w:val="99"/>
        </w:rPr>
        <w:t> </w:t>
      </w:r>
    </w:p>
    <w:p>
      <w:pPr>
        <w:pStyle w:val="BodyText"/>
        <w:ind w:left="0"/>
        <w:rPr>
          <w:b/>
          <w:sz w:val="36"/>
        </w:rPr>
      </w:pPr>
    </w:p>
    <w:p>
      <w:pPr>
        <w:pStyle w:val="BodyText"/>
        <w:spacing w:before="5"/>
        <w:ind w:left="0"/>
        <w:rPr>
          <w:b/>
          <w:sz w:val="29"/>
        </w:rPr>
      </w:pPr>
    </w:p>
    <w:p>
      <w:pPr>
        <w:pStyle w:val="BodyText"/>
        <w:ind w:left="719"/>
        <w:rPr>
          <w:rFonts w:ascii="黑体" w:eastAsia="黑体" w:hint="eastAsia"/>
        </w:rPr>
      </w:pPr>
      <w:r>
        <w:rPr>
          <w:rFonts w:ascii="黑体" w:eastAsia="黑体" w:hint="eastAsia"/>
        </w:rPr>
        <w:t>一、工具方法说明</w:t>
      </w:r>
    </w:p>
    <w:p>
      <w:pPr>
        <w:pStyle w:val="BodyText"/>
        <w:spacing w:before="10"/>
        <w:ind w:left="0"/>
        <w:rPr>
          <w:rFonts w:ascii="黑体"/>
          <w:sz w:val="20"/>
        </w:rPr>
      </w:pPr>
    </w:p>
    <w:p>
      <w:pPr>
        <w:pStyle w:val="Heading2"/>
        <w:spacing w:line="240" w:lineRule="auto"/>
      </w:pPr>
      <w:r>
        <w:rPr>
          <w:w w:val="95"/>
        </w:rPr>
        <w:t>（一）指标权重确定方法</w:t>
      </w:r>
    </w:p>
    <w:p>
      <w:pPr>
        <w:pStyle w:val="BodyText"/>
        <w:spacing w:before="9"/>
        <w:ind w:left="0"/>
        <w:rPr>
          <w:rFonts w:ascii="仿宋"/>
          <w:b/>
          <w:sz w:val="20"/>
        </w:rPr>
      </w:pPr>
    </w:p>
    <w:p>
      <w:pPr>
        <w:pStyle w:val="ListParagraph"/>
        <w:numPr>
          <w:ilvl w:val="0"/>
          <w:numId w:val="2"/>
        </w:numPr>
        <w:tabs>
          <w:tab w:pos="1141" w:val="left" w:leader="none"/>
        </w:tabs>
        <w:spacing w:line="417" w:lineRule="auto" w:before="0" w:after="0"/>
        <w:ind w:left="160" w:right="256" w:firstLine="559"/>
        <w:jc w:val="both"/>
        <w:rPr>
          <w:sz w:val="28"/>
        </w:rPr>
      </w:pPr>
      <w:r>
        <w:rPr>
          <w:b/>
          <w:spacing w:val="-9"/>
          <w:sz w:val="28"/>
        </w:rPr>
        <w:t>德尔菲法</w:t>
      </w:r>
      <w:r>
        <w:rPr>
          <w:b/>
          <w:sz w:val="28"/>
        </w:rPr>
        <w:t>（也称专家调查法</w:t>
      </w:r>
      <w:r>
        <w:rPr>
          <w:b/>
          <w:spacing w:val="-88"/>
          <w:sz w:val="28"/>
        </w:rPr>
        <w:t>）</w:t>
      </w:r>
      <w:r>
        <w:rPr>
          <w:spacing w:val="-11"/>
          <w:sz w:val="28"/>
        </w:rPr>
        <w:t>，是指邀请专家对各项指标进</w:t>
      </w:r>
      <w:r>
        <w:rPr>
          <w:spacing w:val="-10"/>
          <w:sz w:val="28"/>
        </w:rPr>
        <w:t>行权重设置，将汇总平均后的结果反馈给专家，再次征询意见，经过</w:t>
      </w:r>
      <w:r>
        <w:rPr>
          <w:spacing w:val="-7"/>
          <w:sz w:val="28"/>
        </w:rPr>
        <w:t>多次反复，逐步取得比较一致结果的方法。</w:t>
      </w:r>
    </w:p>
    <w:p>
      <w:pPr>
        <w:pStyle w:val="ListParagraph"/>
        <w:numPr>
          <w:ilvl w:val="0"/>
          <w:numId w:val="2"/>
        </w:numPr>
        <w:tabs>
          <w:tab w:pos="1143" w:val="left" w:leader="none"/>
        </w:tabs>
        <w:spacing w:line="417" w:lineRule="auto" w:before="0" w:after="0"/>
        <w:ind w:left="160" w:right="165" w:firstLine="559"/>
        <w:jc w:val="left"/>
        <w:rPr>
          <w:sz w:val="28"/>
        </w:rPr>
      </w:pPr>
      <w:r>
        <w:rPr>
          <w:b/>
          <w:sz w:val="28"/>
        </w:rPr>
        <w:t>层次分析法</w:t>
      </w:r>
      <w:r>
        <w:rPr>
          <w:sz w:val="28"/>
        </w:rPr>
        <w:t>，是指将绩效指标分解成多个层次，通过下层元</w:t>
      </w:r>
      <w:r>
        <w:rPr>
          <w:spacing w:val="-4"/>
          <w:sz w:val="28"/>
        </w:rPr>
        <w:t>素对于上层元素相对重要性的两两比较，构成两两比较的判断矩阵， 求出判断矩阵最大特征值所对应的特征向量作为指标权重值的方法。</w:t>
      </w:r>
    </w:p>
    <w:p>
      <w:pPr>
        <w:pStyle w:val="ListParagraph"/>
        <w:numPr>
          <w:ilvl w:val="0"/>
          <w:numId w:val="2"/>
        </w:numPr>
        <w:tabs>
          <w:tab w:pos="1143" w:val="left" w:leader="none"/>
        </w:tabs>
        <w:spacing w:line="417" w:lineRule="auto" w:before="0" w:after="0"/>
        <w:ind w:left="160" w:right="255" w:firstLine="559"/>
        <w:jc w:val="both"/>
        <w:rPr>
          <w:sz w:val="28"/>
        </w:rPr>
      </w:pPr>
      <w:r>
        <w:rPr>
          <w:b/>
          <w:sz w:val="28"/>
        </w:rPr>
        <w:t>主成分分析法</w:t>
      </w:r>
      <w:r>
        <w:rPr>
          <w:spacing w:val="-3"/>
          <w:sz w:val="28"/>
        </w:rPr>
        <w:t>，是指将多个变量重新组合成一组新的相互无</w:t>
      </w:r>
      <w:r>
        <w:rPr>
          <w:spacing w:val="-11"/>
          <w:sz w:val="28"/>
        </w:rPr>
        <w:t>关的综合变量，根据实际需要从中挑选出尽可能多地反映原来变量信</w:t>
      </w:r>
      <w:r>
        <w:rPr>
          <w:spacing w:val="-12"/>
          <w:sz w:val="28"/>
        </w:rPr>
        <w:t>息的少数综合变量，进一步求出各变量的方差贡献率，以确定指标权</w:t>
      </w:r>
      <w:r>
        <w:rPr>
          <w:spacing w:val="-1"/>
          <w:sz w:val="28"/>
        </w:rPr>
        <w:t>重的方法。</w:t>
      </w:r>
    </w:p>
    <w:p>
      <w:pPr>
        <w:pStyle w:val="ListParagraph"/>
        <w:numPr>
          <w:ilvl w:val="0"/>
          <w:numId w:val="2"/>
        </w:numPr>
        <w:tabs>
          <w:tab w:pos="1143" w:val="left" w:leader="none"/>
        </w:tabs>
        <w:spacing w:line="417" w:lineRule="auto" w:before="0" w:after="0"/>
        <w:ind w:left="160" w:right="255" w:firstLine="559"/>
        <w:jc w:val="both"/>
        <w:rPr>
          <w:sz w:val="28"/>
        </w:rPr>
      </w:pPr>
      <w:r>
        <w:rPr>
          <w:b/>
          <w:sz w:val="28"/>
        </w:rPr>
        <w:t>均方差法</w:t>
      </w:r>
      <w:r>
        <w:rPr>
          <w:spacing w:val="-1"/>
          <w:sz w:val="28"/>
        </w:rPr>
        <w:t>，是指将各项指标定为随机变量，指标在不同方案</w:t>
      </w:r>
      <w:r>
        <w:rPr>
          <w:spacing w:val="-8"/>
          <w:sz w:val="28"/>
        </w:rPr>
        <w:t>下的数值为该随机变量的取值，首先求出这些随机变量</w:t>
      </w:r>
      <w:r>
        <w:rPr>
          <w:sz w:val="28"/>
        </w:rPr>
        <w:t>（</w:t>
      </w:r>
      <w:r>
        <w:rPr>
          <w:spacing w:val="-1"/>
          <w:sz w:val="28"/>
        </w:rPr>
        <w:t>各指标</w:t>
      </w:r>
      <w:r>
        <w:rPr>
          <w:spacing w:val="-32"/>
          <w:sz w:val="28"/>
        </w:rPr>
        <w:t>）</w:t>
      </w:r>
      <w:r>
        <w:rPr>
          <w:sz w:val="28"/>
        </w:rPr>
        <w:t>的</w:t>
      </w:r>
      <w:r>
        <w:rPr>
          <w:spacing w:val="-3"/>
          <w:sz w:val="28"/>
        </w:rPr>
        <w:t>均方差，然后根据不同随机变量的离散程度确定指标权重的方法。</w:t>
      </w:r>
    </w:p>
    <w:p>
      <w:pPr>
        <w:pStyle w:val="Heading2"/>
      </w:pPr>
      <w:r>
        <w:rPr/>
        <w:t>（二）绩效评价计分方法</w:t>
      </w:r>
    </w:p>
    <w:p>
      <w:pPr>
        <w:pStyle w:val="BodyText"/>
        <w:spacing w:before="7"/>
        <w:ind w:left="0"/>
        <w:rPr>
          <w:rFonts w:ascii="仿宋"/>
          <w:b/>
          <w:sz w:val="20"/>
        </w:rPr>
      </w:pPr>
    </w:p>
    <w:p>
      <w:pPr>
        <w:pStyle w:val="ListParagraph"/>
        <w:numPr>
          <w:ilvl w:val="0"/>
          <w:numId w:val="3"/>
        </w:numPr>
        <w:tabs>
          <w:tab w:pos="1143" w:val="left" w:leader="none"/>
        </w:tabs>
        <w:spacing w:line="417" w:lineRule="auto" w:before="0" w:after="0"/>
        <w:ind w:left="160" w:right="256" w:firstLine="559"/>
        <w:jc w:val="left"/>
        <w:rPr>
          <w:sz w:val="28"/>
        </w:rPr>
      </w:pPr>
      <w:r>
        <w:rPr>
          <w:b/>
          <w:sz w:val="28"/>
        </w:rPr>
        <w:t>功效系数法</w:t>
      </w:r>
      <w:r>
        <w:rPr>
          <w:spacing w:val="-1"/>
          <w:sz w:val="28"/>
        </w:rPr>
        <w:t>，是指根据多目标规划原理，将所要评价的各项</w:t>
      </w:r>
      <w:r>
        <w:rPr>
          <w:spacing w:val="-10"/>
          <w:sz w:val="28"/>
        </w:rPr>
        <w:t>指标分别对照各自的标准，并根据各项指标的权重，通过功效函数转</w:t>
      </w:r>
    </w:p>
    <w:p>
      <w:pPr>
        <w:spacing w:after="0" w:line="417" w:lineRule="auto"/>
        <w:jc w:val="left"/>
        <w:rPr>
          <w:sz w:val="28"/>
        </w:rPr>
        <w:sectPr>
          <w:pgSz w:w="11910" w:h="16840"/>
          <w:pgMar w:header="0" w:footer="974" w:top="1520" w:bottom="1160" w:left="1640" w:right="1540"/>
        </w:sectPr>
      </w:pPr>
    </w:p>
    <w:p>
      <w:pPr>
        <w:pStyle w:val="BodyText"/>
        <w:spacing w:line="417" w:lineRule="auto" w:before="34"/>
        <w:ind w:right="165"/>
        <w:rPr>
          <w:rFonts w:ascii="仿宋" w:eastAsia="仿宋" w:hint="eastAsia"/>
        </w:rPr>
      </w:pPr>
      <w:r>
        <w:rPr>
          <w:rFonts w:ascii="仿宋" w:eastAsia="仿宋" w:hint="eastAsia"/>
          <w:spacing w:val="-4"/>
        </w:rPr>
        <w:t>化为可以度量的评价分数，再对各项指标的单项评价分数进行加总， </w:t>
      </w:r>
      <w:r>
        <w:rPr>
          <w:rFonts w:ascii="仿宋" w:eastAsia="仿宋" w:hint="eastAsia"/>
          <w:spacing w:val="-10"/>
        </w:rPr>
        <w:t>得出综合评价分数的一种方法。该方法的优点是从不同侧面对评价对</w:t>
      </w:r>
      <w:r>
        <w:rPr>
          <w:rFonts w:ascii="仿宋" w:eastAsia="仿宋" w:hint="eastAsia"/>
          <w:spacing w:val="-12"/>
        </w:rPr>
        <w:t>象进行计算评分，满足了企业多目标、多层次、多因素的绩效评价要求，缺点是标准值确定难度较大，比较复杂。功效系数法的计算公式为：</w:t>
      </w:r>
    </w:p>
    <w:p>
      <w:pPr>
        <w:pStyle w:val="BodyText"/>
        <w:spacing w:line="417" w:lineRule="auto"/>
        <w:ind w:left="719" w:right="3385"/>
      </w:pPr>
      <w:r>
        <w:rPr>
          <w:spacing w:val="-1"/>
        </w:rPr>
        <w:t>绩效指标总得分</w:t>
      </w:r>
      <w:r>
        <w:rPr/>
        <w:t>＝</w:t>
      </w:r>
      <w:r>
        <w:rPr>
          <w:spacing w:val="-1"/>
        </w:rPr>
        <w:t>∑单项指标得分  </w:t>
      </w:r>
      <w:r>
        <w:rPr>
          <w:spacing w:val="-2"/>
        </w:rPr>
        <w:t>单项指标得分</w:t>
      </w:r>
      <w:r>
        <w:rPr>
          <w:spacing w:val="-3"/>
        </w:rPr>
        <w:t>＝本档基础分＋调整分 </w:t>
      </w:r>
    </w:p>
    <w:p>
      <w:pPr>
        <w:pStyle w:val="BodyText"/>
        <w:spacing w:line="358" w:lineRule="exact"/>
        <w:ind w:left="719"/>
      </w:pPr>
      <w:r>
        <w:rPr>
          <w:spacing w:val="-1"/>
        </w:rPr>
        <w:t>本档基础分</w:t>
      </w:r>
      <w:r>
        <w:rPr/>
        <w:t>＝</w:t>
      </w:r>
      <w:r>
        <w:rPr>
          <w:spacing w:val="-3"/>
        </w:rPr>
        <w:t>指标权重×本档标准系数 </w:t>
      </w:r>
    </w:p>
    <w:p>
      <w:pPr>
        <w:pStyle w:val="BodyText"/>
        <w:spacing w:before="9"/>
        <w:ind w:left="0"/>
        <w:rPr>
          <w:sz w:val="20"/>
        </w:rPr>
      </w:pPr>
    </w:p>
    <w:p>
      <w:pPr>
        <w:pStyle w:val="BodyText"/>
        <w:spacing w:line="417" w:lineRule="auto"/>
        <w:ind w:left="719" w:right="1705"/>
      </w:pPr>
      <w:r>
        <w:rPr/>
        <w:t>调整分</w:t>
      </w:r>
      <w:r>
        <w:rPr>
          <w:spacing w:val="-3"/>
        </w:rPr>
        <w:t>＝</w:t>
      </w:r>
      <w:r>
        <w:rPr>
          <w:spacing w:val="-2"/>
        </w:rPr>
        <w:t>功效系数</w:t>
      </w:r>
      <w:r>
        <w:rPr/>
        <w:t>×（</w:t>
      </w:r>
      <w:r>
        <w:rPr>
          <w:spacing w:val="-3"/>
        </w:rPr>
        <w:t>上档基础分－本档基础分） </w:t>
      </w:r>
      <w:r>
        <w:rPr>
          <w:spacing w:val="-1"/>
        </w:rPr>
        <w:t>上档基础分</w:t>
      </w:r>
      <w:r>
        <w:rPr/>
        <w:t>＝</w:t>
      </w:r>
      <w:r>
        <w:rPr>
          <w:spacing w:val="-3"/>
        </w:rPr>
        <w:t>指标权重×上档标准系数 </w:t>
      </w:r>
    </w:p>
    <w:p>
      <w:pPr>
        <w:spacing w:after="0" w:line="417" w:lineRule="auto"/>
        <w:sectPr>
          <w:pgSz w:w="11910" w:h="16840"/>
          <w:pgMar w:header="0" w:footer="974" w:top="1520" w:bottom="1160" w:left="1640" w:right="1540"/>
        </w:sectPr>
      </w:pPr>
    </w:p>
    <w:p>
      <w:pPr>
        <w:spacing w:before="160"/>
        <w:ind w:left="745" w:right="0" w:firstLine="0"/>
        <w:jc w:val="left"/>
        <w:rPr>
          <w:rFonts w:ascii="Symbol" w:hAnsi="Symbol"/>
          <w:sz w:val="24"/>
        </w:rPr>
      </w:pPr>
      <w:r>
        <w:rPr/>
        <w:pict>
          <v:line style="position:absolute;mso-position-horizontal-relative:page;mso-position-vertical-relative:paragraph;z-index:-16091136" from="180.187225pt,17.096033pt" to="311.917626pt,17.096033pt" stroked="true" strokeweight=".493922pt" strokecolor="#000000">
            <v:stroke dashstyle="solid"/>
            <w10:wrap type="none"/>
          </v:line>
        </w:pict>
      </w:r>
      <w:r>
        <w:rPr>
          <w:sz w:val="24"/>
        </w:rPr>
        <w:t>功效系数</w:t>
      </w:r>
      <w:r>
        <w:rPr>
          <w:rFonts w:ascii="Symbol" w:hAnsi="Symbol"/>
          <w:sz w:val="24"/>
        </w:rPr>
        <w:t></w:t>
      </w:r>
    </w:p>
    <w:p>
      <w:pPr>
        <w:spacing w:line="261" w:lineRule="auto" w:before="10"/>
        <w:ind w:left="35" w:right="4129" w:firstLine="238"/>
        <w:jc w:val="left"/>
        <w:rPr>
          <w:sz w:val="24"/>
        </w:rPr>
      </w:pPr>
      <w:r>
        <w:rPr/>
        <w:br w:type="column"/>
      </w:r>
      <w:r>
        <w:rPr>
          <w:sz w:val="24"/>
        </w:rPr>
        <w:t>实际值</w:t>
      </w:r>
      <w:r>
        <w:rPr>
          <w:rFonts w:ascii="Symbol" w:hAnsi="Symbol" w:eastAsia="Symbol"/>
          <w:sz w:val="24"/>
        </w:rPr>
        <w:t></w:t>
      </w:r>
      <w:r>
        <w:rPr>
          <w:rFonts w:ascii="Times New Roman" w:hAnsi="Times New Roman" w:eastAsia="Times New Roman"/>
          <w:sz w:val="24"/>
        </w:rPr>
        <w:t> </w:t>
      </w:r>
      <w:r>
        <w:rPr>
          <w:sz w:val="24"/>
        </w:rPr>
        <w:t>本档标准值上档标准值</w:t>
      </w:r>
      <w:r>
        <w:rPr>
          <w:rFonts w:ascii="Symbol" w:hAnsi="Symbol" w:eastAsia="Symbol"/>
          <w:sz w:val="24"/>
        </w:rPr>
        <w:t></w:t>
      </w:r>
      <w:r>
        <w:rPr>
          <w:rFonts w:ascii="Times New Roman" w:hAnsi="Times New Roman" w:eastAsia="Times New Roman"/>
          <w:sz w:val="24"/>
        </w:rPr>
        <w:t> </w:t>
      </w:r>
      <w:r>
        <w:rPr>
          <w:sz w:val="24"/>
        </w:rPr>
        <w:t>本档标准值</w:t>
      </w:r>
    </w:p>
    <w:p>
      <w:pPr>
        <w:spacing w:after="0" w:line="261" w:lineRule="auto"/>
        <w:jc w:val="left"/>
        <w:rPr>
          <w:sz w:val="24"/>
        </w:rPr>
        <w:sectPr>
          <w:type w:val="continuous"/>
          <w:pgSz w:w="11910" w:h="16840"/>
          <w:pgMar w:top="1520" w:bottom="1160" w:left="1640" w:right="1540"/>
          <w:cols w:num="2" w:equalWidth="0">
            <w:col w:w="1898" w:space="40"/>
            <w:col w:w="6792"/>
          </w:cols>
        </w:sectPr>
      </w:pPr>
    </w:p>
    <w:p>
      <w:pPr>
        <w:pStyle w:val="BodyText"/>
        <w:spacing w:before="12"/>
        <w:ind w:left="0"/>
        <w:rPr>
          <w:sz w:val="14"/>
        </w:rPr>
      </w:pPr>
    </w:p>
    <w:p>
      <w:pPr>
        <w:pStyle w:val="BodyText"/>
        <w:spacing w:line="417" w:lineRule="auto" w:before="62"/>
        <w:ind w:right="115" w:firstLine="559"/>
        <w:rPr>
          <w:rFonts w:ascii="仿宋" w:eastAsia="仿宋" w:hint="eastAsia"/>
        </w:rPr>
      </w:pPr>
      <w:r>
        <w:rPr>
          <w:rFonts w:ascii="仿宋" w:eastAsia="仿宋" w:hint="eastAsia"/>
          <w:spacing w:val="-17"/>
        </w:rPr>
        <w:t>对评价标准值的选用，应结合评价的目的、范围、企业所处行业、</w:t>
      </w:r>
      <w:r>
        <w:rPr>
          <w:rFonts w:ascii="仿宋" w:eastAsia="仿宋" w:hint="eastAsia"/>
          <w:spacing w:val="-13"/>
        </w:rPr>
        <w:t>企业规模等具体情况，参考国家相关部门或研究机构发布的标准值确定。</w:t>
      </w:r>
    </w:p>
    <w:p>
      <w:pPr>
        <w:pStyle w:val="ListParagraph"/>
        <w:numPr>
          <w:ilvl w:val="0"/>
          <w:numId w:val="3"/>
        </w:numPr>
        <w:tabs>
          <w:tab w:pos="1143" w:val="left" w:leader="none"/>
        </w:tabs>
        <w:spacing w:line="417" w:lineRule="auto" w:before="0" w:after="0"/>
        <w:ind w:left="160" w:right="256" w:firstLine="559"/>
        <w:jc w:val="both"/>
        <w:rPr>
          <w:sz w:val="28"/>
        </w:rPr>
      </w:pPr>
      <w:r>
        <w:rPr>
          <w:b/>
          <w:sz w:val="28"/>
        </w:rPr>
        <w:t>综合指数法</w:t>
      </w:r>
      <w:r>
        <w:rPr>
          <w:spacing w:val="-1"/>
          <w:sz w:val="28"/>
        </w:rPr>
        <w:t>，是指根据指数分析的基本原理，计算各项绩效</w:t>
      </w:r>
      <w:r>
        <w:rPr>
          <w:spacing w:val="-8"/>
          <w:sz w:val="28"/>
        </w:rPr>
        <w:t>指标的单项评价指数和加权评价指数，据以进行综合评价的方法。该</w:t>
      </w:r>
      <w:r>
        <w:rPr>
          <w:spacing w:val="-12"/>
          <w:sz w:val="28"/>
        </w:rPr>
        <w:t>方法的优点是操作简单，容易理解，缺点是标准值存在异常时影响结</w:t>
      </w:r>
      <w:r>
        <w:rPr>
          <w:spacing w:val="-7"/>
          <w:sz w:val="28"/>
        </w:rPr>
        <w:t>果的准确性。综合指数法的计算公式为：</w:t>
      </w:r>
    </w:p>
    <w:p>
      <w:pPr>
        <w:pStyle w:val="BodyText"/>
        <w:spacing w:line="417" w:lineRule="auto"/>
        <w:ind w:right="261" w:firstLine="559"/>
      </w:pPr>
      <w:r>
        <w:rPr/>
        <w:t>绩效指标总得分＝∑（单项指标评价指数×该项评价指标的权重） </w:t>
      </w:r>
    </w:p>
    <w:p>
      <w:pPr>
        <w:pStyle w:val="ListParagraph"/>
        <w:numPr>
          <w:ilvl w:val="0"/>
          <w:numId w:val="3"/>
        </w:numPr>
        <w:tabs>
          <w:tab w:pos="1143" w:val="left" w:leader="none"/>
        </w:tabs>
        <w:spacing w:line="417" w:lineRule="auto" w:before="0" w:after="0"/>
        <w:ind w:left="160" w:right="256" w:firstLine="559"/>
        <w:jc w:val="left"/>
        <w:rPr>
          <w:sz w:val="28"/>
        </w:rPr>
      </w:pPr>
      <w:r>
        <w:rPr>
          <w:b/>
          <w:sz w:val="28"/>
        </w:rPr>
        <w:t>素质法</w:t>
      </w:r>
      <w:r>
        <w:rPr>
          <w:spacing w:val="-1"/>
          <w:sz w:val="28"/>
        </w:rPr>
        <w:t>，是指评估员工个人或团队在多大程度上具有组织所</w:t>
      </w:r>
      <w:r>
        <w:rPr>
          <w:spacing w:val="-3"/>
          <w:sz w:val="28"/>
        </w:rPr>
        <w:t>要求的某种基本素质、关键技能和主要特质的方法。</w:t>
      </w:r>
    </w:p>
    <w:p>
      <w:pPr>
        <w:spacing w:after="0" w:line="417" w:lineRule="auto"/>
        <w:jc w:val="left"/>
        <w:rPr>
          <w:sz w:val="28"/>
        </w:rPr>
        <w:sectPr>
          <w:type w:val="continuous"/>
          <w:pgSz w:w="11910" w:h="16840"/>
          <w:pgMar w:top="1520" w:bottom="1160" w:left="1640" w:right="1540"/>
        </w:sectPr>
      </w:pPr>
    </w:p>
    <w:p>
      <w:pPr>
        <w:pStyle w:val="ListParagraph"/>
        <w:numPr>
          <w:ilvl w:val="0"/>
          <w:numId w:val="3"/>
        </w:numPr>
        <w:tabs>
          <w:tab w:pos="1143" w:val="left" w:leader="none"/>
        </w:tabs>
        <w:spacing w:line="417" w:lineRule="auto" w:before="34" w:after="0"/>
        <w:ind w:left="160" w:right="254" w:firstLine="559"/>
        <w:jc w:val="both"/>
        <w:rPr>
          <w:sz w:val="28"/>
        </w:rPr>
      </w:pPr>
      <w:r>
        <w:rPr>
          <w:b/>
          <w:sz w:val="28"/>
        </w:rPr>
        <w:t>行为法</w:t>
      </w:r>
      <w:r>
        <w:rPr>
          <w:spacing w:val="-1"/>
          <w:sz w:val="28"/>
        </w:rPr>
        <w:t>，是指专注于描述与绩效有关的行为状态，考核员工</w:t>
      </w:r>
      <w:r>
        <w:rPr>
          <w:spacing w:val="3"/>
          <w:sz w:val="28"/>
        </w:rPr>
        <w:t>在多大程度上采取了管理者所期望或工作角色所要求的组织行为的方法。</w:t>
      </w:r>
    </w:p>
    <w:p>
      <w:pPr>
        <w:spacing w:line="358" w:lineRule="exact" w:before="0"/>
        <w:ind w:left="719" w:right="0" w:firstLine="0"/>
        <w:jc w:val="left"/>
        <w:rPr>
          <w:rFonts w:ascii="仿宋" w:hAnsi="仿宋" w:eastAsia="仿宋" w:hint="eastAsia"/>
          <w:b/>
          <w:sz w:val="28"/>
        </w:rPr>
      </w:pPr>
      <w:r>
        <w:rPr>
          <w:rFonts w:ascii="仿宋" w:hAnsi="仿宋" w:eastAsia="仿宋" w:hint="eastAsia"/>
          <w:sz w:val="28"/>
        </w:rPr>
        <w:t>（三）</w:t>
      </w:r>
      <w:r>
        <w:rPr>
          <w:rFonts w:ascii="仿宋" w:hAnsi="仿宋" w:eastAsia="仿宋" w:hint="eastAsia"/>
          <w:b/>
          <w:sz w:val="28"/>
        </w:rPr>
        <w:t>β值确定方法</w:t>
      </w:r>
    </w:p>
    <w:p>
      <w:pPr>
        <w:pStyle w:val="BodyText"/>
        <w:spacing w:before="9"/>
        <w:ind w:left="0"/>
        <w:rPr>
          <w:rFonts w:ascii="仿宋"/>
          <w:b/>
          <w:sz w:val="20"/>
        </w:rPr>
      </w:pPr>
    </w:p>
    <w:p>
      <w:pPr>
        <w:pStyle w:val="ListParagraph"/>
        <w:numPr>
          <w:ilvl w:val="0"/>
          <w:numId w:val="4"/>
        </w:numPr>
        <w:tabs>
          <w:tab w:pos="1143" w:val="left" w:leader="none"/>
        </w:tabs>
        <w:spacing w:line="417" w:lineRule="auto" w:before="0" w:after="0"/>
        <w:ind w:left="160" w:right="257" w:firstLine="559"/>
        <w:jc w:val="left"/>
        <w:rPr>
          <w:sz w:val="28"/>
        </w:rPr>
      </w:pPr>
      <w:r>
        <w:rPr>
          <w:b/>
          <w:sz w:val="28"/>
        </w:rPr>
        <w:t>最小二乘法</w:t>
      </w:r>
      <w:r>
        <w:rPr>
          <w:spacing w:val="-1"/>
          <w:sz w:val="28"/>
        </w:rPr>
        <w:t>，是指通过最小化误差的平方和，找到一组数据</w:t>
      </w:r>
      <w:r>
        <w:rPr>
          <w:spacing w:val="-3"/>
          <w:sz w:val="28"/>
        </w:rPr>
        <w:t>的最佳函数匹配的方法。</w:t>
      </w:r>
    </w:p>
    <w:p>
      <w:pPr>
        <w:pStyle w:val="ListParagraph"/>
        <w:numPr>
          <w:ilvl w:val="0"/>
          <w:numId w:val="4"/>
        </w:numPr>
        <w:tabs>
          <w:tab w:pos="1143" w:val="left" w:leader="none"/>
        </w:tabs>
        <w:spacing w:line="417" w:lineRule="auto" w:before="1" w:after="0"/>
        <w:ind w:left="160" w:right="257" w:firstLine="559"/>
        <w:jc w:val="left"/>
        <w:rPr>
          <w:sz w:val="28"/>
        </w:rPr>
      </w:pPr>
      <w:r>
        <w:rPr>
          <w:b/>
          <w:sz w:val="28"/>
        </w:rPr>
        <w:t>回归分析法</w:t>
      </w:r>
      <w:r>
        <w:rPr>
          <w:spacing w:val="-1"/>
          <w:sz w:val="28"/>
        </w:rPr>
        <w:t>，是指在掌握大量观察数据的基础上，利用数理</w:t>
      </w:r>
      <w:r>
        <w:rPr>
          <w:spacing w:val="-3"/>
          <w:sz w:val="28"/>
        </w:rPr>
        <w:t>统计方法建立因变量与自变量之间的回归关系函数表达式的方法。</w:t>
      </w:r>
    </w:p>
    <w:p>
      <w:pPr>
        <w:pStyle w:val="ListParagraph"/>
        <w:numPr>
          <w:ilvl w:val="0"/>
          <w:numId w:val="4"/>
        </w:numPr>
        <w:tabs>
          <w:tab w:pos="1141" w:val="left" w:leader="none"/>
        </w:tabs>
        <w:spacing w:line="417" w:lineRule="auto" w:before="0" w:after="0"/>
        <w:ind w:left="160" w:right="257" w:firstLine="559"/>
        <w:jc w:val="left"/>
        <w:rPr>
          <w:sz w:val="28"/>
        </w:rPr>
      </w:pPr>
      <w:r>
        <w:rPr>
          <w:b/>
          <w:spacing w:val="-13"/>
          <w:sz w:val="28"/>
        </w:rPr>
        <w:t>类比法</w:t>
      </w:r>
      <w:r>
        <w:rPr>
          <w:b/>
          <w:sz w:val="28"/>
        </w:rPr>
        <w:t>（也称比较类推法</w:t>
      </w:r>
      <w:r>
        <w:rPr>
          <w:b/>
          <w:spacing w:val="-88"/>
          <w:sz w:val="28"/>
        </w:rPr>
        <w:t>）</w:t>
      </w:r>
      <w:r>
        <w:rPr>
          <w:spacing w:val="-12"/>
          <w:sz w:val="28"/>
        </w:rPr>
        <w:t>，是指由一类事物所具有的某种</w:t>
      </w:r>
      <w:r>
        <w:rPr>
          <w:spacing w:val="-3"/>
          <w:sz w:val="28"/>
        </w:rPr>
        <w:t>属性，推测与其类似的事物应具有这种属性的方法。</w:t>
      </w:r>
    </w:p>
    <w:p>
      <w:pPr>
        <w:pStyle w:val="Heading2"/>
      </w:pPr>
      <w:r>
        <w:rPr/>
        <w:t>（四）收集信息方法</w:t>
      </w:r>
    </w:p>
    <w:p>
      <w:pPr>
        <w:pStyle w:val="BodyText"/>
        <w:spacing w:before="8"/>
        <w:ind w:left="0"/>
        <w:rPr>
          <w:rFonts w:ascii="仿宋"/>
          <w:b/>
          <w:sz w:val="20"/>
        </w:rPr>
      </w:pPr>
    </w:p>
    <w:p>
      <w:pPr>
        <w:pStyle w:val="ListParagraph"/>
        <w:numPr>
          <w:ilvl w:val="0"/>
          <w:numId w:val="5"/>
        </w:numPr>
        <w:tabs>
          <w:tab w:pos="1145" w:val="left" w:leader="none"/>
        </w:tabs>
        <w:spacing w:line="417" w:lineRule="auto" w:before="1" w:after="0"/>
        <w:ind w:left="160" w:right="256" w:firstLine="559"/>
        <w:jc w:val="left"/>
        <w:rPr>
          <w:sz w:val="28"/>
        </w:rPr>
      </w:pPr>
      <w:r>
        <w:rPr>
          <w:b/>
          <w:sz w:val="28"/>
        </w:rPr>
        <w:t>观察法</w:t>
      </w:r>
      <w:r>
        <w:rPr>
          <w:spacing w:val="-1"/>
          <w:sz w:val="28"/>
        </w:rPr>
        <w:t>，是指通过直接观察员工在工作中的表现并予以记录</w:t>
      </w:r>
      <w:r>
        <w:rPr>
          <w:sz w:val="28"/>
        </w:rPr>
        <w:t>的方法。</w:t>
      </w:r>
    </w:p>
    <w:p>
      <w:pPr>
        <w:pStyle w:val="ListParagraph"/>
        <w:numPr>
          <w:ilvl w:val="0"/>
          <w:numId w:val="5"/>
        </w:numPr>
        <w:tabs>
          <w:tab w:pos="1143" w:val="left" w:leader="none"/>
        </w:tabs>
        <w:spacing w:line="417" w:lineRule="auto" w:before="0" w:after="0"/>
        <w:ind w:left="160" w:right="257" w:firstLine="559"/>
        <w:jc w:val="left"/>
        <w:rPr>
          <w:sz w:val="28"/>
        </w:rPr>
      </w:pPr>
      <w:r>
        <w:rPr>
          <w:b/>
          <w:sz w:val="28"/>
        </w:rPr>
        <w:t>工作记录法</w:t>
      </w:r>
      <w:r>
        <w:rPr>
          <w:spacing w:val="-1"/>
          <w:sz w:val="28"/>
        </w:rPr>
        <w:t>，是指通过日常工作记录或财务管理、生产经营</w:t>
      </w:r>
      <w:r>
        <w:rPr>
          <w:spacing w:val="-3"/>
          <w:sz w:val="28"/>
        </w:rPr>
        <w:t>等业务系统产生的数据，予以收集信息的方法。</w:t>
      </w:r>
    </w:p>
    <w:p>
      <w:pPr>
        <w:pStyle w:val="ListParagraph"/>
        <w:numPr>
          <w:ilvl w:val="0"/>
          <w:numId w:val="5"/>
        </w:numPr>
        <w:tabs>
          <w:tab w:pos="1143" w:val="left" w:leader="none"/>
        </w:tabs>
        <w:spacing w:line="417" w:lineRule="auto" w:before="0" w:after="0"/>
        <w:ind w:left="160" w:right="257" w:firstLine="559"/>
        <w:jc w:val="left"/>
        <w:rPr>
          <w:sz w:val="28"/>
        </w:rPr>
      </w:pPr>
      <w:r>
        <w:rPr>
          <w:b/>
          <w:sz w:val="28"/>
        </w:rPr>
        <w:t>他人反馈法</w:t>
      </w:r>
      <w:r>
        <w:rPr>
          <w:spacing w:val="-1"/>
          <w:sz w:val="28"/>
        </w:rPr>
        <w:t>，是指收集其他人员对被评价对象的评价信息的</w:t>
      </w:r>
      <w:r>
        <w:rPr>
          <w:sz w:val="28"/>
        </w:rPr>
        <w:t>方法。</w:t>
      </w:r>
    </w:p>
    <w:p>
      <w:pPr>
        <w:pStyle w:val="BodyText"/>
        <w:ind w:left="719"/>
        <w:rPr>
          <w:rFonts w:ascii="黑体" w:eastAsia="黑体" w:hint="eastAsia"/>
        </w:rPr>
      </w:pPr>
      <w:r>
        <w:rPr>
          <w:rFonts w:ascii="黑体" w:eastAsia="黑体" w:hint="eastAsia"/>
        </w:rPr>
        <w:t>二、评价指标计算说明</w:t>
      </w:r>
    </w:p>
    <w:p>
      <w:pPr>
        <w:pStyle w:val="BodyText"/>
        <w:spacing w:before="8"/>
        <w:ind w:left="0"/>
        <w:rPr>
          <w:rFonts w:ascii="黑体"/>
          <w:sz w:val="20"/>
        </w:rPr>
      </w:pPr>
    </w:p>
    <w:p>
      <w:pPr>
        <w:pStyle w:val="ListParagraph"/>
        <w:numPr>
          <w:ilvl w:val="0"/>
          <w:numId w:val="6"/>
        </w:numPr>
        <w:tabs>
          <w:tab w:pos="1143" w:val="left" w:leader="none"/>
        </w:tabs>
        <w:spacing w:line="417" w:lineRule="auto" w:before="0" w:after="0"/>
        <w:ind w:left="160" w:right="257" w:firstLine="559"/>
        <w:jc w:val="both"/>
        <w:rPr>
          <w:sz w:val="28"/>
        </w:rPr>
      </w:pPr>
      <w:r>
        <w:rPr>
          <w:b/>
          <w:sz w:val="28"/>
        </w:rPr>
        <w:t>投资资本回报率</w:t>
      </w:r>
      <w:r>
        <w:rPr>
          <w:spacing w:val="-1"/>
          <w:sz w:val="28"/>
        </w:rPr>
        <w:t>，是指企业一定会计期间取得的息前税后利</w:t>
      </w:r>
      <w:r>
        <w:rPr>
          <w:spacing w:val="-10"/>
          <w:sz w:val="28"/>
        </w:rPr>
        <w:t>润占其所使用的全部投资资本的比例，反映企业在会计期间有效利用</w:t>
      </w:r>
      <w:r>
        <w:rPr>
          <w:spacing w:val="-3"/>
          <w:sz w:val="28"/>
        </w:rPr>
        <w:t>投资资本创造回报的能力。一般计算公式如下：</w:t>
      </w:r>
    </w:p>
    <w:p>
      <w:pPr>
        <w:spacing w:after="0" w:line="417" w:lineRule="auto"/>
        <w:jc w:val="both"/>
        <w:rPr>
          <w:sz w:val="28"/>
        </w:rPr>
        <w:sectPr>
          <w:pgSz w:w="11910" w:h="16840"/>
          <w:pgMar w:header="0" w:footer="974" w:top="1520" w:bottom="1160" w:left="1640" w:right="1540"/>
        </w:sectPr>
      </w:pPr>
    </w:p>
    <w:p>
      <w:pPr>
        <w:spacing w:line="146" w:lineRule="auto" w:before="41"/>
        <w:ind w:left="749" w:right="0" w:firstLine="0"/>
        <w:jc w:val="left"/>
        <w:rPr>
          <w:rFonts w:ascii="Symbol" w:hAnsi="Symbol"/>
          <w:sz w:val="24"/>
        </w:rPr>
      </w:pPr>
      <w:r>
        <w:rPr/>
        <w:pict>
          <v:line style="position:absolute;mso-position-horizontal-relative:page;mso-position-vertical-relative:paragraph;z-index:-16090624" from="217.982635pt,17.028948pt" to="437.644883pt,17.028948pt" stroked="true" strokeweight=".493922pt" strokecolor="#000000">
            <v:stroke dashstyle="solid"/>
            <w10:wrap type="none"/>
          </v:line>
        </w:pict>
      </w:r>
      <w:r>
        <w:rPr>
          <w:position w:val="-14"/>
          <w:sz w:val="24"/>
        </w:rPr>
        <w:t>投资资本回报率＝</w:t>
      </w:r>
      <w:r>
        <w:rPr>
          <w:spacing w:val="-64"/>
          <w:position w:val="-14"/>
          <w:sz w:val="24"/>
        </w:rPr>
        <w:t> </w:t>
      </w:r>
      <w:r>
        <w:rPr>
          <w:spacing w:val="-8"/>
          <w:sz w:val="24"/>
        </w:rPr>
        <w:t>税前利润 </w:t>
      </w:r>
      <w:r>
        <w:rPr>
          <w:rFonts w:ascii="Symbol" w:hAnsi="Symbol"/>
          <w:spacing w:val="-27"/>
          <w:sz w:val="24"/>
        </w:rPr>
        <w:t></w:t>
      </w:r>
      <w:r>
        <w:rPr>
          <w:spacing w:val="-27"/>
          <w:sz w:val="24"/>
        </w:rPr>
        <w:t>（1 </w:t>
      </w:r>
      <w:r>
        <w:rPr>
          <w:rFonts w:ascii="Symbol" w:hAnsi="Symbol"/>
          <w:sz w:val="24"/>
        </w:rPr>
        <w:t></w:t>
      </w:r>
      <w:r>
        <w:rPr>
          <w:rFonts w:ascii="Times New Roman" w:hAnsi="Times New Roman"/>
          <w:sz w:val="24"/>
        </w:rPr>
        <w:t> </w:t>
      </w:r>
      <w:r>
        <w:rPr>
          <w:sz w:val="24"/>
        </w:rPr>
        <w:t>所得税税率</w:t>
      </w:r>
      <w:r>
        <w:rPr>
          <w:spacing w:val="-21"/>
          <w:sz w:val="24"/>
        </w:rPr>
        <w:t>）</w:t>
      </w:r>
      <w:r>
        <w:rPr>
          <w:rFonts w:ascii="Symbol" w:hAnsi="Symbol"/>
          <w:spacing w:val="-21"/>
          <w:sz w:val="24"/>
        </w:rPr>
        <w:t></w:t>
      </w:r>
    </w:p>
    <w:p>
      <w:pPr>
        <w:spacing w:line="373" w:lineRule="exact" w:before="10"/>
        <w:ind w:left="62" w:right="0" w:firstLine="0"/>
        <w:jc w:val="left"/>
        <w:rPr>
          <w:sz w:val="24"/>
        </w:rPr>
      </w:pPr>
      <w:r>
        <w:rPr/>
        <w:br w:type="column"/>
      </w:r>
      <w:r>
        <w:rPr>
          <w:position w:val="15"/>
          <w:sz w:val="24"/>
        </w:rPr>
        <w:t>利息支出 </w:t>
      </w:r>
      <w:r>
        <w:rPr>
          <w:rFonts w:ascii="Symbol" w:hAnsi="Symbol"/>
          <w:sz w:val="24"/>
        </w:rPr>
        <w:t></w:t>
      </w:r>
      <w:r>
        <w:rPr>
          <w:rFonts w:ascii="Times New Roman" w:hAnsi="Times New Roman"/>
          <w:sz w:val="24"/>
        </w:rPr>
        <w:t> </w:t>
      </w:r>
      <w:r>
        <w:rPr>
          <w:sz w:val="24"/>
        </w:rPr>
        <w:t>100%</w:t>
      </w:r>
    </w:p>
    <w:p>
      <w:pPr>
        <w:spacing w:after="0" w:line="373" w:lineRule="exact"/>
        <w:jc w:val="left"/>
        <w:rPr>
          <w:sz w:val="24"/>
        </w:rPr>
        <w:sectPr>
          <w:type w:val="continuous"/>
          <w:pgSz w:w="11910" w:h="16840"/>
          <w:pgMar w:top="1520" w:bottom="1160" w:left="1640" w:right="1540"/>
          <w:cols w:num="2" w:equalWidth="0">
            <w:col w:w="6061" w:space="40"/>
            <w:col w:w="2629"/>
          </w:cols>
        </w:sectPr>
      </w:pPr>
    </w:p>
    <w:p>
      <w:pPr>
        <w:spacing w:line="273" w:lineRule="exact" w:before="0"/>
        <w:ind w:left="3957" w:right="0" w:firstLine="0"/>
        <w:jc w:val="left"/>
        <w:rPr>
          <w:sz w:val="24"/>
        </w:rPr>
      </w:pPr>
      <w:r>
        <w:rPr>
          <w:sz w:val="24"/>
        </w:rPr>
        <w:t>投资资本平均余额</w:t>
      </w:r>
    </w:p>
    <w:p>
      <w:pPr>
        <w:spacing w:after="0" w:line="273" w:lineRule="exact"/>
        <w:jc w:val="left"/>
        <w:rPr>
          <w:sz w:val="24"/>
        </w:rPr>
        <w:sectPr>
          <w:type w:val="continuous"/>
          <w:pgSz w:w="11910" w:h="16840"/>
          <w:pgMar w:top="1520" w:bottom="1160" w:left="1640" w:right="1540"/>
        </w:sectPr>
      </w:pPr>
    </w:p>
    <w:p>
      <w:pPr>
        <w:spacing w:line="175" w:lineRule="auto" w:before="104"/>
        <w:ind w:left="749" w:right="0" w:firstLine="0"/>
        <w:jc w:val="left"/>
        <w:rPr>
          <w:sz w:val="24"/>
        </w:rPr>
      </w:pPr>
      <w:r>
        <w:rPr/>
        <w:pict>
          <v:line style="position:absolute;mso-position-horizontal-relative:page;mso-position-vertical-relative:paragraph;z-index:-16090112" from="229.971436pt,20.647938pt" to="391.764502pt,20.647938pt" stroked="true" strokeweight=".485837pt" strokecolor="#000000">
            <v:stroke dashstyle="solid"/>
            <w10:wrap type="none"/>
          </v:line>
        </w:pict>
      </w:r>
      <w:r>
        <w:rPr>
          <w:spacing w:val="-7"/>
          <w:w w:val="105"/>
          <w:position w:val="-14"/>
          <w:sz w:val="24"/>
        </w:rPr>
        <w:t>投资资本平均余额</w:t>
      </w:r>
      <w:r>
        <w:rPr>
          <w:w w:val="105"/>
          <w:position w:val="-14"/>
          <w:sz w:val="24"/>
        </w:rPr>
        <w:t>＝</w:t>
      </w:r>
      <w:r>
        <w:rPr>
          <w:spacing w:val="-88"/>
          <w:w w:val="105"/>
          <w:position w:val="-14"/>
          <w:sz w:val="24"/>
        </w:rPr>
        <w:t> </w:t>
      </w:r>
      <w:r>
        <w:rPr>
          <w:spacing w:val="-12"/>
          <w:w w:val="105"/>
          <w:sz w:val="24"/>
        </w:rPr>
        <w:t>期初投资资本 </w:t>
      </w:r>
      <w:r>
        <w:rPr>
          <w:rFonts w:ascii="Symbol" w:hAnsi="Symbol" w:eastAsia="Symbol"/>
          <w:w w:val="105"/>
          <w:sz w:val="24"/>
        </w:rPr>
        <w:t></w:t>
      </w:r>
      <w:r>
        <w:rPr>
          <w:rFonts w:ascii="Times New Roman" w:hAnsi="Times New Roman" w:eastAsia="Times New Roman"/>
          <w:w w:val="105"/>
          <w:sz w:val="24"/>
        </w:rPr>
        <w:t> </w:t>
      </w:r>
      <w:r>
        <w:rPr>
          <w:spacing w:val="-6"/>
          <w:w w:val="105"/>
          <w:sz w:val="24"/>
        </w:rPr>
        <w:t>期末投资资本</w:t>
      </w:r>
    </w:p>
    <w:p>
      <w:pPr>
        <w:spacing w:line="251" w:lineRule="exact" w:before="0"/>
        <w:ind w:left="436" w:right="0" w:firstLine="0"/>
        <w:jc w:val="center"/>
        <w:rPr>
          <w:sz w:val="24"/>
        </w:rPr>
      </w:pPr>
      <w:r>
        <w:rPr>
          <w:w w:val="103"/>
          <w:sz w:val="24"/>
        </w:rPr>
        <w:t>2</w:t>
      </w:r>
    </w:p>
    <w:p>
      <w:pPr>
        <w:pStyle w:val="BodyText"/>
        <w:spacing w:before="6"/>
        <w:ind w:left="0"/>
        <w:rPr>
          <w:sz w:val="15"/>
        </w:rPr>
      </w:pPr>
    </w:p>
    <w:p>
      <w:pPr>
        <w:pStyle w:val="BodyText"/>
        <w:spacing w:before="62"/>
        <w:ind w:left="719"/>
      </w:pPr>
      <w:r>
        <w:rPr/>
        <w:t>投资资本＝有息债务+所有者（股东）权益 </w:t>
      </w:r>
    </w:p>
    <w:p>
      <w:pPr>
        <w:pStyle w:val="BodyText"/>
        <w:spacing w:before="9"/>
        <w:ind w:left="0"/>
        <w:rPr>
          <w:sz w:val="20"/>
        </w:rPr>
      </w:pPr>
    </w:p>
    <w:p>
      <w:pPr>
        <w:pStyle w:val="ListParagraph"/>
        <w:numPr>
          <w:ilvl w:val="0"/>
          <w:numId w:val="6"/>
        </w:numPr>
        <w:tabs>
          <w:tab w:pos="1141" w:val="left" w:leader="none"/>
        </w:tabs>
        <w:spacing w:line="417" w:lineRule="auto" w:before="0" w:after="0"/>
        <w:ind w:left="160" w:right="257" w:firstLine="559"/>
        <w:jc w:val="both"/>
        <w:rPr>
          <w:sz w:val="28"/>
        </w:rPr>
      </w:pPr>
      <w:r>
        <w:rPr>
          <w:b/>
          <w:spacing w:val="-7"/>
          <w:sz w:val="28"/>
        </w:rPr>
        <w:t>净资产收益率</w:t>
      </w:r>
      <w:r>
        <w:rPr>
          <w:b/>
          <w:spacing w:val="-3"/>
          <w:sz w:val="28"/>
        </w:rPr>
        <w:t>（</w:t>
      </w:r>
      <w:r>
        <w:rPr>
          <w:b/>
          <w:sz w:val="28"/>
        </w:rPr>
        <w:t>也称权益净利率</w:t>
      </w:r>
      <w:r>
        <w:rPr>
          <w:b/>
          <w:spacing w:val="-90"/>
          <w:sz w:val="28"/>
        </w:rPr>
        <w:t>）</w:t>
      </w:r>
      <w:r>
        <w:rPr>
          <w:spacing w:val="-10"/>
          <w:sz w:val="28"/>
        </w:rPr>
        <w:t>，是指企业一定会计期间</w:t>
      </w:r>
      <w:r>
        <w:rPr>
          <w:spacing w:val="-8"/>
          <w:sz w:val="28"/>
        </w:rPr>
        <w:t>取得的净利润占其所使用的净资产平均数的比例，反映企业全部资产</w:t>
      </w:r>
      <w:r>
        <w:rPr>
          <w:spacing w:val="-3"/>
          <w:sz w:val="28"/>
        </w:rPr>
        <w:t>的获利能力。一般计算公式如下：</w:t>
      </w:r>
    </w:p>
    <w:p>
      <w:pPr>
        <w:spacing w:after="0" w:line="417" w:lineRule="auto"/>
        <w:jc w:val="both"/>
        <w:rPr>
          <w:sz w:val="28"/>
        </w:rPr>
        <w:sectPr>
          <w:pgSz w:w="11910" w:h="16840"/>
          <w:pgMar w:header="0" w:footer="974" w:top="1500" w:bottom="1160" w:left="1640" w:right="1540"/>
        </w:sectPr>
      </w:pPr>
    </w:p>
    <w:p>
      <w:pPr>
        <w:spacing w:before="162"/>
        <w:ind w:left="749" w:right="0" w:firstLine="0"/>
        <w:jc w:val="left"/>
        <w:rPr>
          <w:sz w:val="24"/>
        </w:rPr>
      </w:pPr>
      <w:r>
        <w:rPr/>
        <w:pict>
          <v:line style="position:absolute;mso-position-horizontal-relative:page;mso-position-vertical-relative:paragraph;z-index:-16089600" from="206.1185pt,17.131544pt" to="267.042272pt,17.131544pt" stroked="true" strokeweight=".493922pt" strokecolor="#000000">
            <v:stroke dashstyle="solid"/>
            <w10:wrap type="none"/>
          </v:line>
        </w:pict>
      </w:r>
      <w:r>
        <w:rPr>
          <w:sz w:val="24"/>
        </w:rPr>
        <w:t>净资产收益率＝</w:t>
      </w:r>
    </w:p>
    <w:p>
      <w:pPr>
        <w:spacing w:line="264" w:lineRule="auto" w:before="11"/>
        <w:ind w:left="17" w:right="0" w:firstLine="240"/>
        <w:jc w:val="left"/>
        <w:rPr>
          <w:sz w:val="24"/>
        </w:rPr>
      </w:pPr>
      <w:r>
        <w:rPr/>
        <w:br w:type="column"/>
      </w:r>
      <w:r>
        <w:rPr>
          <w:sz w:val="24"/>
        </w:rPr>
        <w:t>净 利 润 平均净资产</w:t>
      </w:r>
    </w:p>
    <w:p>
      <w:pPr>
        <w:spacing w:before="161"/>
        <w:ind w:left="60" w:right="0" w:firstLine="0"/>
        <w:jc w:val="left"/>
        <w:rPr>
          <w:sz w:val="24"/>
        </w:rPr>
      </w:pPr>
      <w:r>
        <w:rPr/>
        <w:br w:type="column"/>
      </w:r>
      <w:r>
        <w:rPr>
          <w:rFonts w:ascii="Symbol" w:hAnsi="Symbol"/>
          <w:sz w:val="24"/>
        </w:rPr>
        <w:t></w:t>
      </w:r>
      <w:r>
        <w:rPr>
          <w:rFonts w:ascii="Times New Roman" w:hAnsi="Times New Roman"/>
          <w:sz w:val="24"/>
        </w:rPr>
        <w:t> </w:t>
      </w:r>
      <w:r>
        <w:rPr>
          <w:sz w:val="24"/>
        </w:rPr>
        <w:t>100%</w:t>
      </w:r>
    </w:p>
    <w:p>
      <w:pPr>
        <w:spacing w:after="0"/>
        <w:jc w:val="left"/>
        <w:rPr>
          <w:sz w:val="24"/>
        </w:rPr>
        <w:sectPr>
          <w:type w:val="continuous"/>
          <w:pgSz w:w="11910" w:h="16840"/>
          <w:pgMar w:top="1520" w:bottom="1160" w:left="1640" w:right="1540"/>
          <w:cols w:num="3" w:equalWidth="0">
            <w:col w:w="2437" w:space="40"/>
            <w:col w:w="1224" w:space="39"/>
            <w:col w:w="4990"/>
          </w:cols>
        </w:sectPr>
      </w:pPr>
    </w:p>
    <w:p>
      <w:pPr>
        <w:pStyle w:val="BodyText"/>
        <w:spacing w:before="7"/>
        <w:ind w:left="0"/>
        <w:rPr>
          <w:sz w:val="14"/>
        </w:rPr>
      </w:pPr>
    </w:p>
    <w:p>
      <w:pPr>
        <w:pStyle w:val="ListParagraph"/>
        <w:numPr>
          <w:ilvl w:val="0"/>
          <w:numId w:val="6"/>
        </w:numPr>
        <w:tabs>
          <w:tab w:pos="1143" w:val="left" w:leader="none"/>
        </w:tabs>
        <w:spacing w:line="417" w:lineRule="auto" w:before="62" w:after="0"/>
        <w:ind w:left="160" w:right="257" w:firstLine="559"/>
        <w:jc w:val="left"/>
        <w:rPr>
          <w:sz w:val="28"/>
        </w:rPr>
      </w:pPr>
      <w:r>
        <w:rPr>
          <w:b/>
          <w:sz w:val="28"/>
        </w:rPr>
        <w:t>经济增加值回报率</w:t>
      </w:r>
      <w:r>
        <w:rPr>
          <w:spacing w:val="-1"/>
          <w:sz w:val="28"/>
        </w:rPr>
        <w:t>，是指企业一定会计期间内经济增加值与</w:t>
      </w:r>
      <w:r>
        <w:rPr>
          <w:spacing w:val="-3"/>
          <w:sz w:val="28"/>
        </w:rPr>
        <w:t>平均资本占用的比值。一般计算公式如下：</w:t>
      </w:r>
    </w:p>
    <w:p>
      <w:pPr>
        <w:spacing w:after="0" w:line="417" w:lineRule="auto"/>
        <w:jc w:val="left"/>
        <w:rPr>
          <w:sz w:val="28"/>
        </w:rPr>
        <w:sectPr>
          <w:type w:val="continuous"/>
          <w:pgSz w:w="11910" w:h="16840"/>
          <w:pgMar w:top="1520" w:bottom="1160" w:left="1640" w:right="1540"/>
        </w:sectPr>
      </w:pPr>
    </w:p>
    <w:p>
      <w:pPr>
        <w:spacing w:before="161"/>
        <w:ind w:left="749" w:right="0" w:firstLine="0"/>
        <w:jc w:val="left"/>
        <w:rPr>
          <w:sz w:val="24"/>
        </w:rPr>
      </w:pPr>
      <w:r>
        <w:rPr/>
        <w:pict>
          <v:line style="position:absolute;mso-position-horizontal-relative:page;mso-position-vertical-relative:paragraph;z-index:-16089088" from="229.938049pt,17.081562pt" to="302.019353pt,17.081562pt" stroked="true" strokeweight=".493922pt" strokecolor="#000000">
            <v:stroke dashstyle="solid"/>
            <w10:wrap type="none"/>
          </v:line>
        </w:pict>
      </w:r>
      <w:r>
        <w:rPr>
          <w:sz w:val="24"/>
        </w:rPr>
        <w:t>经济增加值回报率＝</w:t>
      </w:r>
    </w:p>
    <w:p>
      <w:pPr>
        <w:spacing w:line="264" w:lineRule="auto" w:before="11"/>
        <w:ind w:left="8" w:right="0" w:firstLine="109"/>
        <w:jc w:val="left"/>
        <w:rPr>
          <w:sz w:val="24"/>
        </w:rPr>
      </w:pPr>
      <w:r>
        <w:rPr/>
        <w:br w:type="column"/>
      </w:r>
      <w:r>
        <w:rPr>
          <w:sz w:val="24"/>
        </w:rPr>
        <w:t>经济增加值平均资本占用</w:t>
      </w:r>
    </w:p>
    <w:p>
      <w:pPr>
        <w:spacing w:before="160"/>
        <w:ind w:left="41" w:right="0" w:firstLine="0"/>
        <w:jc w:val="left"/>
        <w:rPr>
          <w:sz w:val="24"/>
        </w:rPr>
      </w:pPr>
      <w:r>
        <w:rPr/>
        <w:br w:type="column"/>
      </w:r>
      <w:r>
        <w:rPr>
          <w:rFonts w:ascii="Symbol" w:hAnsi="Symbol"/>
          <w:sz w:val="24"/>
        </w:rPr>
        <w:t></w:t>
      </w:r>
      <w:r>
        <w:rPr>
          <w:rFonts w:ascii="Times New Roman" w:hAnsi="Times New Roman"/>
          <w:sz w:val="24"/>
        </w:rPr>
        <w:t> </w:t>
      </w:r>
      <w:r>
        <w:rPr>
          <w:sz w:val="24"/>
        </w:rPr>
        <w:t>100%</w:t>
      </w:r>
    </w:p>
    <w:p>
      <w:pPr>
        <w:spacing w:after="0"/>
        <w:jc w:val="left"/>
        <w:rPr>
          <w:sz w:val="24"/>
        </w:rPr>
        <w:sectPr>
          <w:type w:val="continuous"/>
          <w:pgSz w:w="11910" w:h="16840"/>
          <w:pgMar w:top="1520" w:bottom="1160" w:left="1640" w:right="1540"/>
          <w:cols w:num="3" w:equalWidth="0">
            <w:col w:w="2923" w:space="40"/>
            <w:col w:w="1457" w:space="39"/>
            <w:col w:w="4271"/>
          </w:cols>
        </w:sectPr>
      </w:pPr>
    </w:p>
    <w:p>
      <w:pPr>
        <w:pStyle w:val="BodyText"/>
        <w:spacing w:before="7"/>
        <w:ind w:left="0"/>
        <w:rPr>
          <w:sz w:val="14"/>
        </w:rPr>
      </w:pPr>
    </w:p>
    <w:p>
      <w:pPr>
        <w:pStyle w:val="ListParagraph"/>
        <w:numPr>
          <w:ilvl w:val="0"/>
          <w:numId w:val="6"/>
        </w:numPr>
        <w:tabs>
          <w:tab w:pos="1143" w:val="left" w:leader="none"/>
        </w:tabs>
        <w:spacing w:line="417" w:lineRule="auto" w:before="62" w:after="0"/>
        <w:ind w:left="160" w:right="257" w:firstLine="559"/>
        <w:jc w:val="left"/>
        <w:rPr>
          <w:sz w:val="28"/>
        </w:rPr>
      </w:pPr>
      <w:r>
        <w:rPr>
          <w:b/>
          <w:sz w:val="28"/>
        </w:rPr>
        <w:t>息税前利润</w:t>
      </w:r>
      <w:r>
        <w:rPr>
          <w:spacing w:val="-1"/>
          <w:sz w:val="28"/>
        </w:rPr>
        <w:t>，是指企业当年实现税前利润与利息支出的合计</w:t>
      </w:r>
      <w:r>
        <w:rPr>
          <w:spacing w:val="-3"/>
          <w:sz w:val="28"/>
        </w:rPr>
        <w:t>数。一般计算公式如下：</w:t>
      </w:r>
    </w:p>
    <w:p>
      <w:pPr>
        <w:pStyle w:val="BodyText"/>
        <w:spacing w:line="358" w:lineRule="exact"/>
        <w:ind w:left="719"/>
      </w:pPr>
      <w:r>
        <w:rPr/>
        <w:t>息税前利润＝税前利润＋利息支出 </w:t>
      </w:r>
    </w:p>
    <w:p>
      <w:pPr>
        <w:pStyle w:val="BodyText"/>
        <w:spacing w:before="9"/>
        <w:ind w:left="0"/>
        <w:rPr>
          <w:sz w:val="20"/>
        </w:rPr>
      </w:pPr>
    </w:p>
    <w:p>
      <w:pPr>
        <w:pStyle w:val="ListParagraph"/>
        <w:numPr>
          <w:ilvl w:val="0"/>
          <w:numId w:val="6"/>
        </w:numPr>
        <w:tabs>
          <w:tab w:pos="1143" w:val="left" w:leader="none"/>
        </w:tabs>
        <w:spacing w:line="417" w:lineRule="auto" w:before="0" w:after="0"/>
        <w:ind w:left="160" w:right="257" w:firstLine="559"/>
        <w:jc w:val="both"/>
        <w:rPr>
          <w:sz w:val="28"/>
        </w:rPr>
      </w:pPr>
      <w:r>
        <w:rPr>
          <w:b/>
          <w:sz w:val="28"/>
        </w:rPr>
        <w:t>自由现金流</w:t>
      </w:r>
      <w:r>
        <w:rPr>
          <w:spacing w:val="-1"/>
          <w:sz w:val="28"/>
        </w:rPr>
        <w:t>，是指企业一定会计期间经营活动产生的净现金</w:t>
      </w:r>
      <w:r>
        <w:rPr>
          <w:spacing w:val="-9"/>
          <w:sz w:val="28"/>
        </w:rPr>
        <w:t>流超过付现资本性支出的金额，反映企业可动用的现金。一般计算公式如下：</w:t>
      </w:r>
    </w:p>
    <w:p>
      <w:pPr>
        <w:pStyle w:val="BodyText"/>
        <w:ind w:left="719"/>
      </w:pPr>
      <w:r>
        <w:rPr/>
        <w:t>自由现金流＝经营活动净现金流－付现资本性支出 </w:t>
      </w:r>
    </w:p>
    <w:p>
      <w:pPr>
        <w:pStyle w:val="BodyText"/>
        <w:spacing w:before="9"/>
        <w:ind w:left="0"/>
        <w:rPr>
          <w:sz w:val="20"/>
        </w:rPr>
      </w:pPr>
    </w:p>
    <w:p>
      <w:pPr>
        <w:pStyle w:val="ListParagraph"/>
        <w:numPr>
          <w:ilvl w:val="0"/>
          <w:numId w:val="6"/>
        </w:numPr>
        <w:tabs>
          <w:tab w:pos="1143" w:val="left" w:leader="none"/>
        </w:tabs>
        <w:spacing w:line="417" w:lineRule="auto" w:before="0" w:after="0"/>
        <w:ind w:left="160" w:right="256" w:firstLine="559"/>
        <w:jc w:val="left"/>
        <w:rPr>
          <w:sz w:val="28"/>
        </w:rPr>
      </w:pPr>
      <w:r>
        <w:rPr>
          <w:b/>
          <w:sz w:val="28"/>
        </w:rPr>
        <w:t>资产负债率</w:t>
      </w:r>
      <w:r>
        <w:rPr>
          <w:spacing w:val="-1"/>
          <w:sz w:val="28"/>
        </w:rPr>
        <w:t>，是指企业负债总额与资产总额的比值，反映企</w:t>
      </w:r>
      <w:r>
        <w:rPr>
          <w:spacing w:val="-3"/>
          <w:sz w:val="28"/>
        </w:rPr>
        <w:t>业整体财务风险程度。一般计算公式如下：</w:t>
      </w:r>
    </w:p>
    <w:p>
      <w:pPr>
        <w:spacing w:line="397" w:lineRule="exact" w:before="10"/>
        <w:ind w:left="741" w:right="0" w:firstLine="0"/>
        <w:jc w:val="left"/>
        <w:rPr>
          <w:sz w:val="24"/>
        </w:rPr>
      </w:pPr>
      <w:r>
        <w:rPr/>
        <w:pict>
          <v:line style="position:absolute;mso-position-horizontal-relative:page;mso-position-vertical-relative:paragraph;z-index:-16088576" from="193.859344pt,17.031572pt" to="242.359068pt,17.031572pt" stroked="true" strokeweight=".493922pt" strokecolor="#000000">
            <v:stroke dashstyle="solid"/>
            <w10:wrap type="none"/>
          </v:line>
        </w:pict>
      </w:r>
      <w:r>
        <w:rPr>
          <w:sz w:val="24"/>
        </w:rPr>
        <w:t>资产负债率＝</w:t>
      </w:r>
      <w:r>
        <w:rPr>
          <w:spacing w:val="-70"/>
          <w:sz w:val="24"/>
        </w:rPr>
        <w:t> </w:t>
      </w:r>
      <w:r>
        <w:rPr>
          <w:spacing w:val="-6"/>
          <w:position w:val="15"/>
          <w:sz w:val="24"/>
        </w:rPr>
        <w:t>负债总额 </w:t>
      </w:r>
      <w:r>
        <w:rPr>
          <w:rFonts w:ascii="Symbol" w:hAnsi="Symbol"/>
          <w:sz w:val="24"/>
        </w:rPr>
        <w:t></w:t>
      </w:r>
      <w:r>
        <w:rPr>
          <w:rFonts w:ascii="Times New Roman" w:hAnsi="Times New Roman"/>
          <w:sz w:val="24"/>
        </w:rPr>
        <w:t> </w:t>
      </w:r>
      <w:r>
        <w:rPr>
          <w:sz w:val="24"/>
        </w:rPr>
        <w:t>100%</w:t>
      </w:r>
    </w:p>
    <w:p>
      <w:pPr>
        <w:spacing w:line="247" w:lineRule="exact" w:before="0"/>
        <w:ind w:left="2238" w:right="0" w:firstLine="0"/>
        <w:jc w:val="left"/>
        <w:rPr>
          <w:sz w:val="24"/>
        </w:rPr>
      </w:pPr>
      <w:r>
        <w:rPr>
          <w:sz w:val="24"/>
        </w:rPr>
        <w:t>资产总额</w:t>
      </w:r>
    </w:p>
    <w:p>
      <w:pPr>
        <w:pStyle w:val="BodyText"/>
        <w:spacing w:before="2"/>
        <w:ind w:left="0"/>
        <w:rPr>
          <w:sz w:val="17"/>
        </w:rPr>
      </w:pPr>
    </w:p>
    <w:p>
      <w:pPr>
        <w:pStyle w:val="ListParagraph"/>
        <w:numPr>
          <w:ilvl w:val="0"/>
          <w:numId w:val="6"/>
        </w:numPr>
        <w:tabs>
          <w:tab w:pos="1143" w:val="left" w:leader="none"/>
        </w:tabs>
        <w:spacing w:line="240" w:lineRule="auto" w:before="62" w:after="0"/>
        <w:ind w:left="1143" w:right="0" w:hanging="424"/>
        <w:jc w:val="left"/>
        <w:rPr>
          <w:sz w:val="28"/>
        </w:rPr>
      </w:pPr>
      <w:r>
        <w:rPr>
          <w:b/>
          <w:sz w:val="28"/>
        </w:rPr>
        <w:t>总资产周转率</w:t>
      </w:r>
      <w:r>
        <w:rPr>
          <w:spacing w:val="-2"/>
          <w:sz w:val="28"/>
        </w:rPr>
        <w:t>，是指营业收入与总资产平均余额的比值，反</w:t>
      </w:r>
    </w:p>
    <w:p>
      <w:pPr>
        <w:spacing w:after="0" w:line="240" w:lineRule="auto"/>
        <w:jc w:val="left"/>
        <w:rPr>
          <w:sz w:val="28"/>
        </w:rPr>
        <w:sectPr>
          <w:type w:val="continuous"/>
          <w:pgSz w:w="11910" w:h="16840"/>
          <w:pgMar w:top="1520" w:bottom="1160" w:left="1640" w:right="1540"/>
        </w:sectPr>
      </w:pPr>
    </w:p>
    <w:p>
      <w:pPr>
        <w:pStyle w:val="BodyText"/>
        <w:spacing w:before="34"/>
        <w:rPr>
          <w:rFonts w:ascii="仿宋" w:eastAsia="仿宋" w:hint="eastAsia"/>
        </w:rPr>
      </w:pPr>
      <w:r>
        <w:rPr>
          <w:rFonts w:ascii="仿宋" w:eastAsia="仿宋" w:hint="eastAsia"/>
        </w:rPr>
        <w:t>映总资产在一定会计期间内周转的次数。一般计算公式如下：</w:t>
      </w:r>
    </w:p>
    <w:p>
      <w:pPr>
        <w:pStyle w:val="BodyText"/>
        <w:spacing w:before="7"/>
        <w:ind w:left="0"/>
        <w:rPr>
          <w:rFonts w:ascii="仿宋"/>
          <w:sz w:val="16"/>
        </w:rPr>
      </w:pPr>
    </w:p>
    <w:p>
      <w:pPr>
        <w:spacing w:after="0"/>
        <w:rPr>
          <w:rFonts w:ascii="仿宋"/>
          <w:sz w:val="16"/>
        </w:rPr>
        <w:sectPr>
          <w:pgSz w:w="11910" w:h="16840"/>
          <w:pgMar w:header="0" w:footer="974" w:top="1520" w:bottom="1160" w:left="1640" w:right="1540"/>
        </w:sectPr>
      </w:pPr>
    </w:p>
    <w:p>
      <w:pPr>
        <w:pStyle w:val="BodyText"/>
        <w:spacing w:before="11"/>
        <w:ind w:left="0"/>
        <w:rPr>
          <w:rFonts w:ascii="仿宋"/>
          <w:sz w:val="16"/>
        </w:rPr>
      </w:pPr>
    </w:p>
    <w:p>
      <w:pPr>
        <w:spacing w:before="1"/>
        <w:ind w:left="745" w:right="0" w:firstLine="0"/>
        <w:jc w:val="left"/>
        <w:rPr>
          <w:sz w:val="24"/>
        </w:rPr>
      </w:pPr>
      <w:r>
        <w:rPr>
          <w:spacing w:val="-2"/>
          <w:sz w:val="24"/>
        </w:rPr>
        <w:t>总资产周转率</w:t>
      </w:r>
      <w:r>
        <w:rPr>
          <w:spacing w:val="-18"/>
          <w:sz w:val="24"/>
        </w:rPr>
        <w:t>＝</w:t>
      </w:r>
    </w:p>
    <w:p>
      <w:pPr>
        <w:spacing w:before="66"/>
        <w:ind w:left="359" w:right="4906" w:firstLine="0"/>
        <w:jc w:val="center"/>
        <w:rPr>
          <w:sz w:val="24"/>
        </w:rPr>
      </w:pPr>
      <w:r>
        <w:rPr/>
        <w:br w:type="column"/>
      </w:r>
      <w:r>
        <w:rPr>
          <w:sz w:val="24"/>
        </w:rPr>
        <w:t>营业收入</w:t>
      </w:r>
    </w:p>
    <w:p>
      <w:pPr>
        <w:pStyle w:val="BodyText"/>
        <w:spacing w:line="20" w:lineRule="exact"/>
        <w:ind w:left="4"/>
        <w:rPr>
          <w:sz w:val="2"/>
        </w:rPr>
      </w:pPr>
      <w:r>
        <w:rPr>
          <w:sz w:val="2"/>
        </w:rPr>
        <w:pict>
          <v:group style="width:84.55pt;height:.5pt;mso-position-horizontal-relative:char;mso-position-vertical-relative:line" coordorigin="0,0" coordsize="1691,10">
            <v:line style="position:absolute" from="0,5" to="1691,5" stroked="true" strokeweight=".493922pt" strokecolor="#000000">
              <v:stroke dashstyle="solid"/>
            </v:line>
          </v:group>
        </w:pict>
      </w:r>
      <w:r>
        <w:rPr>
          <w:sz w:val="2"/>
        </w:rPr>
      </w:r>
    </w:p>
    <w:p>
      <w:pPr>
        <w:spacing w:before="11"/>
        <w:ind w:left="1" w:right="4545" w:firstLine="0"/>
        <w:jc w:val="center"/>
        <w:rPr>
          <w:sz w:val="24"/>
        </w:rPr>
      </w:pPr>
      <w:r>
        <w:rPr>
          <w:sz w:val="24"/>
        </w:rPr>
        <w:t>总资产平均余额</w:t>
      </w:r>
    </w:p>
    <w:p>
      <w:pPr>
        <w:spacing w:after="0"/>
        <w:jc w:val="center"/>
        <w:rPr>
          <w:sz w:val="24"/>
        </w:rPr>
        <w:sectPr>
          <w:type w:val="continuous"/>
          <w:pgSz w:w="11910" w:h="16840"/>
          <w:pgMar w:top="1520" w:bottom="1160" w:left="1640" w:right="1540"/>
          <w:cols w:num="2" w:equalWidth="0">
            <w:col w:w="2424" w:space="40"/>
            <w:col w:w="6266"/>
          </w:cols>
        </w:sectPr>
      </w:pPr>
    </w:p>
    <w:p>
      <w:pPr>
        <w:pStyle w:val="BodyText"/>
        <w:spacing w:before="11"/>
        <w:ind w:left="0"/>
        <w:rPr>
          <w:sz w:val="16"/>
        </w:rPr>
      </w:pPr>
    </w:p>
    <w:p>
      <w:pPr>
        <w:pStyle w:val="ListParagraph"/>
        <w:numPr>
          <w:ilvl w:val="0"/>
          <w:numId w:val="6"/>
        </w:numPr>
        <w:tabs>
          <w:tab w:pos="1143" w:val="left" w:leader="none"/>
        </w:tabs>
        <w:spacing w:line="417" w:lineRule="auto" w:before="62" w:after="0"/>
        <w:ind w:left="160" w:right="257" w:firstLine="559"/>
        <w:jc w:val="left"/>
        <w:rPr>
          <w:sz w:val="28"/>
        </w:rPr>
      </w:pPr>
      <w:r>
        <w:rPr>
          <w:b/>
          <w:sz w:val="28"/>
        </w:rPr>
        <w:t>存货周转率</w:t>
      </w:r>
      <w:r>
        <w:rPr>
          <w:spacing w:val="-1"/>
          <w:sz w:val="28"/>
        </w:rPr>
        <w:t>，是指企业营业收入与存货平均余额的比值，反</w:t>
      </w:r>
      <w:r>
        <w:rPr>
          <w:spacing w:val="-3"/>
          <w:sz w:val="28"/>
        </w:rPr>
        <w:t>映存货在一定会计期间内周转的次数。一般计算公式如下：</w:t>
      </w:r>
    </w:p>
    <w:p>
      <w:pPr>
        <w:spacing w:after="0" w:line="417" w:lineRule="auto"/>
        <w:jc w:val="left"/>
        <w:rPr>
          <w:sz w:val="28"/>
        </w:rPr>
        <w:sectPr>
          <w:type w:val="continuous"/>
          <w:pgSz w:w="11910" w:h="16840"/>
          <w:pgMar w:top="1520" w:bottom="1160" w:left="1640" w:right="1540"/>
        </w:sectPr>
      </w:pPr>
    </w:p>
    <w:p>
      <w:pPr>
        <w:spacing w:before="162"/>
        <w:ind w:left="752" w:right="0" w:firstLine="0"/>
        <w:jc w:val="left"/>
        <w:rPr>
          <w:sz w:val="24"/>
        </w:rPr>
      </w:pPr>
      <w:r>
        <w:rPr/>
        <w:pict>
          <v:line style="position:absolute;mso-position-horizontal-relative:page;mso-position-vertical-relative:paragraph;z-index:-16087552" from="194.346161pt,17.131556pt" to="267.318439pt,17.131556pt" stroked="true" strokeweight=".493922pt" strokecolor="#000000">
            <v:stroke dashstyle="solid"/>
            <w10:wrap type="none"/>
          </v:line>
        </w:pict>
      </w:r>
      <w:r>
        <w:rPr>
          <w:sz w:val="24"/>
        </w:rPr>
        <w:t>存货周转率＝</w:t>
      </w:r>
    </w:p>
    <w:p>
      <w:pPr>
        <w:spacing w:line="264" w:lineRule="auto" w:before="12"/>
        <w:ind w:left="27" w:right="5016" w:firstLine="236"/>
        <w:jc w:val="left"/>
        <w:rPr>
          <w:sz w:val="24"/>
        </w:rPr>
      </w:pPr>
      <w:r>
        <w:rPr/>
        <w:br w:type="column"/>
      </w:r>
      <w:r>
        <w:rPr>
          <w:sz w:val="24"/>
        </w:rPr>
        <w:t>营业收入 </w:t>
      </w:r>
      <w:r>
        <w:rPr>
          <w:spacing w:val="-3"/>
          <w:sz w:val="24"/>
        </w:rPr>
        <w:t>存货平均余额</w:t>
      </w:r>
    </w:p>
    <w:p>
      <w:pPr>
        <w:spacing w:after="0" w:line="264" w:lineRule="auto"/>
        <w:jc w:val="left"/>
        <w:rPr>
          <w:sz w:val="24"/>
        </w:rPr>
        <w:sectPr>
          <w:type w:val="continuous"/>
          <w:pgSz w:w="11910" w:h="16840"/>
          <w:pgMar w:top="1520" w:bottom="1160" w:left="1640" w:right="1540"/>
          <w:cols w:num="2" w:equalWidth="0">
            <w:col w:w="2193" w:space="40"/>
            <w:col w:w="6497"/>
          </w:cols>
        </w:sectPr>
      </w:pPr>
    </w:p>
    <w:p>
      <w:pPr>
        <w:pStyle w:val="BodyText"/>
        <w:spacing w:before="7"/>
        <w:ind w:left="0"/>
        <w:rPr>
          <w:sz w:val="14"/>
        </w:rPr>
      </w:pPr>
    </w:p>
    <w:p>
      <w:pPr>
        <w:pStyle w:val="ListParagraph"/>
        <w:numPr>
          <w:ilvl w:val="0"/>
          <w:numId w:val="6"/>
        </w:numPr>
        <w:tabs>
          <w:tab w:pos="1143" w:val="left" w:leader="none"/>
        </w:tabs>
        <w:spacing w:line="417" w:lineRule="auto" w:before="61" w:after="0"/>
        <w:ind w:left="160" w:right="257" w:firstLine="559"/>
        <w:jc w:val="left"/>
        <w:rPr>
          <w:sz w:val="28"/>
        </w:rPr>
      </w:pPr>
      <w:r>
        <w:rPr>
          <w:b/>
          <w:sz w:val="28"/>
        </w:rPr>
        <w:t>资本周转率</w:t>
      </w:r>
      <w:r>
        <w:rPr>
          <w:spacing w:val="-1"/>
          <w:sz w:val="28"/>
        </w:rPr>
        <w:t>，是指企业在一定会计期间内营业收入与平均资</w:t>
      </w:r>
      <w:r>
        <w:rPr>
          <w:spacing w:val="-3"/>
          <w:sz w:val="28"/>
        </w:rPr>
        <w:t>本占用的比值。一般计算公式如下：</w:t>
      </w:r>
    </w:p>
    <w:p>
      <w:pPr>
        <w:spacing w:after="0" w:line="417" w:lineRule="auto"/>
        <w:jc w:val="left"/>
        <w:rPr>
          <w:sz w:val="28"/>
        </w:rPr>
        <w:sectPr>
          <w:type w:val="continuous"/>
          <w:pgSz w:w="11910" w:h="16840"/>
          <w:pgMar w:top="1520" w:bottom="1160" w:left="1640" w:right="1540"/>
        </w:sectPr>
      </w:pPr>
    </w:p>
    <w:p>
      <w:pPr>
        <w:spacing w:before="162"/>
        <w:ind w:left="741" w:right="0" w:firstLine="0"/>
        <w:jc w:val="left"/>
        <w:rPr>
          <w:sz w:val="24"/>
        </w:rPr>
      </w:pPr>
      <w:r>
        <w:rPr/>
        <w:pict>
          <v:line style="position:absolute;mso-position-horizontal-relative:page;mso-position-vertical-relative:paragraph;z-index:-16087040" from="193.660492pt,17.131575pt" to="265.821685pt,17.131575pt" stroked="true" strokeweight=".493922pt" strokecolor="#000000">
            <v:stroke dashstyle="solid"/>
            <w10:wrap type="none"/>
          </v:line>
        </w:pict>
      </w:r>
      <w:r>
        <w:rPr>
          <w:sz w:val="24"/>
        </w:rPr>
        <w:t>资本周转率＝</w:t>
      </w:r>
    </w:p>
    <w:p>
      <w:pPr>
        <w:spacing w:line="264" w:lineRule="auto" w:before="11"/>
        <w:ind w:left="14" w:right="0" w:firstLine="227"/>
        <w:jc w:val="left"/>
        <w:rPr>
          <w:sz w:val="24"/>
        </w:rPr>
      </w:pPr>
      <w:r>
        <w:rPr/>
        <w:br w:type="column"/>
      </w:r>
      <w:r>
        <w:rPr>
          <w:sz w:val="24"/>
        </w:rPr>
        <w:t>营业收入 </w:t>
      </w:r>
      <w:r>
        <w:rPr>
          <w:spacing w:val="-4"/>
          <w:sz w:val="24"/>
        </w:rPr>
        <w:t>平均资本占用</w:t>
      </w:r>
    </w:p>
    <w:p>
      <w:pPr>
        <w:spacing w:before="160"/>
        <w:ind w:left="41" w:right="0" w:firstLine="0"/>
        <w:jc w:val="left"/>
        <w:rPr>
          <w:sz w:val="24"/>
        </w:rPr>
      </w:pPr>
      <w:r>
        <w:rPr/>
        <w:br w:type="column"/>
      </w:r>
      <w:r>
        <w:rPr>
          <w:rFonts w:ascii="Symbol" w:hAnsi="Symbol"/>
          <w:sz w:val="24"/>
        </w:rPr>
        <w:t></w:t>
      </w:r>
      <w:r>
        <w:rPr>
          <w:rFonts w:ascii="Times New Roman" w:hAnsi="Times New Roman"/>
          <w:sz w:val="24"/>
        </w:rPr>
        <w:t> </w:t>
      </w:r>
      <w:r>
        <w:rPr>
          <w:sz w:val="24"/>
        </w:rPr>
        <w:t>100%</w:t>
      </w:r>
    </w:p>
    <w:p>
      <w:pPr>
        <w:spacing w:after="0"/>
        <w:jc w:val="left"/>
        <w:rPr>
          <w:sz w:val="24"/>
        </w:rPr>
        <w:sectPr>
          <w:type w:val="continuous"/>
          <w:pgSz w:w="11910" w:h="16840"/>
          <w:pgMar w:top="1520" w:bottom="1160" w:left="1640" w:right="1540"/>
          <w:cols w:num="3" w:equalWidth="0">
            <w:col w:w="2191" w:space="40"/>
            <w:col w:w="1465" w:space="39"/>
            <w:col w:w="4995"/>
          </w:cols>
        </w:sectPr>
      </w:pPr>
    </w:p>
    <w:p>
      <w:pPr>
        <w:pStyle w:val="BodyText"/>
        <w:spacing w:before="7"/>
        <w:ind w:left="0"/>
        <w:rPr>
          <w:sz w:val="14"/>
        </w:rPr>
      </w:pPr>
    </w:p>
    <w:p>
      <w:pPr>
        <w:pStyle w:val="ListParagraph"/>
        <w:numPr>
          <w:ilvl w:val="0"/>
          <w:numId w:val="6"/>
        </w:numPr>
        <w:tabs>
          <w:tab w:pos="1283" w:val="left" w:leader="none"/>
        </w:tabs>
        <w:spacing w:line="417" w:lineRule="auto" w:before="62" w:after="0"/>
        <w:ind w:left="160" w:right="256" w:firstLine="559"/>
        <w:jc w:val="left"/>
        <w:rPr>
          <w:sz w:val="28"/>
        </w:rPr>
      </w:pPr>
      <w:r>
        <w:rPr>
          <w:b/>
          <w:sz w:val="28"/>
        </w:rPr>
        <w:t>资本性支出</w:t>
      </w:r>
      <w:r>
        <w:rPr>
          <w:spacing w:val="-9"/>
          <w:sz w:val="28"/>
        </w:rPr>
        <w:t>，是指企业发生的、其效益涉及于两个或两个 </w:t>
      </w:r>
      <w:r>
        <w:rPr>
          <w:spacing w:val="-5"/>
          <w:sz w:val="28"/>
        </w:rPr>
        <w:t>以上会计年度的各项支出。</w:t>
      </w:r>
    </w:p>
    <w:p>
      <w:pPr>
        <w:pStyle w:val="ListParagraph"/>
        <w:numPr>
          <w:ilvl w:val="0"/>
          <w:numId w:val="6"/>
        </w:numPr>
        <w:tabs>
          <w:tab w:pos="1283" w:val="left" w:leader="none"/>
        </w:tabs>
        <w:spacing w:line="240" w:lineRule="auto" w:before="0" w:after="0"/>
        <w:ind w:left="1282" w:right="0" w:hanging="564"/>
        <w:jc w:val="left"/>
        <w:rPr>
          <w:sz w:val="28"/>
        </w:rPr>
      </w:pPr>
      <w:r>
        <w:rPr>
          <w:b/>
          <w:sz w:val="28"/>
        </w:rPr>
        <w:t>产量</w:t>
      </w:r>
      <w:r>
        <w:rPr>
          <w:spacing w:val="-3"/>
          <w:sz w:val="28"/>
        </w:rPr>
        <w:t>，是指企业在一定时期内生产出来的产品的数量。</w:t>
      </w:r>
    </w:p>
    <w:p>
      <w:pPr>
        <w:pStyle w:val="BodyText"/>
        <w:spacing w:before="8"/>
        <w:ind w:left="0"/>
        <w:rPr>
          <w:rFonts w:ascii="仿宋"/>
          <w:sz w:val="20"/>
        </w:rPr>
      </w:pPr>
    </w:p>
    <w:p>
      <w:pPr>
        <w:pStyle w:val="ListParagraph"/>
        <w:numPr>
          <w:ilvl w:val="0"/>
          <w:numId w:val="6"/>
        </w:numPr>
        <w:tabs>
          <w:tab w:pos="1283" w:val="left" w:leader="none"/>
        </w:tabs>
        <w:spacing w:line="240" w:lineRule="auto" w:before="1" w:after="0"/>
        <w:ind w:left="1282" w:right="0" w:hanging="564"/>
        <w:jc w:val="left"/>
        <w:rPr>
          <w:sz w:val="28"/>
        </w:rPr>
      </w:pPr>
      <w:r>
        <w:rPr>
          <w:b/>
          <w:sz w:val="28"/>
        </w:rPr>
        <w:t>销量</w:t>
      </w:r>
      <w:r>
        <w:rPr>
          <w:spacing w:val="-3"/>
          <w:sz w:val="28"/>
        </w:rPr>
        <w:t>，是指企业在一定时期内销售商品的数量。</w:t>
      </w:r>
    </w:p>
    <w:p>
      <w:pPr>
        <w:pStyle w:val="BodyText"/>
        <w:spacing w:before="8"/>
        <w:ind w:left="0"/>
        <w:rPr>
          <w:rFonts w:ascii="仿宋"/>
          <w:sz w:val="20"/>
        </w:rPr>
      </w:pPr>
    </w:p>
    <w:p>
      <w:pPr>
        <w:pStyle w:val="ListParagraph"/>
        <w:numPr>
          <w:ilvl w:val="0"/>
          <w:numId w:val="6"/>
        </w:numPr>
        <w:tabs>
          <w:tab w:pos="1283" w:val="left" w:leader="none"/>
        </w:tabs>
        <w:spacing w:line="240" w:lineRule="auto" w:before="1" w:after="0"/>
        <w:ind w:left="1282" w:right="0" w:hanging="564"/>
        <w:jc w:val="left"/>
        <w:rPr>
          <w:sz w:val="28"/>
        </w:rPr>
      </w:pPr>
      <w:r>
        <w:rPr>
          <w:b/>
          <w:sz w:val="28"/>
        </w:rPr>
        <w:t>单位生产成本</w:t>
      </w:r>
      <w:r>
        <w:rPr>
          <w:spacing w:val="-3"/>
          <w:sz w:val="28"/>
        </w:rPr>
        <w:t>，是指生产单位产品而平均耗费的成本。</w:t>
      </w:r>
    </w:p>
    <w:p>
      <w:pPr>
        <w:pStyle w:val="BodyText"/>
        <w:spacing w:before="8"/>
        <w:ind w:left="0"/>
        <w:rPr>
          <w:rFonts w:ascii="仿宋"/>
          <w:sz w:val="20"/>
        </w:rPr>
      </w:pPr>
    </w:p>
    <w:p>
      <w:pPr>
        <w:pStyle w:val="ListParagraph"/>
        <w:numPr>
          <w:ilvl w:val="0"/>
          <w:numId w:val="6"/>
        </w:numPr>
        <w:tabs>
          <w:tab w:pos="1283" w:val="left" w:leader="none"/>
        </w:tabs>
        <w:spacing w:line="417" w:lineRule="auto" w:before="1" w:after="0"/>
        <w:ind w:left="160" w:right="165" w:firstLine="559"/>
        <w:jc w:val="both"/>
        <w:rPr>
          <w:sz w:val="28"/>
        </w:rPr>
      </w:pPr>
      <w:r>
        <w:rPr>
          <w:b/>
          <w:sz w:val="28"/>
        </w:rPr>
        <w:t>客户满意度</w:t>
      </w:r>
      <w:r>
        <w:rPr>
          <w:spacing w:val="-8"/>
          <w:sz w:val="28"/>
        </w:rPr>
        <w:t>，是指客户期望值与客户体验的匹配程度，即客</w:t>
      </w:r>
      <w:r>
        <w:rPr>
          <w:spacing w:val="3"/>
          <w:sz w:val="28"/>
        </w:rPr>
        <w:t>户通过对某项产品或服务的实际感知与其期望值相比较后得出的指</w:t>
      </w:r>
      <w:r>
        <w:rPr>
          <w:spacing w:val="-10"/>
          <w:sz w:val="28"/>
        </w:rPr>
        <w:t>数。客户满意度收集渠道主要包括问卷调查、客户投诉、与客户的直</w:t>
      </w:r>
      <w:r>
        <w:rPr>
          <w:spacing w:val="-8"/>
          <w:sz w:val="28"/>
        </w:rPr>
        <w:t>接沟通、消费者组织的报告、各种媒体的报告和行业研究的结果等。</w:t>
      </w:r>
    </w:p>
    <w:p>
      <w:pPr>
        <w:pStyle w:val="ListParagraph"/>
        <w:numPr>
          <w:ilvl w:val="0"/>
          <w:numId w:val="6"/>
        </w:numPr>
        <w:tabs>
          <w:tab w:pos="1283" w:val="left" w:leader="none"/>
        </w:tabs>
        <w:spacing w:line="417" w:lineRule="auto" w:before="0" w:after="0"/>
        <w:ind w:left="160" w:right="165" w:firstLine="559"/>
        <w:jc w:val="left"/>
        <w:rPr>
          <w:sz w:val="28"/>
        </w:rPr>
      </w:pPr>
      <w:r>
        <w:rPr>
          <w:b/>
          <w:sz w:val="28"/>
        </w:rPr>
        <w:t>员工满意度</w:t>
      </w:r>
      <w:r>
        <w:rPr>
          <w:spacing w:val="-9"/>
          <w:sz w:val="28"/>
        </w:rPr>
        <w:t>，是指员工对企业的实际感知与其期望值相比较</w:t>
      </w:r>
      <w:r>
        <w:rPr>
          <w:spacing w:val="-7"/>
          <w:sz w:val="28"/>
        </w:rPr>
        <w:t>后得出的指数。主要通过问卷调查、访谈调查等方式，从工作环境、</w:t>
      </w:r>
      <w:r>
        <w:rPr>
          <w:spacing w:val="-3"/>
          <w:sz w:val="28"/>
        </w:rPr>
        <w:t>工作关系、工作内容、薪酬福利、职业发展等方面进行衡量。</w:t>
      </w:r>
    </w:p>
    <w:p>
      <w:pPr>
        <w:pStyle w:val="ListParagraph"/>
        <w:numPr>
          <w:ilvl w:val="0"/>
          <w:numId w:val="6"/>
        </w:numPr>
        <w:tabs>
          <w:tab w:pos="1283" w:val="left" w:leader="none"/>
        </w:tabs>
        <w:spacing w:line="358" w:lineRule="exact" w:before="0" w:after="0"/>
        <w:ind w:left="1282" w:right="0" w:hanging="564"/>
        <w:jc w:val="left"/>
        <w:rPr>
          <w:sz w:val="28"/>
        </w:rPr>
      </w:pPr>
      <w:r>
        <w:rPr>
          <w:b/>
          <w:sz w:val="28"/>
        </w:rPr>
        <w:t>市场份额</w:t>
      </w:r>
      <w:r>
        <w:rPr>
          <w:spacing w:val="-8"/>
          <w:sz w:val="28"/>
        </w:rPr>
        <w:t>，是指一个企业的销售量</w:t>
      </w:r>
      <w:r>
        <w:rPr>
          <w:sz w:val="28"/>
        </w:rPr>
        <w:t>（</w:t>
      </w:r>
      <w:r>
        <w:rPr>
          <w:spacing w:val="-3"/>
          <w:sz w:val="28"/>
        </w:rPr>
        <w:t>或销售额</w:t>
      </w:r>
      <w:r>
        <w:rPr>
          <w:spacing w:val="-24"/>
          <w:sz w:val="28"/>
        </w:rPr>
        <w:t>）</w:t>
      </w:r>
      <w:r>
        <w:rPr>
          <w:spacing w:val="-2"/>
          <w:sz w:val="28"/>
        </w:rPr>
        <w:t>在市场同类</w:t>
      </w:r>
    </w:p>
    <w:p>
      <w:pPr>
        <w:spacing w:after="0" w:line="358" w:lineRule="exact"/>
        <w:jc w:val="left"/>
        <w:rPr>
          <w:sz w:val="28"/>
        </w:rPr>
        <w:sectPr>
          <w:type w:val="continuous"/>
          <w:pgSz w:w="11910" w:h="16840"/>
          <w:pgMar w:top="1520" w:bottom="1160" w:left="1640" w:right="1540"/>
        </w:sectPr>
      </w:pPr>
    </w:p>
    <w:p>
      <w:pPr>
        <w:pStyle w:val="BodyText"/>
        <w:spacing w:before="34"/>
        <w:rPr>
          <w:rFonts w:ascii="仿宋" w:eastAsia="仿宋" w:hint="eastAsia"/>
        </w:rPr>
      </w:pPr>
      <w:r>
        <w:rPr>
          <w:rFonts w:ascii="仿宋" w:eastAsia="仿宋" w:hint="eastAsia"/>
        </w:rPr>
        <w:t>产品中所占的比重。</w:t>
      </w:r>
    </w:p>
    <w:p>
      <w:pPr>
        <w:pStyle w:val="BodyText"/>
        <w:spacing w:before="9"/>
        <w:ind w:left="0"/>
        <w:rPr>
          <w:rFonts w:ascii="仿宋"/>
          <w:sz w:val="20"/>
        </w:rPr>
      </w:pPr>
    </w:p>
    <w:p>
      <w:pPr>
        <w:pStyle w:val="ListParagraph"/>
        <w:numPr>
          <w:ilvl w:val="0"/>
          <w:numId w:val="6"/>
        </w:numPr>
        <w:tabs>
          <w:tab w:pos="1283" w:val="left" w:leader="none"/>
        </w:tabs>
        <w:spacing w:line="417" w:lineRule="auto" w:before="1" w:after="0"/>
        <w:ind w:left="160" w:right="118" w:firstLine="559"/>
        <w:jc w:val="left"/>
        <w:rPr>
          <w:sz w:val="28"/>
        </w:rPr>
      </w:pPr>
      <w:r>
        <w:rPr>
          <w:b/>
          <w:sz w:val="28"/>
        </w:rPr>
        <w:t>客户获得率</w:t>
      </w:r>
      <w:r>
        <w:rPr>
          <w:spacing w:val="-13"/>
          <w:sz w:val="28"/>
        </w:rPr>
        <w:t>，是指企业在争取新客户时获得成功部分的比例</w:t>
      </w:r>
      <w:r>
        <w:rPr>
          <w:spacing w:val="-7"/>
          <w:sz w:val="28"/>
        </w:rPr>
        <w:t>。该指标可用客户数量增长率或客户交易额增长率来描述，一般计算</w:t>
      </w:r>
      <w:r>
        <w:rPr>
          <w:sz w:val="28"/>
        </w:rPr>
        <w:t>公</w:t>
      </w:r>
    </w:p>
    <w:p>
      <w:pPr>
        <w:spacing w:after="0" w:line="417" w:lineRule="auto"/>
        <w:jc w:val="left"/>
        <w:rPr>
          <w:sz w:val="28"/>
        </w:rPr>
        <w:sectPr>
          <w:pgSz w:w="11910" w:h="16840"/>
          <w:pgMar w:header="0" w:footer="974" w:top="1520" w:bottom="1160" w:left="1640" w:right="1540"/>
        </w:sectPr>
      </w:pPr>
    </w:p>
    <w:p>
      <w:pPr>
        <w:pStyle w:val="BodyText"/>
        <w:spacing w:line="358" w:lineRule="exact"/>
        <w:rPr>
          <w:rFonts w:ascii="仿宋" w:eastAsia="仿宋" w:hint="eastAsia"/>
        </w:rPr>
      </w:pPr>
      <w:r>
        <w:rPr>
          <w:rFonts w:ascii="仿宋" w:eastAsia="仿宋" w:hint="eastAsia"/>
        </w:rPr>
        <w:t>式如下：</w:t>
      </w:r>
    </w:p>
    <w:p>
      <w:pPr>
        <w:pStyle w:val="BodyText"/>
        <w:spacing w:before="5"/>
        <w:ind w:left="0"/>
        <w:rPr>
          <w:rFonts w:ascii="仿宋"/>
          <w:sz w:val="23"/>
        </w:rPr>
      </w:pPr>
    </w:p>
    <w:p>
      <w:pPr>
        <w:spacing w:line="172" w:lineRule="auto" w:before="0"/>
        <w:ind w:left="749" w:right="0" w:firstLine="0"/>
        <w:jc w:val="left"/>
        <w:rPr>
          <w:sz w:val="24"/>
        </w:rPr>
      </w:pPr>
      <w:r>
        <w:rPr/>
        <w:pict>
          <v:line style="position:absolute;mso-position-horizontal-relative:page;mso-position-vertical-relative:paragraph;z-index:-16086528" from="217.983261pt,15.426579pt" to="379.543815pt,15.426579pt" stroked="true" strokeweight=".493922pt" strokecolor="#000000">
            <v:stroke dashstyle="solid"/>
            <w10:wrap type="none"/>
          </v:line>
        </w:pict>
      </w:r>
      <w:r>
        <w:rPr>
          <w:position w:val="-14"/>
          <w:sz w:val="24"/>
        </w:rPr>
        <w:t>客户数量增长率＝</w:t>
      </w:r>
      <w:r>
        <w:rPr>
          <w:spacing w:val="-69"/>
          <w:position w:val="-14"/>
          <w:sz w:val="24"/>
        </w:rPr>
        <w:t> </w:t>
      </w:r>
      <w:r>
        <w:rPr>
          <w:spacing w:val="-4"/>
          <w:sz w:val="24"/>
        </w:rPr>
        <w:t>本期客户数量 </w:t>
      </w:r>
      <w:r>
        <w:rPr>
          <w:rFonts w:ascii="Symbol" w:hAnsi="Symbol"/>
          <w:sz w:val="24"/>
        </w:rPr>
        <w:t></w:t>
      </w:r>
      <w:r>
        <w:rPr>
          <w:rFonts w:ascii="Times New Roman" w:hAnsi="Times New Roman"/>
          <w:sz w:val="24"/>
        </w:rPr>
        <w:t> </w:t>
      </w:r>
      <w:r>
        <w:rPr>
          <w:spacing w:val="-3"/>
          <w:sz w:val="24"/>
        </w:rPr>
        <w:t>上期客户数量 </w:t>
      </w:r>
      <w:r>
        <w:rPr>
          <w:rFonts w:ascii="Symbol" w:hAnsi="Symbol"/>
          <w:position w:val="-14"/>
          <w:sz w:val="24"/>
        </w:rPr>
        <w:t></w:t>
      </w:r>
      <w:r>
        <w:rPr>
          <w:rFonts w:ascii="Times New Roman" w:hAnsi="Times New Roman"/>
          <w:position w:val="-14"/>
          <w:sz w:val="24"/>
        </w:rPr>
        <w:t> </w:t>
      </w:r>
      <w:r>
        <w:rPr>
          <w:position w:val="-14"/>
          <w:sz w:val="24"/>
        </w:rPr>
        <w:t>100%</w:t>
      </w:r>
    </w:p>
    <w:p>
      <w:pPr>
        <w:spacing w:line="248" w:lineRule="exact" w:before="0"/>
        <w:ind w:left="3615" w:right="0" w:firstLine="0"/>
        <w:jc w:val="left"/>
        <w:rPr>
          <w:sz w:val="24"/>
        </w:rPr>
      </w:pPr>
      <w:r>
        <w:rPr>
          <w:sz w:val="24"/>
        </w:rPr>
        <w:t>上期客户数量</w:t>
      </w:r>
    </w:p>
    <w:p>
      <w:pPr>
        <w:pStyle w:val="BodyText"/>
        <w:spacing w:before="5"/>
        <w:ind w:left="0"/>
        <w:rPr>
          <w:sz w:val="24"/>
        </w:rPr>
      </w:pPr>
    </w:p>
    <w:p>
      <w:pPr>
        <w:spacing w:line="172" w:lineRule="auto" w:before="0"/>
        <w:ind w:left="749" w:right="0" w:firstLine="0"/>
        <w:jc w:val="left"/>
        <w:rPr>
          <w:sz w:val="24"/>
        </w:rPr>
      </w:pPr>
      <w:r>
        <w:rPr/>
        <w:pict>
          <v:line style="position:absolute;mso-position-horizontal-relative:page;mso-position-vertical-relative:paragraph;z-index:-16086016" from="230.061615pt,15.42659pt" to="415.726632pt,15.42659pt" stroked="true" strokeweight=".493922pt" strokecolor="#000000">
            <v:stroke dashstyle="solid"/>
            <w10:wrap type="none"/>
          </v:line>
        </w:pict>
      </w:r>
      <w:r>
        <w:rPr>
          <w:position w:val="-14"/>
          <w:sz w:val="24"/>
        </w:rPr>
        <w:t>客户交易额增长率＝</w:t>
      </w:r>
      <w:r>
        <w:rPr>
          <w:spacing w:val="-68"/>
          <w:position w:val="-14"/>
          <w:sz w:val="24"/>
        </w:rPr>
        <w:t> </w:t>
      </w:r>
      <w:r>
        <w:rPr>
          <w:spacing w:val="-3"/>
          <w:sz w:val="24"/>
        </w:rPr>
        <w:t>本期客户交易额 </w:t>
      </w:r>
      <w:r>
        <w:rPr>
          <w:rFonts w:ascii="Symbol" w:hAnsi="Symbol" w:eastAsia="Symbol"/>
          <w:sz w:val="24"/>
        </w:rPr>
        <w:t></w:t>
      </w:r>
      <w:r>
        <w:rPr>
          <w:rFonts w:ascii="Times New Roman" w:hAnsi="Times New Roman" w:eastAsia="Times New Roman"/>
          <w:sz w:val="24"/>
        </w:rPr>
        <w:t> </w:t>
      </w:r>
      <w:r>
        <w:rPr>
          <w:sz w:val="24"/>
        </w:rPr>
        <w:t>上期客户交易额</w:t>
      </w:r>
    </w:p>
    <w:p>
      <w:pPr>
        <w:spacing w:line="248" w:lineRule="exact" w:before="0"/>
        <w:ind w:left="3977" w:right="0" w:firstLine="0"/>
        <w:jc w:val="left"/>
        <w:rPr>
          <w:sz w:val="24"/>
        </w:rPr>
      </w:pPr>
      <w:r>
        <w:rPr>
          <w:sz w:val="24"/>
        </w:rPr>
        <w:t>上期客户交易额</w:t>
      </w:r>
    </w:p>
    <w:p>
      <w:pPr>
        <w:pStyle w:val="BodyText"/>
        <w:ind w:left="0"/>
      </w:pPr>
      <w:r>
        <w:rPr/>
        <w:br w:type="column"/>
      </w:r>
      <w:r>
        <w:rPr/>
      </w:r>
    </w:p>
    <w:p>
      <w:pPr>
        <w:pStyle w:val="BodyText"/>
        <w:ind w:left="0"/>
      </w:pPr>
    </w:p>
    <w:p>
      <w:pPr>
        <w:pStyle w:val="BodyText"/>
        <w:ind w:left="0"/>
      </w:pPr>
    </w:p>
    <w:p>
      <w:pPr>
        <w:pStyle w:val="BodyText"/>
        <w:ind w:left="0"/>
      </w:pPr>
    </w:p>
    <w:p>
      <w:pPr>
        <w:pStyle w:val="BodyText"/>
        <w:spacing w:before="3"/>
        <w:ind w:left="0"/>
        <w:rPr>
          <w:sz w:val="22"/>
        </w:rPr>
      </w:pPr>
    </w:p>
    <w:p>
      <w:pPr>
        <w:spacing w:before="1"/>
        <w:ind w:left="-5" w:right="0" w:firstLine="0"/>
        <w:jc w:val="left"/>
        <w:rPr>
          <w:sz w:val="24"/>
        </w:rPr>
      </w:pPr>
      <w:r>
        <w:rPr>
          <w:rFonts w:ascii="Symbol" w:hAnsi="Symbol"/>
          <w:sz w:val="24"/>
        </w:rPr>
        <w:t></w:t>
      </w:r>
      <w:r>
        <w:rPr>
          <w:rFonts w:ascii="Times New Roman" w:hAnsi="Times New Roman"/>
          <w:sz w:val="24"/>
        </w:rPr>
        <w:t> </w:t>
      </w:r>
      <w:r>
        <w:rPr>
          <w:sz w:val="24"/>
        </w:rPr>
        <w:t>100%</w:t>
      </w:r>
    </w:p>
    <w:p>
      <w:pPr>
        <w:spacing w:after="0"/>
        <w:jc w:val="left"/>
        <w:rPr>
          <w:sz w:val="24"/>
        </w:rPr>
        <w:sectPr>
          <w:type w:val="continuous"/>
          <w:pgSz w:w="11910" w:h="16840"/>
          <w:pgMar w:top="1520" w:bottom="1160" w:left="1640" w:right="1540"/>
          <w:cols w:num="2" w:equalWidth="0">
            <w:col w:w="6739" w:space="40"/>
            <w:col w:w="1951"/>
          </w:cols>
        </w:sectPr>
      </w:pPr>
    </w:p>
    <w:p>
      <w:pPr>
        <w:pStyle w:val="BodyText"/>
        <w:spacing w:before="12"/>
        <w:ind w:left="0"/>
        <w:rPr>
          <w:sz w:val="16"/>
        </w:rPr>
      </w:pPr>
    </w:p>
    <w:p>
      <w:pPr>
        <w:pStyle w:val="ListParagraph"/>
        <w:numPr>
          <w:ilvl w:val="0"/>
          <w:numId w:val="6"/>
        </w:numPr>
        <w:tabs>
          <w:tab w:pos="1283" w:val="left" w:leader="none"/>
        </w:tabs>
        <w:spacing w:line="417" w:lineRule="auto" w:before="62" w:after="0"/>
        <w:ind w:left="160" w:right="159" w:firstLine="559"/>
        <w:jc w:val="left"/>
        <w:rPr>
          <w:sz w:val="28"/>
        </w:rPr>
      </w:pPr>
      <w:r>
        <w:rPr>
          <w:b/>
          <w:sz w:val="28"/>
        </w:rPr>
        <w:t>客户保持率</w:t>
      </w:r>
      <w:r>
        <w:rPr>
          <w:spacing w:val="-4"/>
          <w:sz w:val="28"/>
        </w:rPr>
        <w:t>，是指企业继续保持与老客户交易关系的比例。</w:t>
      </w:r>
      <w:r>
        <w:rPr>
          <w:spacing w:val="-3"/>
          <w:sz w:val="28"/>
        </w:rPr>
        <w:t>该指标可用老客户交易增长率来描述，一般计算公式如下：</w:t>
      </w:r>
    </w:p>
    <w:p>
      <w:pPr>
        <w:spacing w:line="172" w:lineRule="auto" w:before="33"/>
        <w:ind w:left="749" w:right="0" w:firstLine="0"/>
        <w:jc w:val="left"/>
        <w:rPr>
          <w:sz w:val="24"/>
        </w:rPr>
      </w:pPr>
      <w:r>
        <w:rPr/>
        <w:pict>
          <v:line style="position:absolute;mso-position-horizontal-relative:page;mso-position-vertical-relative:paragraph;z-index:-16085504" from="229.932022pt,17.076609pt" to="439.357395pt,17.076609pt" stroked="true" strokeweight=".493922pt" strokecolor="#000000">
            <v:stroke dashstyle="solid"/>
            <w10:wrap type="none"/>
          </v:line>
        </w:pict>
      </w:r>
      <w:r>
        <w:rPr>
          <w:position w:val="-14"/>
          <w:sz w:val="24"/>
        </w:rPr>
        <w:t>老客户交易增长率＝</w:t>
      </w:r>
      <w:r>
        <w:rPr>
          <w:spacing w:val="-74"/>
          <w:position w:val="-14"/>
          <w:sz w:val="24"/>
        </w:rPr>
        <w:t> </w:t>
      </w:r>
      <w:r>
        <w:rPr>
          <w:spacing w:val="-4"/>
          <w:sz w:val="24"/>
        </w:rPr>
        <w:t>老客户本期交易额 </w:t>
      </w:r>
      <w:r>
        <w:rPr>
          <w:rFonts w:ascii="Symbol" w:hAnsi="Symbol"/>
          <w:sz w:val="24"/>
        </w:rPr>
        <w:t></w:t>
      </w:r>
      <w:r>
        <w:rPr>
          <w:rFonts w:ascii="Times New Roman" w:hAnsi="Times New Roman"/>
          <w:sz w:val="24"/>
        </w:rPr>
        <w:t> </w:t>
      </w:r>
      <w:r>
        <w:rPr>
          <w:spacing w:val="-3"/>
          <w:sz w:val="24"/>
        </w:rPr>
        <w:t>老客户上期交易额 </w:t>
      </w:r>
      <w:r>
        <w:rPr>
          <w:rFonts w:ascii="Symbol" w:hAnsi="Symbol"/>
          <w:position w:val="-14"/>
          <w:sz w:val="24"/>
        </w:rPr>
        <w:t></w:t>
      </w:r>
      <w:r>
        <w:rPr>
          <w:rFonts w:ascii="Times New Roman" w:hAnsi="Times New Roman"/>
          <w:position w:val="-14"/>
          <w:sz w:val="24"/>
        </w:rPr>
        <w:t> </w:t>
      </w:r>
      <w:r>
        <w:rPr>
          <w:position w:val="-14"/>
          <w:sz w:val="24"/>
        </w:rPr>
        <w:t>100%</w:t>
      </w:r>
    </w:p>
    <w:p>
      <w:pPr>
        <w:spacing w:line="248" w:lineRule="exact" w:before="0"/>
        <w:ind w:left="4093" w:right="0" w:firstLine="0"/>
        <w:jc w:val="left"/>
        <w:rPr>
          <w:sz w:val="24"/>
        </w:rPr>
      </w:pPr>
      <w:r>
        <w:rPr>
          <w:sz w:val="24"/>
        </w:rPr>
        <w:t>老客户上期交易额</w:t>
      </w:r>
    </w:p>
    <w:p>
      <w:pPr>
        <w:pStyle w:val="BodyText"/>
        <w:ind w:left="0"/>
        <w:rPr>
          <w:sz w:val="17"/>
        </w:rPr>
      </w:pPr>
    </w:p>
    <w:p>
      <w:pPr>
        <w:pStyle w:val="ListParagraph"/>
        <w:numPr>
          <w:ilvl w:val="0"/>
          <w:numId w:val="6"/>
        </w:numPr>
        <w:tabs>
          <w:tab w:pos="1283" w:val="left" w:leader="none"/>
        </w:tabs>
        <w:spacing w:line="417" w:lineRule="auto" w:before="61" w:after="0"/>
        <w:ind w:left="160" w:right="257" w:firstLine="559"/>
        <w:jc w:val="left"/>
        <w:rPr>
          <w:sz w:val="28"/>
        </w:rPr>
      </w:pPr>
      <w:r>
        <w:rPr>
          <w:b/>
          <w:sz w:val="28"/>
        </w:rPr>
        <w:t>客户获利率</w:t>
      </w:r>
      <w:r>
        <w:rPr>
          <w:spacing w:val="-9"/>
          <w:sz w:val="28"/>
        </w:rPr>
        <w:t>，是指企业从单一客户得到的净利润与付出的</w:t>
      </w:r>
      <w:r>
        <w:rPr>
          <w:spacing w:val="-3"/>
          <w:sz w:val="28"/>
        </w:rPr>
        <w:t>总成本的比率。一般计算公式如下：</w:t>
      </w:r>
    </w:p>
    <w:p>
      <w:pPr>
        <w:spacing w:line="398" w:lineRule="exact" w:before="12"/>
        <w:ind w:left="749" w:right="0" w:firstLine="0"/>
        <w:jc w:val="left"/>
        <w:rPr>
          <w:sz w:val="24"/>
        </w:rPr>
      </w:pPr>
      <w:r>
        <w:rPr/>
        <w:pict>
          <v:line style="position:absolute;mso-position-horizontal-relative:page;mso-position-vertical-relative:paragraph;z-index:-16084992" from="217.946121pt,17.13158pt" to="302.817492pt,17.13158pt" stroked="true" strokeweight=".493922pt" strokecolor="#000000">
            <v:stroke dashstyle="solid"/>
            <w10:wrap type="none"/>
          </v:line>
        </w:pict>
      </w:r>
      <w:r>
        <w:rPr>
          <w:sz w:val="24"/>
        </w:rPr>
        <w:t>单一客户获利率＝</w:t>
      </w:r>
      <w:r>
        <w:rPr>
          <w:spacing w:val="-68"/>
          <w:sz w:val="24"/>
        </w:rPr>
        <w:t> </w:t>
      </w:r>
      <w:r>
        <w:rPr>
          <w:spacing w:val="-4"/>
          <w:position w:val="15"/>
          <w:sz w:val="24"/>
        </w:rPr>
        <w:t>单一客户净利润 </w:t>
      </w:r>
      <w:r>
        <w:rPr>
          <w:rFonts w:ascii="Symbol" w:hAnsi="Symbol"/>
          <w:sz w:val="24"/>
        </w:rPr>
        <w:t></w:t>
      </w:r>
      <w:r>
        <w:rPr>
          <w:rFonts w:ascii="Times New Roman" w:hAnsi="Times New Roman"/>
          <w:sz w:val="24"/>
        </w:rPr>
        <w:t> </w:t>
      </w:r>
      <w:r>
        <w:rPr>
          <w:sz w:val="24"/>
        </w:rPr>
        <w:t>100%</w:t>
      </w:r>
    </w:p>
    <w:p>
      <w:pPr>
        <w:spacing w:line="248" w:lineRule="exact" w:before="0"/>
        <w:ind w:left="2728" w:right="0" w:firstLine="0"/>
        <w:jc w:val="left"/>
        <w:rPr>
          <w:sz w:val="24"/>
        </w:rPr>
      </w:pPr>
      <w:r>
        <w:rPr>
          <w:sz w:val="24"/>
        </w:rPr>
        <w:t>单一客户总成本</w:t>
      </w:r>
    </w:p>
    <w:p>
      <w:pPr>
        <w:pStyle w:val="BodyText"/>
        <w:spacing w:before="12"/>
        <w:ind w:left="0"/>
        <w:rPr>
          <w:sz w:val="16"/>
        </w:rPr>
      </w:pPr>
    </w:p>
    <w:p>
      <w:pPr>
        <w:pStyle w:val="ListParagraph"/>
        <w:numPr>
          <w:ilvl w:val="0"/>
          <w:numId w:val="6"/>
        </w:numPr>
        <w:tabs>
          <w:tab w:pos="1283" w:val="left" w:leader="none"/>
        </w:tabs>
        <w:spacing w:line="417" w:lineRule="auto" w:before="61" w:after="0"/>
        <w:ind w:left="160" w:right="256" w:firstLine="559"/>
        <w:jc w:val="left"/>
        <w:rPr>
          <w:sz w:val="28"/>
        </w:rPr>
      </w:pPr>
      <w:r>
        <w:rPr>
          <w:b/>
          <w:sz w:val="28"/>
        </w:rPr>
        <w:t>战略客户数量</w:t>
      </w:r>
      <w:r>
        <w:rPr>
          <w:spacing w:val="-8"/>
          <w:sz w:val="28"/>
        </w:rPr>
        <w:t>，是指对企业战略目标实现有重要作用的客</w:t>
      </w:r>
      <w:r>
        <w:rPr>
          <w:spacing w:val="-4"/>
          <w:sz w:val="28"/>
        </w:rPr>
        <w:t>户的数量。</w:t>
      </w:r>
    </w:p>
    <w:p>
      <w:pPr>
        <w:pStyle w:val="ListParagraph"/>
        <w:numPr>
          <w:ilvl w:val="0"/>
          <w:numId w:val="6"/>
        </w:numPr>
        <w:tabs>
          <w:tab w:pos="1283" w:val="left" w:leader="none"/>
        </w:tabs>
        <w:spacing w:line="417" w:lineRule="auto" w:before="0" w:after="0"/>
        <w:ind w:left="160" w:right="257" w:firstLine="559"/>
        <w:jc w:val="left"/>
        <w:rPr>
          <w:sz w:val="28"/>
        </w:rPr>
      </w:pPr>
      <w:r>
        <w:rPr>
          <w:b/>
          <w:sz w:val="28"/>
        </w:rPr>
        <w:t>交货及时率</w:t>
      </w:r>
      <w:r>
        <w:rPr>
          <w:spacing w:val="-9"/>
          <w:sz w:val="28"/>
        </w:rPr>
        <w:t>，是指企业在一定会计期间内及时交货的次数</w:t>
      </w:r>
      <w:r>
        <w:rPr>
          <w:spacing w:val="-3"/>
          <w:sz w:val="28"/>
        </w:rPr>
        <w:t>占其总交货次数比例。一般计算公式如下：</w:t>
      </w:r>
    </w:p>
    <w:p>
      <w:pPr>
        <w:spacing w:line="398" w:lineRule="exact" w:before="11"/>
        <w:ind w:left="745" w:right="0" w:firstLine="0"/>
        <w:jc w:val="left"/>
        <w:rPr>
          <w:sz w:val="24"/>
        </w:rPr>
      </w:pPr>
      <w:r>
        <w:rPr/>
        <w:pict>
          <v:line style="position:absolute;mso-position-horizontal-relative:page;mso-position-vertical-relative:paragraph;z-index:-16084480" from="193.758728pt,17.081575pt" to="302.747655pt,17.081575pt" stroked="true" strokeweight=".493922pt" strokecolor="#000000">
            <v:stroke dashstyle="solid"/>
            <w10:wrap type="none"/>
          </v:line>
        </w:pict>
      </w:r>
      <w:r>
        <w:rPr>
          <w:sz w:val="24"/>
        </w:rPr>
        <w:t>交货及时率＝</w:t>
      </w:r>
      <w:r>
        <w:rPr>
          <w:spacing w:val="-66"/>
          <w:sz w:val="24"/>
        </w:rPr>
        <w:t> </w:t>
      </w:r>
      <w:r>
        <w:rPr>
          <w:spacing w:val="-3"/>
          <w:position w:val="15"/>
          <w:sz w:val="24"/>
        </w:rPr>
        <w:t>及时交货的订单个数 </w:t>
      </w:r>
      <w:r>
        <w:rPr>
          <w:rFonts w:ascii="Symbol" w:hAnsi="Symbol"/>
          <w:sz w:val="24"/>
        </w:rPr>
        <w:t></w:t>
      </w:r>
      <w:r>
        <w:rPr>
          <w:rFonts w:ascii="Times New Roman" w:hAnsi="Times New Roman"/>
          <w:sz w:val="24"/>
        </w:rPr>
        <w:t> </w:t>
      </w:r>
      <w:r>
        <w:rPr>
          <w:sz w:val="24"/>
        </w:rPr>
        <w:t>100%</w:t>
      </w:r>
    </w:p>
    <w:p>
      <w:pPr>
        <w:spacing w:line="248" w:lineRule="exact" w:before="0"/>
        <w:ind w:left="2723" w:right="0" w:firstLine="0"/>
        <w:jc w:val="left"/>
        <w:rPr>
          <w:sz w:val="24"/>
        </w:rPr>
      </w:pPr>
      <w:r>
        <w:rPr>
          <w:sz w:val="24"/>
        </w:rPr>
        <w:t>总订单个数</w:t>
      </w:r>
    </w:p>
    <w:p>
      <w:pPr>
        <w:pStyle w:val="BodyText"/>
        <w:ind w:left="0"/>
        <w:rPr>
          <w:sz w:val="17"/>
        </w:rPr>
      </w:pPr>
    </w:p>
    <w:p>
      <w:pPr>
        <w:pStyle w:val="ListParagraph"/>
        <w:numPr>
          <w:ilvl w:val="0"/>
          <w:numId w:val="6"/>
        </w:numPr>
        <w:tabs>
          <w:tab w:pos="1283" w:val="left" w:leader="none"/>
        </w:tabs>
        <w:spacing w:line="417" w:lineRule="auto" w:before="62" w:after="0"/>
        <w:ind w:left="160" w:right="257" w:firstLine="559"/>
        <w:jc w:val="left"/>
        <w:rPr>
          <w:sz w:val="28"/>
        </w:rPr>
      </w:pPr>
      <w:r>
        <w:rPr>
          <w:b/>
          <w:sz w:val="28"/>
        </w:rPr>
        <w:t>生产负荷率</w:t>
      </w:r>
      <w:r>
        <w:rPr>
          <w:spacing w:val="-9"/>
          <w:sz w:val="28"/>
        </w:rPr>
        <w:t>，是指投产项目在一定会计期间内的产品产量</w:t>
      </w:r>
      <w:r>
        <w:rPr>
          <w:spacing w:val="-3"/>
          <w:sz w:val="28"/>
        </w:rPr>
        <w:t>与设计生产能力的比例。一般计算公式如下：</w:t>
      </w:r>
    </w:p>
    <w:p>
      <w:pPr>
        <w:spacing w:after="0" w:line="417" w:lineRule="auto"/>
        <w:jc w:val="left"/>
        <w:rPr>
          <w:sz w:val="28"/>
        </w:rPr>
        <w:sectPr>
          <w:type w:val="continuous"/>
          <w:pgSz w:w="11910" w:h="16840"/>
          <w:pgMar w:top="1520" w:bottom="1160" w:left="1640" w:right="1540"/>
        </w:sectPr>
      </w:pPr>
    </w:p>
    <w:p>
      <w:pPr>
        <w:spacing w:before="197"/>
        <w:ind w:left="749" w:right="0" w:firstLine="0"/>
        <w:jc w:val="left"/>
        <w:rPr>
          <w:sz w:val="24"/>
        </w:rPr>
      </w:pPr>
      <w:r>
        <w:rPr/>
        <w:pict>
          <v:line style="position:absolute;mso-position-horizontal-relative:page;mso-position-vertical-relative:paragraph;z-index:-16083968" from="194.103745pt,18.88158pt" to="266.544598pt,18.88158pt" stroked="true" strokeweight=".493922pt" strokecolor="#000000">
            <v:stroke dashstyle="solid"/>
            <w10:wrap type="none"/>
          </v:line>
        </w:pict>
      </w:r>
      <w:r>
        <w:rPr>
          <w:sz w:val="24"/>
        </w:rPr>
        <w:t>生产负荷率＝</w:t>
      </w:r>
    </w:p>
    <w:p>
      <w:pPr>
        <w:spacing w:line="264" w:lineRule="auto" w:before="46"/>
        <w:ind w:left="14" w:right="0" w:firstLine="232"/>
        <w:jc w:val="left"/>
        <w:rPr>
          <w:sz w:val="24"/>
        </w:rPr>
      </w:pPr>
      <w:r>
        <w:rPr/>
        <w:br w:type="column"/>
      </w:r>
      <w:r>
        <w:rPr>
          <w:sz w:val="24"/>
        </w:rPr>
        <w:t>实际产量 </w:t>
      </w:r>
      <w:r>
        <w:rPr>
          <w:spacing w:val="-4"/>
          <w:sz w:val="24"/>
        </w:rPr>
        <w:t>设计生产能力</w:t>
      </w:r>
    </w:p>
    <w:p>
      <w:pPr>
        <w:spacing w:before="196"/>
        <w:ind w:left="51" w:right="0" w:firstLine="0"/>
        <w:jc w:val="left"/>
        <w:rPr>
          <w:sz w:val="24"/>
        </w:rPr>
      </w:pPr>
      <w:r>
        <w:rPr/>
        <w:br w:type="column"/>
      </w:r>
      <w:r>
        <w:rPr>
          <w:rFonts w:ascii="Symbol" w:hAnsi="Symbol"/>
          <w:sz w:val="24"/>
        </w:rPr>
        <w:t></w:t>
      </w:r>
      <w:r>
        <w:rPr>
          <w:rFonts w:ascii="Times New Roman" w:hAnsi="Times New Roman"/>
          <w:sz w:val="24"/>
        </w:rPr>
        <w:t> </w:t>
      </w:r>
      <w:r>
        <w:rPr>
          <w:sz w:val="24"/>
        </w:rPr>
        <w:t>100%</w:t>
      </w:r>
    </w:p>
    <w:p>
      <w:pPr>
        <w:spacing w:after="0"/>
        <w:jc w:val="left"/>
        <w:rPr>
          <w:sz w:val="24"/>
        </w:rPr>
        <w:sectPr>
          <w:pgSz w:w="11910" w:h="16840"/>
          <w:pgMar w:header="0" w:footer="974" w:top="1520" w:bottom="1160" w:left="1640" w:right="1540"/>
          <w:cols w:num="3" w:equalWidth="0">
            <w:col w:w="2197" w:space="40"/>
            <w:col w:w="1462" w:space="39"/>
            <w:col w:w="4992"/>
          </w:cols>
        </w:sectPr>
      </w:pPr>
    </w:p>
    <w:p>
      <w:pPr>
        <w:pStyle w:val="BodyText"/>
        <w:spacing w:before="7"/>
        <w:ind w:left="0"/>
        <w:rPr>
          <w:sz w:val="14"/>
        </w:rPr>
      </w:pPr>
    </w:p>
    <w:p>
      <w:pPr>
        <w:pStyle w:val="ListParagraph"/>
        <w:numPr>
          <w:ilvl w:val="0"/>
          <w:numId w:val="6"/>
        </w:numPr>
        <w:tabs>
          <w:tab w:pos="1283" w:val="left" w:leader="none"/>
        </w:tabs>
        <w:spacing w:line="240" w:lineRule="auto" w:before="62" w:after="0"/>
        <w:ind w:left="1282" w:right="0" w:hanging="564"/>
        <w:jc w:val="left"/>
        <w:rPr>
          <w:sz w:val="28"/>
        </w:rPr>
      </w:pPr>
      <w:r>
        <w:rPr>
          <w:b/>
          <w:sz w:val="28"/>
        </w:rPr>
        <w:t>产品合格率</w:t>
      </w:r>
      <w:r>
        <w:rPr>
          <w:spacing w:val="-8"/>
          <w:sz w:val="28"/>
        </w:rPr>
        <w:t>，是指合格产品数量占总产品数量的比例。一般</w:t>
      </w:r>
    </w:p>
    <w:p>
      <w:pPr>
        <w:pStyle w:val="BodyText"/>
        <w:spacing w:before="11"/>
        <w:ind w:left="0"/>
        <w:rPr>
          <w:rFonts w:ascii="仿宋"/>
          <w:sz w:val="15"/>
        </w:rPr>
      </w:pPr>
    </w:p>
    <w:p>
      <w:pPr>
        <w:spacing w:after="0"/>
        <w:rPr>
          <w:rFonts w:ascii="仿宋"/>
          <w:sz w:val="15"/>
        </w:rPr>
        <w:sectPr>
          <w:type w:val="continuous"/>
          <w:pgSz w:w="11910" w:h="16840"/>
          <w:pgMar w:top="1520" w:bottom="1160" w:left="1640" w:right="1540"/>
        </w:sectPr>
      </w:pPr>
    </w:p>
    <w:p>
      <w:pPr>
        <w:pStyle w:val="BodyText"/>
        <w:spacing w:before="62"/>
        <w:rPr>
          <w:rFonts w:ascii="仿宋" w:eastAsia="仿宋" w:hint="eastAsia"/>
        </w:rPr>
      </w:pPr>
      <w:r>
        <w:rPr>
          <w:rFonts w:ascii="仿宋" w:eastAsia="仿宋" w:hint="eastAsia"/>
        </w:rPr>
        <w:t>计算公式为：</w:t>
      </w:r>
    </w:p>
    <w:p>
      <w:pPr>
        <w:pStyle w:val="BodyText"/>
        <w:spacing w:before="6"/>
        <w:ind w:left="0"/>
        <w:rPr>
          <w:rFonts w:ascii="仿宋"/>
          <w:sz w:val="23"/>
        </w:rPr>
      </w:pPr>
    </w:p>
    <w:p>
      <w:pPr>
        <w:spacing w:line="172" w:lineRule="auto" w:before="0"/>
        <w:ind w:left="749" w:right="0" w:firstLine="0"/>
        <w:jc w:val="left"/>
        <w:rPr>
          <w:sz w:val="24"/>
        </w:rPr>
      </w:pPr>
      <w:r>
        <w:rPr/>
        <w:pict>
          <v:line style="position:absolute;mso-position-horizontal-relative:page;mso-position-vertical-relative:paragraph;z-index:-16083456" from="194.103745pt,15.362162pt" to="267.092035pt,15.362162pt" stroked="true" strokeweight=".493922pt" strokecolor="#000000">
            <v:stroke dashstyle="solid"/>
            <w10:wrap type="none"/>
          </v:line>
        </w:pict>
      </w:r>
      <w:r>
        <w:rPr>
          <w:position w:val="-14"/>
          <w:sz w:val="24"/>
        </w:rPr>
        <w:t>产品合格率＝</w:t>
      </w:r>
      <w:r>
        <w:rPr>
          <w:spacing w:val="-55"/>
          <w:position w:val="-14"/>
          <w:sz w:val="24"/>
        </w:rPr>
        <w:t> </w:t>
      </w:r>
      <w:r>
        <w:rPr>
          <w:spacing w:val="-3"/>
          <w:sz w:val="24"/>
        </w:rPr>
        <w:t>合格产品数量</w:t>
      </w:r>
    </w:p>
    <w:p>
      <w:pPr>
        <w:spacing w:line="248" w:lineRule="exact" w:before="0"/>
        <w:ind w:left="2368" w:right="0" w:firstLine="0"/>
        <w:jc w:val="left"/>
        <w:rPr>
          <w:sz w:val="24"/>
        </w:rPr>
      </w:pPr>
      <w:r>
        <w:rPr>
          <w:sz w:val="24"/>
        </w:rPr>
        <w:t>总产品数量</w:t>
      </w:r>
    </w:p>
    <w:p>
      <w:pPr>
        <w:pStyle w:val="BodyText"/>
        <w:ind w:left="0"/>
      </w:pPr>
      <w:r>
        <w:rPr/>
        <w:br w:type="column"/>
      </w:r>
      <w:r>
        <w:rPr/>
      </w:r>
    </w:p>
    <w:p>
      <w:pPr>
        <w:pStyle w:val="BodyText"/>
        <w:spacing w:before="1"/>
        <w:ind w:left="0"/>
        <w:rPr>
          <w:sz w:val="38"/>
        </w:rPr>
      </w:pPr>
    </w:p>
    <w:p>
      <w:pPr>
        <w:spacing w:before="1"/>
        <w:ind w:left="62" w:right="0" w:firstLine="0"/>
        <w:jc w:val="left"/>
        <w:rPr>
          <w:sz w:val="24"/>
        </w:rPr>
      </w:pPr>
      <w:r>
        <w:rPr>
          <w:rFonts w:ascii="Symbol" w:hAnsi="Symbol"/>
          <w:sz w:val="24"/>
        </w:rPr>
        <w:t></w:t>
      </w:r>
      <w:r>
        <w:rPr>
          <w:rFonts w:ascii="Times New Roman" w:hAnsi="Times New Roman"/>
          <w:sz w:val="24"/>
        </w:rPr>
        <w:t> </w:t>
      </w:r>
      <w:r>
        <w:rPr>
          <w:sz w:val="24"/>
        </w:rPr>
        <w:t>100%</w:t>
      </w:r>
    </w:p>
    <w:p>
      <w:pPr>
        <w:spacing w:after="0"/>
        <w:jc w:val="left"/>
        <w:rPr>
          <w:sz w:val="24"/>
        </w:rPr>
        <w:sectPr>
          <w:type w:val="continuous"/>
          <w:pgSz w:w="11910" w:h="16840"/>
          <w:pgMar w:top="1520" w:bottom="1160" w:left="1640" w:right="1540"/>
          <w:cols w:num="2" w:equalWidth="0">
            <w:col w:w="3699" w:space="40"/>
            <w:col w:w="4991"/>
          </w:cols>
        </w:sectPr>
      </w:pPr>
    </w:p>
    <w:p>
      <w:pPr>
        <w:pStyle w:val="BodyText"/>
        <w:spacing w:before="12"/>
        <w:ind w:left="0"/>
        <w:rPr>
          <w:sz w:val="16"/>
        </w:rPr>
      </w:pPr>
    </w:p>
    <w:p>
      <w:pPr>
        <w:pStyle w:val="ListParagraph"/>
        <w:numPr>
          <w:ilvl w:val="0"/>
          <w:numId w:val="6"/>
        </w:numPr>
        <w:tabs>
          <w:tab w:pos="1283" w:val="left" w:leader="none"/>
        </w:tabs>
        <w:spacing w:line="417" w:lineRule="auto" w:before="62" w:after="0"/>
        <w:ind w:left="160" w:right="257" w:firstLine="559"/>
        <w:jc w:val="left"/>
        <w:rPr>
          <w:sz w:val="28"/>
        </w:rPr>
      </w:pPr>
      <w:r>
        <w:rPr>
          <w:b/>
          <w:sz w:val="28"/>
        </w:rPr>
        <w:t>员工流失率</w:t>
      </w:r>
      <w:r>
        <w:rPr>
          <w:spacing w:val="-9"/>
          <w:sz w:val="28"/>
        </w:rPr>
        <w:t>，是指企业一定会计期间内离职员工占员工平</w:t>
      </w:r>
      <w:r>
        <w:rPr>
          <w:spacing w:val="-3"/>
          <w:sz w:val="28"/>
        </w:rPr>
        <w:t>均人数的比例。一般计算公式如下：</w:t>
      </w:r>
    </w:p>
    <w:p>
      <w:pPr>
        <w:spacing w:line="398" w:lineRule="exact" w:before="11"/>
        <w:ind w:left="741" w:right="0" w:firstLine="0"/>
        <w:jc w:val="left"/>
        <w:rPr>
          <w:sz w:val="24"/>
        </w:rPr>
      </w:pPr>
      <w:r>
        <w:rPr/>
        <w:pict>
          <v:line style="position:absolute;mso-position-horizontal-relative:page;mso-position-vertical-relative:paragraph;z-index:-16082944" from="193.524002pt,17.081556pt" to="290.330336pt,17.081556pt" stroked="true" strokeweight=".493922pt" strokecolor="#000000">
            <v:stroke dashstyle="solid"/>
            <w10:wrap type="none"/>
          </v:line>
        </w:pict>
      </w:r>
      <w:r>
        <w:rPr>
          <w:sz w:val="24"/>
        </w:rPr>
        <w:t>员工流失率＝</w:t>
      </w:r>
      <w:r>
        <w:rPr>
          <w:spacing w:val="-68"/>
          <w:sz w:val="24"/>
        </w:rPr>
        <w:t> </w:t>
      </w:r>
      <w:r>
        <w:rPr>
          <w:spacing w:val="-3"/>
          <w:position w:val="15"/>
          <w:sz w:val="24"/>
        </w:rPr>
        <w:t>本期离职员工人数 </w:t>
      </w:r>
      <w:r>
        <w:rPr>
          <w:rFonts w:ascii="Symbol" w:hAnsi="Symbol"/>
          <w:sz w:val="24"/>
        </w:rPr>
        <w:t></w:t>
      </w:r>
      <w:r>
        <w:rPr>
          <w:rFonts w:ascii="Times New Roman" w:hAnsi="Times New Roman"/>
          <w:sz w:val="24"/>
        </w:rPr>
        <w:t> </w:t>
      </w:r>
      <w:r>
        <w:rPr>
          <w:sz w:val="24"/>
        </w:rPr>
        <w:t>100%</w:t>
      </w:r>
    </w:p>
    <w:p>
      <w:pPr>
        <w:spacing w:line="248" w:lineRule="exact" w:before="0"/>
        <w:ind w:left="2475" w:right="0" w:firstLine="0"/>
        <w:jc w:val="left"/>
        <w:rPr>
          <w:sz w:val="24"/>
        </w:rPr>
      </w:pPr>
      <w:r>
        <w:rPr>
          <w:sz w:val="24"/>
        </w:rPr>
        <w:t>员工平均人数</w:t>
      </w:r>
    </w:p>
    <w:p>
      <w:pPr>
        <w:pStyle w:val="BodyText"/>
        <w:spacing w:before="12"/>
        <w:ind w:left="0"/>
        <w:rPr>
          <w:sz w:val="16"/>
        </w:rPr>
      </w:pPr>
    </w:p>
    <w:p>
      <w:pPr>
        <w:pStyle w:val="BodyText"/>
        <w:spacing w:before="62"/>
        <w:ind w:left="719"/>
      </w:pPr>
      <w:r>
        <w:rPr/>
        <w:t>员工保持率＝1－员工流失率 </w:t>
      </w:r>
    </w:p>
    <w:p>
      <w:pPr>
        <w:pStyle w:val="BodyText"/>
        <w:spacing w:before="9"/>
        <w:ind w:left="0"/>
        <w:rPr>
          <w:sz w:val="20"/>
        </w:rPr>
      </w:pPr>
    </w:p>
    <w:p>
      <w:pPr>
        <w:pStyle w:val="ListParagraph"/>
        <w:numPr>
          <w:ilvl w:val="0"/>
          <w:numId w:val="6"/>
        </w:numPr>
        <w:tabs>
          <w:tab w:pos="1283" w:val="left" w:leader="none"/>
        </w:tabs>
        <w:spacing w:line="417" w:lineRule="auto" w:before="0" w:after="0"/>
        <w:ind w:left="160" w:right="257" w:firstLine="559"/>
        <w:jc w:val="both"/>
        <w:rPr>
          <w:sz w:val="28"/>
        </w:rPr>
      </w:pPr>
      <w:r>
        <w:rPr>
          <w:b/>
          <w:sz w:val="28"/>
        </w:rPr>
        <w:t>员工生产率</w:t>
      </w:r>
      <w:r>
        <w:rPr>
          <w:spacing w:val="-9"/>
          <w:sz w:val="28"/>
        </w:rPr>
        <w:t>，是指员工在一定会计期间内创造的劳动成果</w:t>
      </w:r>
      <w:r>
        <w:rPr>
          <w:spacing w:val="-11"/>
          <w:sz w:val="28"/>
        </w:rPr>
        <w:t>与其相应员工数量的比值。该指标可用人均产品生产数量或人均营业</w:t>
      </w:r>
      <w:r>
        <w:rPr>
          <w:spacing w:val="-3"/>
          <w:sz w:val="28"/>
        </w:rPr>
        <w:t>收入进行衡量。一般计算公式如下：</w:t>
      </w:r>
    </w:p>
    <w:p>
      <w:pPr>
        <w:spacing w:line="398" w:lineRule="exact" w:before="11"/>
        <w:ind w:left="749" w:right="0" w:firstLine="0"/>
        <w:jc w:val="left"/>
        <w:rPr>
          <w:sz w:val="24"/>
        </w:rPr>
      </w:pPr>
      <w:r>
        <w:rPr/>
        <w:pict>
          <v:line style="position:absolute;mso-position-horizontal-relative:page;mso-position-vertical-relative:paragraph;z-index:-16082432" from="229.961288pt,17.081581pt" to="326.844134pt,17.081581pt" stroked="true" strokeweight=".493922pt" strokecolor="#000000">
            <v:stroke dashstyle="solid"/>
            <w10:wrap type="none"/>
          </v:line>
        </w:pict>
      </w:r>
      <w:r>
        <w:rPr>
          <w:sz w:val="24"/>
        </w:rPr>
        <w:t>人均产品生产数量＝</w:t>
      </w:r>
      <w:r>
        <w:rPr>
          <w:spacing w:val="-72"/>
          <w:sz w:val="24"/>
        </w:rPr>
        <w:t> </w:t>
      </w:r>
      <w:r>
        <w:rPr>
          <w:position w:val="15"/>
          <w:sz w:val="24"/>
        </w:rPr>
        <w:t>本期产品生产总量</w:t>
      </w:r>
    </w:p>
    <w:p>
      <w:pPr>
        <w:spacing w:line="248" w:lineRule="exact" w:before="0"/>
        <w:ind w:left="280" w:right="1142" w:firstLine="0"/>
        <w:jc w:val="center"/>
        <w:rPr>
          <w:sz w:val="24"/>
        </w:rPr>
      </w:pPr>
      <w:r>
        <w:rPr>
          <w:sz w:val="24"/>
        </w:rPr>
        <w:t>生产人数</w:t>
      </w:r>
    </w:p>
    <w:p>
      <w:pPr>
        <w:pStyle w:val="BodyText"/>
        <w:spacing w:before="9"/>
        <w:ind w:left="0"/>
        <w:rPr>
          <w:sz w:val="22"/>
        </w:rPr>
      </w:pPr>
    </w:p>
    <w:p>
      <w:pPr>
        <w:spacing w:line="398" w:lineRule="exact" w:before="0"/>
        <w:ind w:left="749" w:right="0" w:firstLine="0"/>
        <w:jc w:val="left"/>
        <w:rPr>
          <w:sz w:val="24"/>
        </w:rPr>
      </w:pPr>
      <w:r>
        <w:rPr/>
        <w:pict>
          <v:line style="position:absolute;mso-position-horizontal-relative:page;mso-position-vertical-relative:paragraph;z-index:-16081920" from="206.109482pt,16.531563pt" to="279.117736pt,16.531563pt" stroked="true" strokeweight=".493922pt" strokecolor="#000000">
            <v:stroke dashstyle="solid"/>
            <w10:wrap type="none"/>
          </v:line>
        </w:pict>
      </w:r>
      <w:r>
        <w:rPr>
          <w:sz w:val="24"/>
        </w:rPr>
        <w:t>人均营业收入＝</w:t>
      </w:r>
      <w:r>
        <w:rPr>
          <w:spacing w:val="-66"/>
          <w:sz w:val="24"/>
        </w:rPr>
        <w:t> </w:t>
      </w:r>
      <w:r>
        <w:rPr>
          <w:position w:val="15"/>
          <w:sz w:val="24"/>
        </w:rPr>
        <w:t>本期营业收入</w:t>
      </w:r>
    </w:p>
    <w:p>
      <w:pPr>
        <w:spacing w:line="248" w:lineRule="exact" w:before="0"/>
        <w:ind w:left="2727" w:right="0" w:firstLine="0"/>
        <w:jc w:val="left"/>
        <w:rPr>
          <w:sz w:val="24"/>
        </w:rPr>
      </w:pPr>
      <w:r>
        <w:rPr>
          <w:sz w:val="24"/>
        </w:rPr>
        <w:t>员工人数</w:t>
      </w:r>
    </w:p>
    <w:p>
      <w:pPr>
        <w:pStyle w:val="BodyText"/>
        <w:ind w:left="0"/>
        <w:rPr>
          <w:sz w:val="17"/>
        </w:rPr>
      </w:pPr>
    </w:p>
    <w:p>
      <w:pPr>
        <w:pStyle w:val="ListParagraph"/>
        <w:numPr>
          <w:ilvl w:val="0"/>
          <w:numId w:val="6"/>
        </w:numPr>
        <w:tabs>
          <w:tab w:pos="1283" w:val="left" w:leader="none"/>
        </w:tabs>
        <w:spacing w:line="417" w:lineRule="auto" w:before="61" w:after="0"/>
        <w:ind w:left="160" w:right="255" w:firstLine="559"/>
        <w:jc w:val="left"/>
        <w:rPr>
          <w:sz w:val="28"/>
        </w:rPr>
      </w:pPr>
      <w:r>
        <w:rPr>
          <w:b/>
          <w:sz w:val="28"/>
        </w:rPr>
        <w:t>培训计划完成率</w:t>
      </w:r>
      <w:r>
        <w:rPr>
          <w:spacing w:val="-8"/>
          <w:sz w:val="28"/>
        </w:rPr>
        <w:t>，是指培训计划实际执行的总时数占培训</w:t>
      </w:r>
      <w:r>
        <w:rPr>
          <w:spacing w:val="-4"/>
          <w:sz w:val="28"/>
        </w:rPr>
        <w:t>计划总时数的比例。一般计算公式如下：</w:t>
      </w:r>
    </w:p>
    <w:p>
      <w:pPr>
        <w:spacing w:line="398" w:lineRule="exact" w:before="11"/>
        <w:ind w:left="749" w:right="0" w:firstLine="0"/>
        <w:jc w:val="left"/>
        <w:rPr>
          <w:sz w:val="24"/>
        </w:rPr>
      </w:pPr>
      <w:r>
        <w:rPr/>
        <w:pict>
          <v:line style="position:absolute;mso-position-horizontal-relative:page;mso-position-vertical-relative:paragraph;z-index:-16081408" from="218.140137pt,17.081566pt" to="363.043029pt,17.081566pt" stroked="true" strokeweight=".493922pt" strokecolor="#000000">
            <v:stroke dashstyle="solid"/>
            <w10:wrap type="none"/>
          </v:line>
        </w:pict>
      </w:r>
      <w:r>
        <w:rPr>
          <w:sz w:val="24"/>
        </w:rPr>
        <w:t>培训计划完成率＝</w:t>
      </w:r>
      <w:r>
        <w:rPr>
          <w:spacing w:val="-67"/>
          <w:sz w:val="24"/>
        </w:rPr>
        <w:t> </w:t>
      </w:r>
      <w:r>
        <w:rPr>
          <w:spacing w:val="-4"/>
          <w:position w:val="15"/>
          <w:sz w:val="24"/>
        </w:rPr>
        <w:t>培训计划实际执行的总时数 </w:t>
      </w:r>
      <w:r>
        <w:rPr>
          <w:rFonts w:ascii="Symbol" w:hAnsi="Symbol"/>
          <w:sz w:val="24"/>
        </w:rPr>
        <w:t></w:t>
      </w:r>
      <w:r>
        <w:rPr>
          <w:rFonts w:ascii="Times New Roman" w:hAnsi="Times New Roman"/>
          <w:sz w:val="24"/>
        </w:rPr>
        <w:t> </w:t>
      </w:r>
      <w:r>
        <w:rPr>
          <w:sz w:val="24"/>
        </w:rPr>
        <w:t>100%</w:t>
      </w:r>
    </w:p>
    <w:p>
      <w:pPr>
        <w:spacing w:line="248" w:lineRule="exact" w:before="0"/>
        <w:ind w:left="771" w:right="1142" w:firstLine="0"/>
        <w:jc w:val="center"/>
        <w:rPr>
          <w:sz w:val="24"/>
        </w:rPr>
      </w:pPr>
      <w:r>
        <w:rPr>
          <w:sz w:val="24"/>
        </w:rPr>
        <w:t>培训计划总时数</w:t>
      </w:r>
    </w:p>
    <w:sectPr>
      <w:type w:val="continuous"/>
      <w:pgSz w:w="11910" w:h="16840"/>
      <w:pgMar w:top="1520" w:bottom="1160" w:left="16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6.290009pt;margin-top:782.209961pt;width:23.75pt;height:11pt;mso-position-horizontal-relative:page;mso-position-vertical-relative:page;z-index:-16092672" type="#_x0000_t202" filled="false" stroked="false">
          <v:textbox inset="0,0,0,0">
            <w:txbxContent>
              <w:p>
                <w:pPr>
                  <w:spacing w:line="203" w:lineRule="exact" w:before="0"/>
                  <w:ind w:left="20" w:right="0" w:firstLine="0"/>
                  <w:jc w:val="left"/>
                  <w:rPr>
                    <w:rFonts w:ascii="Calibri"/>
                    <w:sz w:val="18"/>
                  </w:rPr>
                </w:pPr>
                <w:r>
                  <w:rPr>
                    <w:rFonts w:ascii="Calibri"/>
                    <w:sz w:val="18"/>
                  </w:rPr>
                  <w:t>- </w:t>
                </w:r>
                <w:r>
                  <w:rPr/>
                  <w:fldChar w:fldCharType="begin"/>
                </w:r>
                <w:r>
                  <w:rPr>
                    <w:rFonts w:ascii="Calibri"/>
                    <w:sz w:val="18"/>
                  </w:rPr>
                  <w:instrText> PAGE </w:instrText>
                </w:r>
                <w:r>
                  <w:rPr/>
                  <w:fldChar w:fldCharType="separate"/>
                </w:r>
                <w:r>
                  <w:rPr/>
                  <w:t>10</w:t>
                </w:r>
                <w:r>
                  <w:rPr/>
                  <w:fldChar w:fldCharType="end"/>
                </w:r>
                <w:r>
                  <w:rPr>
                    <w:rFonts w:ascii="Calibri"/>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60" w:hanging="424"/>
        <w:jc w:val="left"/>
      </w:pPr>
      <w:rPr>
        <w:rFonts w:hint="default" w:ascii="仿宋" w:hAnsi="仿宋" w:eastAsia="仿宋" w:cs="仿宋"/>
        <w:spacing w:val="0"/>
        <w:w w:val="100"/>
        <w:sz w:val="26"/>
        <w:szCs w:val="26"/>
        <w:lang w:val="en-US" w:eastAsia="zh-CN" w:bidi="ar-SA"/>
      </w:rPr>
    </w:lvl>
    <w:lvl w:ilvl="1">
      <w:start w:val="0"/>
      <w:numFmt w:val="bullet"/>
      <w:lvlText w:val="•"/>
      <w:lvlJc w:val="left"/>
      <w:pPr>
        <w:ind w:left="1016" w:hanging="424"/>
      </w:pPr>
      <w:rPr>
        <w:rFonts w:hint="default"/>
        <w:lang w:val="en-US" w:eastAsia="zh-CN" w:bidi="ar-SA"/>
      </w:rPr>
    </w:lvl>
    <w:lvl w:ilvl="2">
      <w:start w:val="0"/>
      <w:numFmt w:val="bullet"/>
      <w:lvlText w:val="•"/>
      <w:lvlJc w:val="left"/>
      <w:pPr>
        <w:ind w:left="1873" w:hanging="424"/>
      </w:pPr>
      <w:rPr>
        <w:rFonts w:hint="default"/>
        <w:lang w:val="en-US" w:eastAsia="zh-CN" w:bidi="ar-SA"/>
      </w:rPr>
    </w:lvl>
    <w:lvl w:ilvl="3">
      <w:start w:val="0"/>
      <w:numFmt w:val="bullet"/>
      <w:lvlText w:val="•"/>
      <w:lvlJc w:val="left"/>
      <w:pPr>
        <w:ind w:left="2729" w:hanging="424"/>
      </w:pPr>
      <w:rPr>
        <w:rFonts w:hint="default"/>
        <w:lang w:val="en-US" w:eastAsia="zh-CN" w:bidi="ar-SA"/>
      </w:rPr>
    </w:lvl>
    <w:lvl w:ilvl="4">
      <w:start w:val="0"/>
      <w:numFmt w:val="bullet"/>
      <w:lvlText w:val="•"/>
      <w:lvlJc w:val="left"/>
      <w:pPr>
        <w:ind w:left="3586" w:hanging="424"/>
      </w:pPr>
      <w:rPr>
        <w:rFonts w:hint="default"/>
        <w:lang w:val="en-US" w:eastAsia="zh-CN" w:bidi="ar-SA"/>
      </w:rPr>
    </w:lvl>
    <w:lvl w:ilvl="5">
      <w:start w:val="0"/>
      <w:numFmt w:val="bullet"/>
      <w:lvlText w:val="•"/>
      <w:lvlJc w:val="left"/>
      <w:pPr>
        <w:ind w:left="4443" w:hanging="424"/>
      </w:pPr>
      <w:rPr>
        <w:rFonts w:hint="default"/>
        <w:lang w:val="en-US" w:eastAsia="zh-CN" w:bidi="ar-SA"/>
      </w:rPr>
    </w:lvl>
    <w:lvl w:ilvl="6">
      <w:start w:val="0"/>
      <w:numFmt w:val="bullet"/>
      <w:lvlText w:val="•"/>
      <w:lvlJc w:val="left"/>
      <w:pPr>
        <w:ind w:left="5299" w:hanging="424"/>
      </w:pPr>
      <w:rPr>
        <w:rFonts w:hint="default"/>
        <w:lang w:val="en-US" w:eastAsia="zh-CN" w:bidi="ar-SA"/>
      </w:rPr>
    </w:lvl>
    <w:lvl w:ilvl="7">
      <w:start w:val="0"/>
      <w:numFmt w:val="bullet"/>
      <w:lvlText w:val="•"/>
      <w:lvlJc w:val="left"/>
      <w:pPr>
        <w:ind w:left="6156" w:hanging="424"/>
      </w:pPr>
      <w:rPr>
        <w:rFonts w:hint="default"/>
        <w:lang w:val="en-US" w:eastAsia="zh-CN" w:bidi="ar-SA"/>
      </w:rPr>
    </w:lvl>
    <w:lvl w:ilvl="8">
      <w:start w:val="0"/>
      <w:numFmt w:val="bullet"/>
      <w:lvlText w:val="•"/>
      <w:lvlJc w:val="left"/>
      <w:pPr>
        <w:ind w:left="7013" w:hanging="424"/>
      </w:pPr>
      <w:rPr>
        <w:rFonts w:hint="default"/>
        <w:lang w:val="en-US" w:eastAsia="zh-CN" w:bidi="ar-SA"/>
      </w:rPr>
    </w:lvl>
  </w:abstractNum>
  <w:abstractNum w:abstractNumId="4">
    <w:multiLevelType w:val="hybridMultilevel"/>
    <w:lvl w:ilvl="0">
      <w:start w:val="1"/>
      <w:numFmt w:val="decimal"/>
      <w:lvlText w:val="%1."/>
      <w:lvlJc w:val="left"/>
      <w:pPr>
        <w:ind w:left="160" w:hanging="425"/>
        <w:jc w:val="left"/>
      </w:pPr>
      <w:rPr>
        <w:rFonts w:hint="default" w:ascii="仿宋" w:hAnsi="仿宋" w:eastAsia="仿宋" w:cs="仿宋"/>
        <w:spacing w:val="1"/>
        <w:w w:val="99"/>
        <w:sz w:val="26"/>
        <w:szCs w:val="26"/>
        <w:lang w:val="en-US" w:eastAsia="zh-CN" w:bidi="ar-SA"/>
      </w:rPr>
    </w:lvl>
    <w:lvl w:ilvl="1">
      <w:start w:val="0"/>
      <w:numFmt w:val="bullet"/>
      <w:lvlText w:val="•"/>
      <w:lvlJc w:val="left"/>
      <w:pPr>
        <w:ind w:left="1016" w:hanging="425"/>
      </w:pPr>
      <w:rPr>
        <w:rFonts w:hint="default"/>
        <w:lang w:val="en-US" w:eastAsia="zh-CN" w:bidi="ar-SA"/>
      </w:rPr>
    </w:lvl>
    <w:lvl w:ilvl="2">
      <w:start w:val="0"/>
      <w:numFmt w:val="bullet"/>
      <w:lvlText w:val="•"/>
      <w:lvlJc w:val="left"/>
      <w:pPr>
        <w:ind w:left="1873" w:hanging="425"/>
      </w:pPr>
      <w:rPr>
        <w:rFonts w:hint="default"/>
        <w:lang w:val="en-US" w:eastAsia="zh-CN" w:bidi="ar-SA"/>
      </w:rPr>
    </w:lvl>
    <w:lvl w:ilvl="3">
      <w:start w:val="0"/>
      <w:numFmt w:val="bullet"/>
      <w:lvlText w:val="•"/>
      <w:lvlJc w:val="left"/>
      <w:pPr>
        <w:ind w:left="2729" w:hanging="425"/>
      </w:pPr>
      <w:rPr>
        <w:rFonts w:hint="default"/>
        <w:lang w:val="en-US" w:eastAsia="zh-CN" w:bidi="ar-SA"/>
      </w:rPr>
    </w:lvl>
    <w:lvl w:ilvl="4">
      <w:start w:val="0"/>
      <w:numFmt w:val="bullet"/>
      <w:lvlText w:val="•"/>
      <w:lvlJc w:val="left"/>
      <w:pPr>
        <w:ind w:left="3586" w:hanging="425"/>
      </w:pPr>
      <w:rPr>
        <w:rFonts w:hint="default"/>
        <w:lang w:val="en-US" w:eastAsia="zh-CN" w:bidi="ar-SA"/>
      </w:rPr>
    </w:lvl>
    <w:lvl w:ilvl="5">
      <w:start w:val="0"/>
      <w:numFmt w:val="bullet"/>
      <w:lvlText w:val="•"/>
      <w:lvlJc w:val="left"/>
      <w:pPr>
        <w:ind w:left="4443" w:hanging="425"/>
      </w:pPr>
      <w:rPr>
        <w:rFonts w:hint="default"/>
        <w:lang w:val="en-US" w:eastAsia="zh-CN" w:bidi="ar-SA"/>
      </w:rPr>
    </w:lvl>
    <w:lvl w:ilvl="6">
      <w:start w:val="0"/>
      <w:numFmt w:val="bullet"/>
      <w:lvlText w:val="•"/>
      <w:lvlJc w:val="left"/>
      <w:pPr>
        <w:ind w:left="5299" w:hanging="425"/>
      </w:pPr>
      <w:rPr>
        <w:rFonts w:hint="default"/>
        <w:lang w:val="en-US" w:eastAsia="zh-CN" w:bidi="ar-SA"/>
      </w:rPr>
    </w:lvl>
    <w:lvl w:ilvl="7">
      <w:start w:val="0"/>
      <w:numFmt w:val="bullet"/>
      <w:lvlText w:val="•"/>
      <w:lvlJc w:val="left"/>
      <w:pPr>
        <w:ind w:left="6156" w:hanging="425"/>
      </w:pPr>
      <w:rPr>
        <w:rFonts w:hint="default"/>
        <w:lang w:val="en-US" w:eastAsia="zh-CN" w:bidi="ar-SA"/>
      </w:rPr>
    </w:lvl>
    <w:lvl w:ilvl="8">
      <w:start w:val="0"/>
      <w:numFmt w:val="bullet"/>
      <w:lvlText w:val="•"/>
      <w:lvlJc w:val="left"/>
      <w:pPr>
        <w:ind w:left="7013" w:hanging="425"/>
      </w:pPr>
      <w:rPr>
        <w:rFonts w:hint="default"/>
        <w:lang w:val="en-US" w:eastAsia="zh-CN" w:bidi="ar-SA"/>
      </w:rPr>
    </w:lvl>
  </w:abstractNum>
  <w:abstractNum w:abstractNumId="3">
    <w:multiLevelType w:val="hybridMultilevel"/>
    <w:lvl w:ilvl="0">
      <w:start w:val="1"/>
      <w:numFmt w:val="decimal"/>
      <w:lvlText w:val="%1."/>
      <w:lvlJc w:val="left"/>
      <w:pPr>
        <w:ind w:left="160" w:hanging="424"/>
        <w:jc w:val="left"/>
      </w:pPr>
      <w:rPr>
        <w:rFonts w:hint="default" w:ascii="仿宋" w:hAnsi="仿宋" w:eastAsia="仿宋" w:cs="仿宋"/>
        <w:spacing w:val="0"/>
        <w:w w:val="100"/>
        <w:sz w:val="26"/>
        <w:szCs w:val="26"/>
        <w:lang w:val="en-US" w:eastAsia="zh-CN" w:bidi="ar-SA"/>
      </w:rPr>
    </w:lvl>
    <w:lvl w:ilvl="1">
      <w:start w:val="0"/>
      <w:numFmt w:val="bullet"/>
      <w:lvlText w:val="•"/>
      <w:lvlJc w:val="left"/>
      <w:pPr>
        <w:ind w:left="1016" w:hanging="424"/>
      </w:pPr>
      <w:rPr>
        <w:rFonts w:hint="default"/>
        <w:lang w:val="en-US" w:eastAsia="zh-CN" w:bidi="ar-SA"/>
      </w:rPr>
    </w:lvl>
    <w:lvl w:ilvl="2">
      <w:start w:val="0"/>
      <w:numFmt w:val="bullet"/>
      <w:lvlText w:val="•"/>
      <w:lvlJc w:val="left"/>
      <w:pPr>
        <w:ind w:left="1873" w:hanging="424"/>
      </w:pPr>
      <w:rPr>
        <w:rFonts w:hint="default"/>
        <w:lang w:val="en-US" w:eastAsia="zh-CN" w:bidi="ar-SA"/>
      </w:rPr>
    </w:lvl>
    <w:lvl w:ilvl="3">
      <w:start w:val="0"/>
      <w:numFmt w:val="bullet"/>
      <w:lvlText w:val="•"/>
      <w:lvlJc w:val="left"/>
      <w:pPr>
        <w:ind w:left="2729" w:hanging="424"/>
      </w:pPr>
      <w:rPr>
        <w:rFonts w:hint="default"/>
        <w:lang w:val="en-US" w:eastAsia="zh-CN" w:bidi="ar-SA"/>
      </w:rPr>
    </w:lvl>
    <w:lvl w:ilvl="4">
      <w:start w:val="0"/>
      <w:numFmt w:val="bullet"/>
      <w:lvlText w:val="•"/>
      <w:lvlJc w:val="left"/>
      <w:pPr>
        <w:ind w:left="3586" w:hanging="424"/>
      </w:pPr>
      <w:rPr>
        <w:rFonts w:hint="default"/>
        <w:lang w:val="en-US" w:eastAsia="zh-CN" w:bidi="ar-SA"/>
      </w:rPr>
    </w:lvl>
    <w:lvl w:ilvl="5">
      <w:start w:val="0"/>
      <w:numFmt w:val="bullet"/>
      <w:lvlText w:val="•"/>
      <w:lvlJc w:val="left"/>
      <w:pPr>
        <w:ind w:left="4443" w:hanging="424"/>
      </w:pPr>
      <w:rPr>
        <w:rFonts w:hint="default"/>
        <w:lang w:val="en-US" w:eastAsia="zh-CN" w:bidi="ar-SA"/>
      </w:rPr>
    </w:lvl>
    <w:lvl w:ilvl="6">
      <w:start w:val="0"/>
      <w:numFmt w:val="bullet"/>
      <w:lvlText w:val="•"/>
      <w:lvlJc w:val="left"/>
      <w:pPr>
        <w:ind w:left="5299" w:hanging="424"/>
      </w:pPr>
      <w:rPr>
        <w:rFonts w:hint="default"/>
        <w:lang w:val="en-US" w:eastAsia="zh-CN" w:bidi="ar-SA"/>
      </w:rPr>
    </w:lvl>
    <w:lvl w:ilvl="7">
      <w:start w:val="0"/>
      <w:numFmt w:val="bullet"/>
      <w:lvlText w:val="•"/>
      <w:lvlJc w:val="left"/>
      <w:pPr>
        <w:ind w:left="6156" w:hanging="424"/>
      </w:pPr>
      <w:rPr>
        <w:rFonts w:hint="default"/>
        <w:lang w:val="en-US" w:eastAsia="zh-CN" w:bidi="ar-SA"/>
      </w:rPr>
    </w:lvl>
    <w:lvl w:ilvl="8">
      <w:start w:val="0"/>
      <w:numFmt w:val="bullet"/>
      <w:lvlText w:val="•"/>
      <w:lvlJc w:val="left"/>
      <w:pPr>
        <w:ind w:left="7013" w:hanging="424"/>
      </w:pPr>
      <w:rPr>
        <w:rFonts w:hint="default"/>
        <w:lang w:val="en-US" w:eastAsia="zh-CN" w:bidi="ar-SA"/>
      </w:rPr>
    </w:lvl>
  </w:abstractNum>
  <w:abstractNum w:abstractNumId="2">
    <w:multiLevelType w:val="hybridMultilevel"/>
    <w:lvl w:ilvl="0">
      <w:start w:val="1"/>
      <w:numFmt w:val="decimal"/>
      <w:lvlText w:val="%1."/>
      <w:lvlJc w:val="left"/>
      <w:pPr>
        <w:ind w:left="160" w:hanging="424"/>
        <w:jc w:val="left"/>
      </w:pPr>
      <w:rPr>
        <w:rFonts w:hint="default" w:ascii="仿宋" w:hAnsi="仿宋" w:eastAsia="仿宋" w:cs="仿宋"/>
        <w:spacing w:val="0"/>
        <w:w w:val="100"/>
        <w:sz w:val="26"/>
        <w:szCs w:val="26"/>
        <w:lang w:val="en-US" w:eastAsia="zh-CN" w:bidi="ar-SA"/>
      </w:rPr>
    </w:lvl>
    <w:lvl w:ilvl="1">
      <w:start w:val="0"/>
      <w:numFmt w:val="bullet"/>
      <w:lvlText w:val="•"/>
      <w:lvlJc w:val="left"/>
      <w:pPr>
        <w:ind w:left="1016" w:hanging="424"/>
      </w:pPr>
      <w:rPr>
        <w:rFonts w:hint="default"/>
        <w:lang w:val="en-US" w:eastAsia="zh-CN" w:bidi="ar-SA"/>
      </w:rPr>
    </w:lvl>
    <w:lvl w:ilvl="2">
      <w:start w:val="0"/>
      <w:numFmt w:val="bullet"/>
      <w:lvlText w:val="•"/>
      <w:lvlJc w:val="left"/>
      <w:pPr>
        <w:ind w:left="1873" w:hanging="424"/>
      </w:pPr>
      <w:rPr>
        <w:rFonts w:hint="default"/>
        <w:lang w:val="en-US" w:eastAsia="zh-CN" w:bidi="ar-SA"/>
      </w:rPr>
    </w:lvl>
    <w:lvl w:ilvl="3">
      <w:start w:val="0"/>
      <w:numFmt w:val="bullet"/>
      <w:lvlText w:val="•"/>
      <w:lvlJc w:val="left"/>
      <w:pPr>
        <w:ind w:left="2729" w:hanging="424"/>
      </w:pPr>
      <w:rPr>
        <w:rFonts w:hint="default"/>
        <w:lang w:val="en-US" w:eastAsia="zh-CN" w:bidi="ar-SA"/>
      </w:rPr>
    </w:lvl>
    <w:lvl w:ilvl="4">
      <w:start w:val="0"/>
      <w:numFmt w:val="bullet"/>
      <w:lvlText w:val="•"/>
      <w:lvlJc w:val="left"/>
      <w:pPr>
        <w:ind w:left="3586" w:hanging="424"/>
      </w:pPr>
      <w:rPr>
        <w:rFonts w:hint="default"/>
        <w:lang w:val="en-US" w:eastAsia="zh-CN" w:bidi="ar-SA"/>
      </w:rPr>
    </w:lvl>
    <w:lvl w:ilvl="5">
      <w:start w:val="0"/>
      <w:numFmt w:val="bullet"/>
      <w:lvlText w:val="•"/>
      <w:lvlJc w:val="left"/>
      <w:pPr>
        <w:ind w:left="4443" w:hanging="424"/>
      </w:pPr>
      <w:rPr>
        <w:rFonts w:hint="default"/>
        <w:lang w:val="en-US" w:eastAsia="zh-CN" w:bidi="ar-SA"/>
      </w:rPr>
    </w:lvl>
    <w:lvl w:ilvl="6">
      <w:start w:val="0"/>
      <w:numFmt w:val="bullet"/>
      <w:lvlText w:val="•"/>
      <w:lvlJc w:val="left"/>
      <w:pPr>
        <w:ind w:left="5299" w:hanging="424"/>
      </w:pPr>
      <w:rPr>
        <w:rFonts w:hint="default"/>
        <w:lang w:val="en-US" w:eastAsia="zh-CN" w:bidi="ar-SA"/>
      </w:rPr>
    </w:lvl>
    <w:lvl w:ilvl="7">
      <w:start w:val="0"/>
      <w:numFmt w:val="bullet"/>
      <w:lvlText w:val="•"/>
      <w:lvlJc w:val="left"/>
      <w:pPr>
        <w:ind w:left="6156" w:hanging="424"/>
      </w:pPr>
      <w:rPr>
        <w:rFonts w:hint="default"/>
        <w:lang w:val="en-US" w:eastAsia="zh-CN" w:bidi="ar-SA"/>
      </w:rPr>
    </w:lvl>
    <w:lvl w:ilvl="8">
      <w:start w:val="0"/>
      <w:numFmt w:val="bullet"/>
      <w:lvlText w:val="•"/>
      <w:lvlJc w:val="left"/>
      <w:pPr>
        <w:ind w:left="7013" w:hanging="424"/>
      </w:pPr>
      <w:rPr>
        <w:rFonts w:hint="default"/>
        <w:lang w:val="en-US" w:eastAsia="zh-CN" w:bidi="ar-SA"/>
      </w:rPr>
    </w:lvl>
  </w:abstractNum>
  <w:abstractNum w:abstractNumId="1">
    <w:multiLevelType w:val="hybridMultilevel"/>
    <w:lvl w:ilvl="0">
      <w:start w:val="1"/>
      <w:numFmt w:val="decimal"/>
      <w:lvlText w:val="%1."/>
      <w:lvlJc w:val="left"/>
      <w:pPr>
        <w:ind w:left="160" w:hanging="421"/>
        <w:jc w:val="left"/>
      </w:pPr>
      <w:rPr>
        <w:rFonts w:hint="default" w:ascii="仿宋" w:hAnsi="仿宋" w:eastAsia="仿宋" w:cs="仿宋"/>
        <w:spacing w:val="-36"/>
        <w:w w:val="100"/>
        <w:sz w:val="26"/>
        <w:szCs w:val="26"/>
        <w:lang w:val="en-US" w:eastAsia="zh-CN" w:bidi="ar-SA"/>
      </w:rPr>
    </w:lvl>
    <w:lvl w:ilvl="1">
      <w:start w:val="0"/>
      <w:numFmt w:val="bullet"/>
      <w:lvlText w:val="•"/>
      <w:lvlJc w:val="left"/>
      <w:pPr>
        <w:ind w:left="1016" w:hanging="421"/>
      </w:pPr>
      <w:rPr>
        <w:rFonts w:hint="default"/>
        <w:lang w:val="en-US" w:eastAsia="zh-CN" w:bidi="ar-SA"/>
      </w:rPr>
    </w:lvl>
    <w:lvl w:ilvl="2">
      <w:start w:val="0"/>
      <w:numFmt w:val="bullet"/>
      <w:lvlText w:val="•"/>
      <w:lvlJc w:val="left"/>
      <w:pPr>
        <w:ind w:left="1873" w:hanging="421"/>
      </w:pPr>
      <w:rPr>
        <w:rFonts w:hint="default"/>
        <w:lang w:val="en-US" w:eastAsia="zh-CN" w:bidi="ar-SA"/>
      </w:rPr>
    </w:lvl>
    <w:lvl w:ilvl="3">
      <w:start w:val="0"/>
      <w:numFmt w:val="bullet"/>
      <w:lvlText w:val="•"/>
      <w:lvlJc w:val="left"/>
      <w:pPr>
        <w:ind w:left="2729" w:hanging="421"/>
      </w:pPr>
      <w:rPr>
        <w:rFonts w:hint="default"/>
        <w:lang w:val="en-US" w:eastAsia="zh-CN" w:bidi="ar-SA"/>
      </w:rPr>
    </w:lvl>
    <w:lvl w:ilvl="4">
      <w:start w:val="0"/>
      <w:numFmt w:val="bullet"/>
      <w:lvlText w:val="•"/>
      <w:lvlJc w:val="left"/>
      <w:pPr>
        <w:ind w:left="3586" w:hanging="421"/>
      </w:pPr>
      <w:rPr>
        <w:rFonts w:hint="default"/>
        <w:lang w:val="en-US" w:eastAsia="zh-CN" w:bidi="ar-SA"/>
      </w:rPr>
    </w:lvl>
    <w:lvl w:ilvl="5">
      <w:start w:val="0"/>
      <w:numFmt w:val="bullet"/>
      <w:lvlText w:val="•"/>
      <w:lvlJc w:val="left"/>
      <w:pPr>
        <w:ind w:left="4443" w:hanging="421"/>
      </w:pPr>
      <w:rPr>
        <w:rFonts w:hint="default"/>
        <w:lang w:val="en-US" w:eastAsia="zh-CN" w:bidi="ar-SA"/>
      </w:rPr>
    </w:lvl>
    <w:lvl w:ilvl="6">
      <w:start w:val="0"/>
      <w:numFmt w:val="bullet"/>
      <w:lvlText w:val="•"/>
      <w:lvlJc w:val="left"/>
      <w:pPr>
        <w:ind w:left="5299" w:hanging="421"/>
      </w:pPr>
      <w:rPr>
        <w:rFonts w:hint="default"/>
        <w:lang w:val="en-US" w:eastAsia="zh-CN" w:bidi="ar-SA"/>
      </w:rPr>
    </w:lvl>
    <w:lvl w:ilvl="7">
      <w:start w:val="0"/>
      <w:numFmt w:val="bullet"/>
      <w:lvlText w:val="•"/>
      <w:lvlJc w:val="left"/>
      <w:pPr>
        <w:ind w:left="6156" w:hanging="421"/>
      </w:pPr>
      <w:rPr>
        <w:rFonts w:hint="default"/>
        <w:lang w:val="en-US" w:eastAsia="zh-CN" w:bidi="ar-SA"/>
      </w:rPr>
    </w:lvl>
    <w:lvl w:ilvl="8">
      <w:start w:val="0"/>
      <w:numFmt w:val="bullet"/>
      <w:lvlText w:val="•"/>
      <w:lvlJc w:val="left"/>
      <w:pPr>
        <w:ind w:left="7013" w:hanging="421"/>
      </w:pPr>
      <w:rPr>
        <w:rFonts w:hint="default"/>
        <w:lang w:val="en-US" w:eastAsia="zh-CN" w:bidi="ar-SA"/>
      </w:rPr>
    </w:lvl>
  </w:abstractNum>
  <w:abstractNum w:abstractNumId="0">
    <w:multiLevelType w:val="hybridMultilevel"/>
    <w:lvl w:ilvl="0">
      <w:start w:val="1"/>
      <w:numFmt w:val="decimal"/>
      <w:lvlText w:val="%1."/>
      <w:lvlJc w:val="left"/>
      <w:pPr>
        <w:ind w:left="160" w:hanging="424"/>
        <w:jc w:val="left"/>
      </w:pPr>
      <w:rPr>
        <w:rFonts w:hint="default" w:ascii="宋体" w:hAnsi="宋体" w:eastAsia="宋体" w:cs="宋体"/>
        <w:spacing w:val="-99"/>
        <w:w w:val="100"/>
        <w:sz w:val="26"/>
        <w:szCs w:val="26"/>
        <w:lang w:val="en-US" w:eastAsia="zh-CN" w:bidi="ar-SA"/>
      </w:rPr>
    </w:lvl>
    <w:lvl w:ilvl="1">
      <w:start w:val="0"/>
      <w:numFmt w:val="bullet"/>
      <w:lvlText w:val="•"/>
      <w:lvlJc w:val="left"/>
      <w:pPr>
        <w:ind w:left="1016" w:hanging="424"/>
      </w:pPr>
      <w:rPr>
        <w:rFonts w:hint="default"/>
        <w:lang w:val="en-US" w:eastAsia="zh-CN" w:bidi="ar-SA"/>
      </w:rPr>
    </w:lvl>
    <w:lvl w:ilvl="2">
      <w:start w:val="0"/>
      <w:numFmt w:val="bullet"/>
      <w:lvlText w:val="•"/>
      <w:lvlJc w:val="left"/>
      <w:pPr>
        <w:ind w:left="1873" w:hanging="424"/>
      </w:pPr>
      <w:rPr>
        <w:rFonts w:hint="default"/>
        <w:lang w:val="en-US" w:eastAsia="zh-CN" w:bidi="ar-SA"/>
      </w:rPr>
    </w:lvl>
    <w:lvl w:ilvl="3">
      <w:start w:val="0"/>
      <w:numFmt w:val="bullet"/>
      <w:lvlText w:val="•"/>
      <w:lvlJc w:val="left"/>
      <w:pPr>
        <w:ind w:left="2729" w:hanging="424"/>
      </w:pPr>
      <w:rPr>
        <w:rFonts w:hint="default"/>
        <w:lang w:val="en-US" w:eastAsia="zh-CN" w:bidi="ar-SA"/>
      </w:rPr>
    </w:lvl>
    <w:lvl w:ilvl="4">
      <w:start w:val="0"/>
      <w:numFmt w:val="bullet"/>
      <w:lvlText w:val="•"/>
      <w:lvlJc w:val="left"/>
      <w:pPr>
        <w:ind w:left="3586" w:hanging="424"/>
      </w:pPr>
      <w:rPr>
        <w:rFonts w:hint="default"/>
        <w:lang w:val="en-US" w:eastAsia="zh-CN" w:bidi="ar-SA"/>
      </w:rPr>
    </w:lvl>
    <w:lvl w:ilvl="5">
      <w:start w:val="0"/>
      <w:numFmt w:val="bullet"/>
      <w:lvlText w:val="•"/>
      <w:lvlJc w:val="left"/>
      <w:pPr>
        <w:ind w:left="4443" w:hanging="424"/>
      </w:pPr>
      <w:rPr>
        <w:rFonts w:hint="default"/>
        <w:lang w:val="en-US" w:eastAsia="zh-CN" w:bidi="ar-SA"/>
      </w:rPr>
    </w:lvl>
    <w:lvl w:ilvl="6">
      <w:start w:val="0"/>
      <w:numFmt w:val="bullet"/>
      <w:lvlText w:val="•"/>
      <w:lvlJc w:val="left"/>
      <w:pPr>
        <w:ind w:left="5299" w:hanging="424"/>
      </w:pPr>
      <w:rPr>
        <w:rFonts w:hint="default"/>
        <w:lang w:val="en-US" w:eastAsia="zh-CN" w:bidi="ar-SA"/>
      </w:rPr>
    </w:lvl>
    <w:lvl w:ilvl="7">
      <w:start w:val="0"/>
      <w:numFmt w:val="bullet"/>
      <w:lvlText w:val="•"/>
      <w:lvlJc w:val="left"/>
      <w:pPr>
        <w:ind w:left="6156" w:hanging="424"/>
      </w:pPr>
      <w:rPr>
        <w:rFonts w:hint="default"/>
        <w:lang w:val="en-US" w:eastAsia="zh-CN" w:bidi="ar-SA"/>
      </w:rPr>
    </w:lvl>
    <w:lvl w:ilvl="8">
      <w:start w:val="0"/>
      <w:numFmt w:val="bullet"/>
      <w:lvlText w:val="•"/>
      <w:lvlJc w:val="left"/>
      <w:pPr>
        <w:ind w:left="7013" w:hanging="424"/>
      </w:pPr>
      <w:rPr>
        <w:rFonts w:hint="default"/>
        <w:lang w:val="en-US" w:eastAsia="zh-CN"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160"/>
    </w:pPr>
    <w:rPr>
      <w:rFonts w:ascii="宋体" w:hAnsi="宋体" w:eastAsia="宋体" w:cs="宋体"/>
      <w:sz w:val="28"/>
      <w:szCs w:val="28"/>
      <w:lang w:val="en-US" w:eastAsia="zh-CN" w:bidi="ar-SA"/>
    </w:rPr>
  </w:style>
  <w:style w:styleId="Heading1" w:type="paragraph">
    <w:name w:val="Heading 1"/>
    <w:basedOn w:val="Normal"/>
    <w:uiPriority w:val="1"/>
    <w:qFormat/>
    <w:pPr>
      <w:spacing w:before="50"/>
      <w:ind w:left="484"/>
      <w:outlineLvl w:val="1"/>
    </w:pPr>
    <w:rPr>
      <w:rFonts w:ascii="宋体" w:hAnsi="宋体" w:eastAsia="宋体" w:cs="宋体"/>
      <w:b/>
      <w:bCs/>
      <w:sz w:val="36"/>
      <w:szCs w:val="36"/>
      <w:lang w:val="en-US" w:eastAsia="zh-CN" w:bidi="ar-SA"/>
    </w:rPr>
  </w:style>
  <w:style w:styleId="Heading2" w:type="paragraph">
    <w:name w:val="Heading 2"/>
    <w:basedOn w:val="Normal"/>
    <w:uiPriority w:val="1"/>
    <w:qFormat/>
    <w:pPr>
      <w:spacing w:line="358" w:lineRule="exact"/>
      <w:ind w:left="721"/>
      <w:outlineLvl w:val="2"/>
    </w:pPr>
    <w:rPr>
      <w:rFonts w:ascii="仿宋" w:hAnsi="仿宋" w:eastAsia="仿宋" w:cs="仿宋"/>
      <w:b/>
      <w:bCs/>
      <w:sz w:val="28"/>
      <w:szCs w:val="28"/>
      <w:lang w:val="en-US" w:eastAsia="zh-CN" w:bidi="ar-SA"/>
    </w:rPr>
  </w:style>
  <w:style w:styleId="ListParagraph" w:type="paragraph">
    <w:name w:val="List Paragraph"/>
    <w:basedOn w:val="Normal"/>
    <w:uiPriority w:val="1"/>
    <w:qFormat/>
    <w:pPr>
      <w:ind w:left="160" w:right="257" w:firstLine="559"/>
    </w:pPr>
    <w:rPr>
      <w:rFonts w:ascii="仿宋" w:hAnsi="仿宋" w:eastAsia="仿宋" w:cs="仿宋"/>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dc:title>管理会计应用指引第XX00号——绩效管理</dc:title>
  <dcterms:created xsi:type="dcterms:W3CDTF">2022-02-11T13:12:53Z</dcterms:created>
  <dcterms:modified xsi:type="dcterms:W3CDTF">2022-02-11T13:12:53Z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Microsoft® Word 2010</vt:lpwstr>
  </property>
  <property fmtid="{D5CDD505-2E9C-101B-9397-08002B2CF9AE}" pid="4" name="LastSaved">
    <vt:filetime>2022-02-11T00:00:00Z</vt:filetime>
  </property>
</Properties>
</file>