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4"/>
        <w:rPr>
          <w:rFonts w:ascii="黑体" w:eastAsia="黑体" w:hint="eastAsia"/>
        </w:rPr>
      </w:pPr>
      <w:r>
        <w:rPr>
          <w:rFonts w:ascii="黑体" w:eastAsia="黑体" w:hint="eastAsia"/>
        </w:rPr>
        <w:t>附件7：</w:t>
      </w:r>
    </w:p>
    <w:p>
      <w:pPr>
        <w:pStyle w:val="BodyText"/>
        <w:spacing w:before="9"/>
        <w:ind w:left="0"/>
        <w:rPr>
          <w:rFonts w:ascii="黑体"/>
          <w:sz w:val="20"/>
        </w:rPr>
      </w:pPr>
    </w:p>
    <w:p>
      <w:pPr>
        <w:pStyle w:val="BodyText"/>
        <w:spacing w:before="1"/>
        <w:ind w:left="0"/>
        <w:jc w:val="center"/>
      </w:pPr>
      <w:r>
        <w:rPr>
          <w:w w:val="100"/>
        </w:rPr>
        <w:t> </w:t>
      </w:r>
    </w:p>
    <w:p>
      <w:pPr>
        <w:pStyle w:val="Title"/>
      </w:pPr>
      <w:r>
        <w:rPr/>
        <w:t>管理会计应用指引第801号</w:t>
      </w:r>
      <w:r>
        <w:rPr>
          <w:rFonts w:ascii="黑体" w:hAnsi="黑体" w:eastAsia="黑体" w:hint="eastAsia"/>
        </w:rPr>
        <w:t>——</w:t>
      </w:r>
      <w:r>
        <w:rPr/>
        <w:t>企业管理会计报告</w:t>
      </w:r>
      <w:r>
        <w:rPr>
          <w:w w:val="99"/>
        </w:rPr>
        <w:t> </w:t>
      </w:r>
    </w:p>
    <w:p>
      <w:pPr>
        <w:pStyle w:val="BodyText"/>
        <w:ind w:left="0"/>
        <w:rPr>
          <w:b/>
          <w:sz w:val="20"/>
        </w:rPr>
      </w:pPr>
    </w:p>
    <w:p>
      <w:pPr>
        <w:pStyle w:val="BodyText"/>
        <w:ind w:left="0"/>
        <w:rPr>
          <w:b/>
          <w:sz w:val="20"/>
        </w:rPr>
      </w:pPr>
    </w:p>
    <w:p>
      <w:pPr>
        <w:pStyle w:val="BodyText"/>
        <w:spacing w:before="7"/>
        <w:ind w:left="0"/>
        <w:rPr>
          <w:b/>
          <w:sz w:val="20"/>
        </w:rPr>
      </w:pPr>
    </w:p>
    <w:p>
      <w:pPr>
        <w:pStyle w:val="BodyText"/>
        <w:spacing w:before="62"/>
        <w:ind w:left="282" w:right="417"/>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ind w:right="303"/>
      </w:pPr>
      <w:r>
        <w:rPr>
          <w:w w:val="100"/>
        </w:rPr>
        <w:t>    </w:t>
      </w:r>
      <w:r>
        <w:rPr>
          <w:rFonts w:ascii="黑体" w:eastAsia="黑体" w:hint="eastAsia"/>
        </w:rPr>
        <w:t>第一条</w:t>
      </w:r>
      <w:r>
        <w:rPr/>
        <w:t> 为了指导企业管理会计报告的编制、审批、报送、使用等，根据《管理会计基本指引》，制定本指引。 </w:t>
      </w:r>
    </w:p>
    <w:p>
      <w:pPr>
        <w:pStyle w:val="BodyText"/>
        <w:spacing w:line="417" w:lineRule="auto"/>
        <w:ind w:right="256"/>
        <w:jc w:val="both"/>
      </w:pPr>
      <w:r>
        <w:rPr>
          <w:w w:val="100"/>
        </w:rPr>
        <w:t> </w:t>
      </w:r>
      <w:r>
        <w:rPr>
          <w:spacing w:val="-2"/>
          <w:w w:val="100"/>
        </w:rPr>
        <w:t>   </w:t>
      </w:r>
      <w:r>
        <w:rPr>
          <w:rFonts w:ascii="黑体" w:eastAsia="黑体" w:hint="eastAsia"/>
        </w:rPr>
        <w:t>第二条</w:t>
      </w:r>
      <w:r>
        <w:rPr>
          <w:spacing w:val="-3"/>
        </w:rPr>
        <w:t> 企业管理会计报告，是指企业运用管理会计方法，根据</w:t>
      </w:r>
      <w:r>
        <w:rPr>
          <w:spacing w:val="-10"/>
        </w:rPr>
        <w:t>财务和业务的基础信息加工整理形成的，满足企业价值管理和决策支</w:t>
      </w:r>
      <w:r>
        <w:rPr>
          <w:spacing w:val="-3"/>
        </w:rPr>
        <w:t>持需要的内部报告。 </w:t>
      </w:r>
    </w:p>
    <w:p>
      <w:pPr>
        <w:pStyle w:val="BodyText"/>
        <w:spacing w:line="417" w:lineRule="auto"/>
        <w:ind w:right="304"/>
      </w:pPr>
      <w:r>
        <w:rPr>
          <w:w w:val="100"/>
        </w:rPr>
        <w:t>    </w:t>
      </w:r>
      <w:r>
        <w:rPr>
          <w:rFonts w:ascii="黑体" w:eastAsia="黑体" w:hint="eastAsia"/>
        </w:rPr>
        <w:t>第三条</w:t>
      </w:r>
      <w:r>
        <w:rPr/>
        <w:t> 企业管理会计报告的目标是为企业各层级进行规划、决策、控制和评价等管理活动提供有用信息。 </w:t>
      </w:r>
    </w:p>
    <w:p>
      <w:pPr>
        <w:pStyle w:val="BodyText"/>
        <w:spacing w:line="417" w:lineRule="auto"/>
        <w:ind w:right="256"/>
        <w:jc w:val="both"/>
      </w:pPr>
      <w:r>
        <w:rPr>
          <w:w w:val="100"/>
        </w:rPr>
        <w:t> </w:t>
      </w:r>
      <w:r>
        <w:rPr>
          <w:spacing w:val="-2"/>
          <w:w w:val="100"/>
        </w:rPr>
        <w:t>   </w:t>
      </w:r>
      <w:r>
        <w:rPr>
          <w:rFonts w:ascii="黑体" w:eastAsia="黑体" w:hint="eastAsia"/>
          <w:spacing w:val="3"/>
        </w:rPr>
        <w:t>第四条 </w:t>
      </w:r>
      <w:r>
        <w:rPr>
          <w:spacing w:val="-3"/>
        </w:rPr>
        <w:t>企业应建立管理会计报告组织体系，根据需要设置管理</w:t>
      </w:r>
      <w:r>
        <w:rPr>
          <w:spacing w:val="-12"/>
        </w:rPr>
        <w:t>会计报告相关岗位，明确岗位职责。企业各部门都应履行提供管理会</w:t>
      </w:r>
      <w:r>
        <w:rPr>
          <w:spacing w:val="-7"/>
        </w:rPr>
        <w:t>计报告所需信息的责任。 </w:t>
      </w:r>
    </w:p>
    <w:p>
      <w:pPr>
        <w:pStyle w:val="BodyText"/>
        <w:spacing w:line="417" w:lineRule="auto"/>
        <w:ind w:right="304"/>
      </w:pPr>
      <w:r>
        <w:rPr>
          <w:w w:val="100"/>
        </w:rPr>
        <w:t>    </w:t>
      </w:r>
      <w:r>
        <w:rPr>
          <w:rFonts w:ascii="黑体" w:eastAsia="黑体" w:hint="eastAsia"/>
        </w:rPr>
        <w:t>第五条</w:t>
      </w:r>
      <w:r>
        <w:rPr/>
        <w:t> 企业管理会计报告的形式要件包括报告的名称、报告期间或时间、报告对象、报告内容以及报告人等。 </w:t>
      </w:r>
    </w:p>
    <w:p>
      <w:pPr>
        <w:pStyle w:val="BodyText"/>
        <w:spacing w:line="417" w:lineRule="auto"/>
        <w:ind w:right="304"/>
      </w:pPr>
      <w:r>
        <w:rPr>
          <w:w w:val="100"/>
        </w:rPr>
        <w:t>   </w:t>
      </w:r>
      <w:r>
        <w:rPr/>
        <w:t> </w:t>
      </w:r>
      <w:r>
        <w:rPr>
          <w:rFonts w:ascii="黑体" w:eastAsia="黑体" w:hint="eastAsia"/>
        </w:rPr>
        <w:t>第六条</w:t>
      </w:r>
      <w:r>
        <w:rPr/>
        <w:t> 企业管理会计报告的对象是对管理会计信息有需求的各个层级、各个环节的管理者。 </w:t>
      </w:r>
    </w:p>
    <w:p>
      <w:pPr>
        <w:pStyle w:val="BodyText"/>
        <w:spacing w:line="417" w:lineRule="auto"/>
        <w:ind w:right="252"/>
        <w:jc w:val="both"/>
      </w:pPr>
      <w:r>
        <w:rPr>
          <w:w w:val="100"/>
        </w:rPr>
        <w:t> </w:t>
      </w:r>
      <w:r>
        <w:rPr>
          <w:spacing w:val="-2"/>
          <w:w w:val="100"/>
        </w:rPr>
        <w:t>   </w:t>
      </w:r>
      <w:r>
        <w:rPr>
          <w:rFonts w:ascii="黑体" w:eastAsia="黑体" w:hint="eastAsia"/>
        </w:rPr>
        <w:t>第七条</w:t>
      </w:r>
      <w:r>
        <w:rPr>
          <w:spacing w:val="-3"/>
        </w:rPr>
        <w:t> 企业可根据管理的需要和管理会计活动的性质设定报告</w:t>
      </w:r>
      <w:r>
        <w:rPr>
          <w:spacing w:val="-8"/>
        </w:rPr>
        <w:t>期间。一般应以日历期间</w:t>
      </w:r>
      <w:r>
        <w:rPr/>
        <w:t>（</w:t>
      </w:r>
      <w:r>
        <w:rPr>
          <w:spacing w:val="-7"/>
        </w:rPr>
        <w:t>月度、季度、年度</w:t>
      </w:r>
      <w:r>
        <w:rPr>
          <w:spacing w:val="-22"/>
        </w:rPr>
        <w:t>）</w:t>
      </w:r>
      <w:r>
        <w:rPr>
          <w:spacing w:val="-3"/>
        </w:rPr>
        <w:t>作为企业管理会计报告期间，也可根据特定需要设定企业管理会计报告期间。 </w:t>
      </w:r>
    </w:p>
    <w:p>
      <w:pPr>
        <w:spacing w:after="0" w:line="417" w:lineRule="auto"/>
        <w:jc w:val="both"/>
        <w:sectPr>
          <w:footerReference w:type="default" r:id="rId5"/>
          <w:type w:val="continuous"/>
          <w:pgSz w:w="11910" w:h="16840"/>
          <w:pgMar w:footer="1193" w:top="1520" w:bottom="1380" w:left="1680" w:right="1540"/>
          <w:pgNumType w:start="1"/>
        </w:sectPr>
      </w:pPr>
    </w:p>
    <w:p>
      <w:pPr>
        <w:pStyle w:val="BodyText"/>
        <w:spacing w:line="417" w:lineRule="auto" w:before="34"/>
        <w:ind w:right="301"/>
      </w:pPr>
      <w:r>
        <w:rPr>
          <w:w w:val="100"/>
        </w:rPr>
        <w:t>    </w:t>
      </w:r>
      <w:r>
        <w:rPr>
          <w:rFonts w:ascii="黑体" w:eastAsia="黑体" w:hint="eastAsia"/>
        </w:rPr>
        <w:t>第八条</w:t>
      </w:r>
      <w:r>
        <w:rPr/>
        <w:t> 企业管理会计报告的内容应根据管理需要和报告目标而定，易于理解并具有一定灵活性。 </w:t>
      </w:r>
    </w:p>
    <w:p>
      <w:pPr>
        <w:pStyle w:val="BodyText"/>
        <w:spacing w:line="417" w:lineRule="auto"/>
        <w:ind w:right="304"/>
      </w:pPr>
      <w:r>
        <w:rPr>
          <w:w w:val="100"/>
        </w:rPr>
        <w:t>    </w:t>
      </w:r>
      <w:r>
        <w:rPr>
          <w:rFonts w:ascii="黑体" w:eastAsia="黑体" w:hint="eastAsia"/>
        </w:rPr>
        <w:t>第九条</w:t>
      </w:r>
      <w:r>
        <w:rPr/>
        <w:t> 企业管理会计报告的编制、审批、报送、使用等应与企业组织架构相适应。 </w:t>
      </w:r>
    </w:p>
    <w:p>
      <w:pPr>
        <w:pStyle w:val="BodyText"/>
        <w:spacing w:line="358" w:lineRule="exact"/>
      </w:pPr>
      <w:r>
        <w:rPr>
          <w:w w:val="100"/>
        </w:rPr>
        <w:t>   </w:t>
      </w:r>
      <w:r>
        <w:rPr/>
        <w:t> </w:t>
      </w:r>
      <w:r>
        <w:rPr>
          <w:rFonts w:ascii="黑体" w:eastAsia="黑体" w:hint="eastAsia"/>
        </w:rPr>
        <w:t>第十条</w:t>
      </w:r>
      <w:r>
        <w:rPr/>
        <w:t> 企业管理会计报告体系应根据管理活动全过程进行设</w:t>
      </w:r>
    </w:p>
    <w:p>
      <w:pPr>
        <w:pStyle w:val="BodyText"/>
        <w:spacing w:before="9"/>
        <w:ind w:left="0"/>
        <w:rPr>
          <w:sz w:val="20"/>
        </w:rPr>
      </w:pPr>
    </w:p>
    <w:p>
      <w:pPr>
        <w:pStyle w:val="BodyText"/>
        <w:spacing w:before="1"/>
      </w:pPr>
      <w:r>
        <w:rPr/>
        <w:t>计，在管理活动各环节形成基于因果关系链的结果报告和原因报告。 </w:t>
      </w:r>
    </w:p>
    <w:p>
      <w:pPr>
        <w:pStyle w:val="BodyText"/>
        <w:spacing w:before="8"/>
        <w:ind w:left="0"/>
        <w:rPr>
          <w:sz w:val="20"/>
        </w:rPr>
      </w:pPr>
    </w:p>
    <w:p>
      <w:pPr>
        <w:pStyle w:val="BodyText"/>
        <w:spacing w:line="417" w:lineRule="auto" w:before="1"/>
        <w:ind w:right="300"/>
      </w:pPr>
      <w:r>
        <w:rPr>
          <w:b/>
          <w:w w:val="99"/>
        </w:rPr>
        <w:t>    </w:t>
      </w:r>
      <w:r>
        <w:rPr>
          <w:rFonts w:ascii="黑体" w:eastAsia="黑体" w:hint="eastAsia"/>
        </w:rPr>
        <w:t>第十一条</w:t>
      </w:r>
      <w:r>
        <w:rPr/>
        <w:t> 企业管理会计报告体系可按照多种标准进行分类，包括但不限于： </w:t>
      </w:r>
    </w:p>
    <w:p>
      <w:pPr>
        <w:pStyle w:val="BodyText"/>
        <w:spacing w:line="417" w:lineRule="auto"/>
        <w:ind w:right="256"/>
      </w:pPr>
      <w:r>
        <w:rPr>
          <w:w w:val="100"/>
        </w:rPr>
        <w:t> </w:t>
      </w:r>
      <w:r>
        <w:rPr>
          <w:spacing w:val="-2"/>
          <w:w w:val="100"/>
        </w:rPr>
        <w:t>   </w:t>
      </w:r>
      <w:r>
        <w:rPr/>
        <w:t>（</w:t>
      </w:r>
      <w:r>
        <w:rPr>
          <w:spacing w:val="-3"/>
        </w:rPr>
        <w:t>一</w:t>
      </w:r>
      <w:r>
        <w:rPr>
          <w:spacing w:val="-94"/>
        </w:rPr>
        <w:t>）</w:t>
      </w:r>
      <w:r>
        <w:rPr>
          <w:spacing w:val="-3"/>
        </w:rPr>
        <w:t>按照企业管理会计报告使用者所处的管理层级可分为战略层管理会计报告、经营层管理会计报告和业务层管理会计报告；</w:t>
      </w:r>
      <w:r>
        <w:rPr>
          <w:spacing w:val="-2"/>
        </w:rPr>
        <w:t> </w:t>
      </w:r>
      <w:r>
        <w:rPr/>
        <w:t> </w:t>
      </w:r>
    </w:p>
    <w:p>
      <w:pPr>
        <w:pStyle w:val="BodyText"/>
        <w:spacing w:line="417" w:lineRule="auto"/>
        <w:ind w:right="256" w:firstLine="563"/>
      </w:pPr>
      <w:r>
        <w:rPr/>
        <w:t>（二</w:t>
      </w:r>
      <w:r>
        <w:rPr>
          <w:spacing w:val="-99"/>
        </w:rPr>
        <w:t>）</w:t>
      </w:r>
      <w:r>
        <w:rPr>
          <w:spacing w:val="-4"/>
        </w:rPr>
        <w:t>按照企业管理会计报告内容可分为综合企业管理会计报告</w:t>
      </w:r>
      <w:r>
        <w:rPr>
          <w:spacing w:val="-3"/>
        </w:rPr>
        <w:t>和专项企业管理会计报告；  </w:t>
      </w:r>
    </w:p>
    <w:p>
      <w:pPr>
        <w:pStyle w:val="BodyText"/>
        <w:spacing w:line="417" w:lineRule="auto"/>
        <w:ind w:right="162" w:firstLine="563"/>
      </w:pPr>
      <w:r>
        <w:rPr/>
        <w:t>（三）按照管理会计功能可分为管理规划报告、管理决策报告、管理控制报告和管理评价报告；  </w:t>
      </w:r>
    </w:p>
    <w:p>
      <w:pPr>
        <w:pStyle w:val="BodyText"/>
        <w:spacing w:line="417" w:lineRule="auto"/>
        <w:ind w:right="255"/>
      </w:pPr>
      <w:r>
        <w:rPr>
          <w:w w:val="100"/>
        </w:rPr>
        <w:t> </w:t>
      </w:r>
      <w:r>
        <w:rPr>
          <w:spacing w:val="-2"/>
          <w:w w:val="100"/>
        </w:rPr>
        <w:t>   </w:t>
      </w:r>
      <w:r>
        <w:rPr/>
        <w:t>（四</w:t>
      </w:r>
      <w:r>
        <w:rPr>
          <w:spacing w:val="-51"/>
        </w:rPr>
        <w:t>）</w:t>
      </w:r>
      <w:r>
        <w:rPr>
          <w:spacing w:val="-6"/>
        </w:rPr>
        <w:t>按照责任中心可分为投资中心报告、利润中心报告和成本中心报告；</w:t>
      </w:r>
      <w:r>
        <w:rPr/>
        <w:t> </w:t>
      </w:r>
    </w:p>
    <w:p>
      <w:pPr>
        <w:pStyle w:val="BodyText"/>
        <w:ind w:left="691"/>
      </w:pPr>
      <w:r>
        <w:rPr/>
        <w:t>（五）按照报告主体整体性程度可分为整体报告和分部报告。 </w:t>
      </w:r>
    </w:p>
    <w:p>
      <w:pPr>
        <w:pStyle w:val="BodyText"/>
        <w:ind w:left="0"/>
        <w:rPr>
          <w:sz w:val="20"/>
        </w:rPr>
      </w:pPr>
    </w:p>
    <w:p>
      <w:pPr>
        <w:pStyle w:val="BodyText"/>
        <w:ind w:left="0"/>
        <w:rPr>
          <w:sz w:val="20"/>
        </w:rPr>
      </w:pPr>
    </w:p>
    <w:p>
      <w:pPr>
        <w:pStyle w:val="BodyText"/>
        <w:spacing w:before="6"/>
        <w:ind w:left="0"/>
        <w:rPr>
          <w:sz w:val="24"/>
        </w:rPr>
      </w:pPr>
    </w:p>
    <w:p>
      <w:pPr>
        <w:pStyle w:val="BodyText"/>
        <w:spacing w:before="62"/>
        <w:ind w:left="281" w:right="417"/>
        <w:jc w:val="center"/>
        <w:rPr>
          <w:rFonts w:ascii="黑体" w:eastAsia="黑体" w:hint="eastAsia"/>
        </w:rPr>
      </w:pPr>
      <w:r>
        <w:rPr>
          <w:rFonts w:ascii="黑体" w:eastAsia="黑体" w:hint="eastAsia"/>
        </w:rPr>
        <w:t>第二章 战略层管理会计报告</w:t>
      </w:r>
    </w:p>
    <w:p>
      <w:pPr>
        <w:pStyle w:val="BodyText"/>
        <w:spacing w:before="8"/>
        <w:ind w:left="0"/>
        <w:rPr>
          <w:rFonts w:ascii="黑体"/>
          <w:sz w:val="20"/>
        </w:rPr>
      </w:pPr>
    </w:p>
    <w:p>
      <w:pPr>
        <w:pStyle w:val="BodyText"/>
        <w:spacing w:line="417" w:lineRule="auto" w:before="1"/>
        <w:ind w:right="115"/>
      </w:pPr>
      <w:r>
        <w:rPr>
          <w:w w:val="100"/>
        </w:rPr>
        <w:t> </w:t>
      </w:r>
      <w:r>
        <w:rPr>
          <w:spacing w:val="-2"/>
          <w:w w:val="100"/>
        </w:rPr>
        <w:t>   </w:t>
      </w:r>
      <w:r>
        <w:rPr>
          <w:rFonts w:ascii="黑体" w:eastAsia="黑体" w:hint="eastAsia"/>
        </w:rPr>
        <w:t>第十二条</w:t>
      </w:r>
      <w:r>
        <w:rPr>
          <w:spacing w:val="-8"/>
        </w:rPr>
        <w:t> 战略层管理会计报告是为战略层开展战略规划、决策、</w:t>
      </w:r>
      <w:r>
        <w:rPr>
          <w:spacing w:val="-9"/>
        </w:rPr>
        <w:t>控制和评价以及其他方面的管理活动提供相关信息的对内报告。战略</w:t>
      </w:r>
    </w:p>
    <w:p>
      <w:pPr>
        <w:spacing w:after="0" w:line="417" w:lineRule="auto"/>
        <w:sectPr>
          <w:pgSz w:w="11910" w:h="16840"/>
          <w:pgMar w:header="0" w:footer="1193" w:top="1520" w:bottom="1380" w:left="1680" w:right="1540"/>
        </w:sectPr>
      </w:pPr>
    </w:p>
    <w:p>
      <w:pPr>
        <w:pStyle w:val="BodyText"/>
        <w:spacing w:line="417" w:lineRule="auto" w:before="34"/>
        <w:ind w:right="258"/>
      </w:pPr>
      <w:r>
        <w:rPr>
          <w:spacing w:val="-9"/>
        </w:rPr>
        <w:t>层管理会计报告的报告对象是企业的战略层，包括股东大会、董事会</w:t>
      </w:r>
      <w:r>
        <w:rPr>
          <w:spacing w:val="-2"/>
        </w:rPr>
        <w:t>和监事会等。</w:t>
      </w:r>
      <w:r>
        <w:rPr/>
        <w:t> </w:t>
      </w:r>
    </w:p>
    <w:p>
      <w:pPr>
        <w:pStyle w:val="BodyText"/>
        <w:spacing w:line="417" w:lineRule="auto"/>
        <w:ind w:right="253"/>
        <w:jc w:val="both"/>
      </w:pPr>
      <w:r>
        <w:rPr>
          <w:w w:val="100"/>
        </w:rPr>
        <w:t> </w:t>
      </w:r>
      <w:r>
        <w:rPr>
          <w:spacing w:val="-2"/>
          <w:w w:val="100"/>
        </w:rPr>
        <w:t>   </w:t>
      </w:r>
      <w:r>
        <w:rPr>
          <w:rFonts w:ascii="黑体" w:eastAsia="黑体" w:hint="eastAsia"/>
        </w:rPr>
        <w:t>第十三条</w:t>
      </w:r>
      <w:r>
        <w:rPr>
          <w:spacing w:val="-3"/>
        </w:rPr>
        <w:t> 战略层管理会计报告包括但不仅限于战略管理报告、</w:t>
      </w:r>
      <w:r>
        <w:rPr>
          <w:spacing w:val="-11"/>
        </w:rPr>
        <w:t>综合业绩报告、价值创造报告、经营分析报告、风险分析报告、重大事项报告、例外事项报告等。这些报告可独立提交，也可根据不同需</w:t>
      </w:r>
      <w:r>
        <w:rPr>
          <w:spacing w:val="-7"/>
        </w:rPr>
        <w:t>要整合后提交。</w:t>
      </w:r>
      <w:r>
        <w:rPr/>
        <w:t> </w:t>
      </w:r>
    </w:p>
    <w:p>
      <w:pPr>
        <w:pStyle w:val="BodyText"/>
        <w:spacing w:line="417" w:lineRule="auto"/>
        <w:ind w:right="302"/>
      </w:pPr>
      <w:r>
        <w:rPr>
          <w:w w:val="100"/>
        </w:rPr>
        <w:t>    </w:t>
      </w:r>
      <w:r>
        <w:rPr>
          <w:rFonts w:ascii="黑体" w:eastAsia="黑体" w:hint="eastAsia"/>
        </w:rPr>
        <w:t>第十四条</w:t>
      </w:r>
      <w:r>
        <w:rPr/>
        <w:t> 战略管理报告的内容一般包括内外部环境分析、战略选择与目标设定、战略执行及其结果，以及战略评价等。 </w:t>
      </w:r>
    </w:p>
    <w:p>
      <w:pPr>
        <w:pStyle w:val="BodyText"/>
        <w:spacing w:line="417" w:lineRule="auto"/>
        <w:ind w:right="302"/>
      </w:pPr>
      <w:r>
        <w:rPr>
          <w:w w:val="100"/>
        </w:rPr>
        <w:t>   </w:t>
      </w:r>
      <w:r>
        <w:rPr/>
        <w:t> </w:t>
      </w:r>
      <w:r>
        <w:rPr>
          <w:rFonts w:ascii="黑体" w:eastAsia="黑体" w:hint="eastAsia"/>
        </w:rPr>
        <w:t>第十五条</w:t>
      </w:r>
      <w:r>
        <w:rPr/>
        <w:t> 综合业绩报告的内容一般包括关键绩效指标预算及其执行结果、差异分析以及其他重大绩效事项等。 </w:t>
      </w:r>
    </w:p>
    <w:p>
      <w:pPr>
        <w:pStyle w:val="BodyText"/>
        <w:spacing w:line="417" w:lineRule="auto"/>
        <w:ind w:right="302"/>
      </w:pPr>
      <w:r>
        <w:rPr>
          <w:w w:val="100"/>
        </w:rPr>
        <w:t>    </w:t>
      </w:r>
      <w:r>
        <w:rPr>
          <w:rFonts w:ascii="黑体" w:eastAsia="黑体" w:hint="eastAsia"/>
        </w:rPr>
        <w:t>第十六条</w:t>
      </w:r>
      <w:r>
        <w:rPr/>
        <w:t> </w:t>
      </w:r>
      <w:r>
        <w:rPr/>
        <w:t>价值创造报告的内容一般包括价值创造目标、价值驱动的财务因素与非财务因素、内部各业务单元的资源占用与价值贡献，以及提升公司价值的措施等。 </w:t>
      </w:r>
    </w:p>
    <w:p>
      <w:pPr>
        <w:pStyle w:val="BodyText"/>
        <w:spacing w:line="417" w:lineRule="auto"/>
        <w:ind w:right="256"/>
        <w:jc w:val="both"/>
      </w:pPr>
      <w:r>
        <w:rPr>
          <w:w w:val="100"/>
        </w:rPr>
        <w:t>  </w:t>
      </w:r>
      <w:r>
        <w:rPr>
          <w:spacing w:val="-2"/>
          <w:w w:val="100"/>
        </w:rPr>
        <w:t> </w:t>
      </w:r>
      <w:r>
        <w:rPr/>
        <w:t> </w:t>
      </w:r>
      <w:r>
        <w:rPr>
          <w:rFonts w:ascii="黑体" w:eastAsia="黑体" w:hint="eastAsia"/>
        </w:rPr>
        <w:t>第十七条</w:t>
      </w:r>
      <w:r>
        <w:rPr>
          <w:spacing w:val="-3"/>
        </w:rPr>
        <w:t> 经营分析报告的内容一般包括过去经营决策执行情况</w:t>
      </w:r>
      <w:r>
        <w:rPr>
          <w:spacing w:val="-12"/>
        </w:rPr>
        <w:t>回顾、本期经营目标执行的差异及其原因、影响未来经营状况的内外</w:t>
      </w:r>
      <w:r>
        <w:rPr>
          <w:spacing w:val="-3"/>
        </w:rPr>
        <w:t>部环境与主要风险分析、下一期的经营目标及管理措施等。 </w:t>
      </w:r>
    </w:p>
    <w:p>
      <w:pPr>
        <w:pStyle w:val="BodyText"/>
        <w:spacing w:line="417" w:lineRule="auto"/>
        <w:ind w:right="256"/>
        <w:jc w:val="both"/>
      </w:pPr>
      <w:r>
        <w:rPr>
          <w:w w:val="100"/>
        </w:rPr>
        <w:t> </w:t>
      </w:r>
      <w:r>
        <w:rPr>
          <w:spacing w:val="-2"/>
          <w:w w:val="100"/>
        </w:rPr>
        <w:t>   </w:t>
      </w:r>
      <w:r>
        <w:rPr>
          <w:rFonts w:ascii="黑体" w:eastAsia="黑体" w:hint="eastAsia"/>
        </w:rPr>
        <w:t>第十八条</w:t>
      </w:r>
      <w:r>
        <w:rPr>
          <w:spacing w:val="-3"/>
        </w:rPr>
        <w:t> 风险分析报告的内容一般包括企业全面风险管理工作</w:t>
      </w:r>
      <w:r>
        <w:rPr>
          <w:spacing w:val="-10"/>
        </w:rPr>
        <w:t>回顾、内外部风险因素分析、主要</w:t>
      </w:r>
      <w:r>
        <w:rPr>
          <w:color w:val="333333"/>
          <w:spacing w:val="-7"/>
        </w:rPr>
        <w:t>风险识别与评估、风险管理工作计</w:t>
      </w:r>
      <w:r>
        <w:rPr>
          <w:color w:val="333333"/>
          <w:spacing w:val="-6"/>
        </w:rPr>
        <w:t>划等。</w:t>
      </w:r>
      <w:r>
        <w:rPr>
          <w:color w:val="333333"/>
          <w:spacing w:val="-2"/>
        </w:rPr>
        <w:t> </w:t>
      </w:r>
      <w:r>
        <w:rPr/>
        <w:t> </w:t>
      </w:r>
    </w:p>
    <w:p>
      <w:pPr>
        <w:pStyle w:val="BodyText"/>
        <w:spacing w:line="417" w:lineRule="auto"/>
        <w:ind w:right="304"/>
      </w:pPr>
      <w:r>
        <w:rPr>
          <w:w w:val="100"/>
        </w:rPr>
        <w:t>    </w:t>
      </w:r>
      <w:r>
        <w:rPr>
          <w:rFonts w:ascii="黑体" w:eastAsia="黑体" w:hint="eastAsia"/>
        </w:rPr>
        <w:t>第十九条</w:t>
      </w:r>
      <w:r>
        <w:rPr/>
        <w:t> 重大事项报告是针对企业的重大投资项目、重大资本运作、重大融资、重大担保事项、关联交易等事项进行的报告。 </w:t>
      </w:r>
    </w:p>
    <w:p>
      <w:pPr>
        <w:spacing w:after="0" w:line="417" w:lineRule="auto"/>
        <w:sectPr>
          <w:pgSz w:w="11910" w:h="16840"/>
          <w:pgMar w:header="0" w:footer="1193" w:top="1520" w:bottom="1380" w:left="1680" w:right="1540"/>
        </w:sectPr>
      </w:pPr>
    </w:p>
    <w:p>
      <w:pPr>
        <w:pStyle w:val="BodyText"/>
        <w:spacing w:line="417" w:lineRule="auto" w:before="34"/>
        <w:ind w:right="301"/>
      </w:pPr>
      <w:r>
        <w:rPr>
          <w:w w:val="100"/>
        </w:rPr>
        <w:t>    </w:t>
      </w:r>
      <w:r>
        <w:rPr>
          <w:rFonts w:ascii="黑体" w:eastAsia="黑体" w:hint="eastAsia"/>
        </w:rPr>
        <w:t>第二十条</w:t>
      </w:r>
      <w:r>
        <w:rPr/>
        <w:t> 例外事项报告是针对企业发生的管理层变更、股权变更、安全事故、自然灾害等偶发性事项进行的报告。 </w:t>
      </w:r>
    </w:p>
    <w:p>
      <w:pPr>
        <w:pStyle w:val="BodyText"/>
        <w:spacing w:line="417" w:lineRule="auto"/>
        <w:ind w:right="308" w:firstLine="554"/>
      </w:pPr>
      <w:r>
        <w:rPr>
          <w:rFonts w:ascii="黑体" w:eastAsia="黑体" w:hint="eastAsia"/>
        </w:rPr>
        <w:t>第二十一条</w:t>
      </w:r>
      <w:r>
        <w:rPr/>
        <w:t> 战略层管理会计报告应精炼、简洁、易于理解，报告主要结果、主要原因，并提出具体的建议。 </w:t>
      </w:r>
    </w:p>
    <w:p>
      <w:pPr>
        <w:pStyle w:val="BodyText"/>
        <w:ind w:left="0"/>
        <w:rPr>
          <w:sz w:val="20"/>
        </w:rPr>
      </w:pPr>
    </w:p>
    <w:p>
      <w:pPr>
        <w:pStyle w:val="BodyText"/>
        <w:spacing w:before="12"/>
        <w:ind w:left="0"/>
        <w:rPr>
          <w:sz w:val="23"/>
        </w:rPr>
      </w:pPr>
    </w:p>
    <w:p>
      <w:pPr>
        <w:pStyle w:val="BodyText"/>
        <w:spacing w:before="61"/>
        <w:ind w:left="281" w:right="417"/>
        <w:jc w:val="center"/>
        <w:rPr>
          <w:rFonts w:ascii="黑体" w:eastAsia="黑体" w:hint="eastAsia"/>
        </w:rPr>
      </w:pPr>
      <w:r>
        <w:rPr>
          <w:rFonts w:ascii="黑体" w:eastAsia="黑体" w:hint="eastAsia"/>
        </w:rPr>
        <w:t>第三章 经营层管理会计报告</w:t>
      </w:r>
    </w:p>
    <w:p>
      <w:pPr>
        <w:pStyle w:val="BodyText"/>
        <w:spacing w:before="9"/>
        <w:ind w:left="0"/>
        <w:rPr>
          <w:rFonts w:ascii="黑体"/>
          <w:sz w:val="20"/>
        </w:rPr>
      </w:pPr>
    </w:p>
    <w:p>
      <w:pPr>
        <w:pStyle w:val="BodyText"/>
        <w:spacing w:line="417" w:lineRule="auto"/>
        <w:ind w:right="257"/>
        <w:jc w:val="both"/>
      </w:pPr>
      <w:r>
        <w:rPr>
          <w:w w:val="100"/>
        </w:rPr>
        <w:t> </w:t>
      </w:r>
      <w:r>
        <w:rPr>
          <w:spacing w:val="-2"/>
          <w:w w:val="100"/>
        </w:rPr>
        <w:t>   </w:t>
      </w:r>
      <w:r>
        <w:rPr>
          <w:rFonts w:ascii="黑体" w:eastAsia="黑体" w:hint="eastAsia"/>
        </w:rPr>
        <w:t>第二十二条</w:t>
      </w:r>
      <w:r>
        <w:rPr>
          <w:spacing w:val="-3"/>
        </w:rPr>
        <w:t> 经营层管理会计报告是为经营管理层开展与经营管</w:t>
      </w:r>
      <w:r>
        <w:rPr>
          <w:spacing w:val="-9"/>
        </w:rPr>
        <w:t>理目标相关的管理活动提供相关信息的对内报告。经营层管理会计报</w:t>
      </w:r>
      <w:r>
        <w:rPr>
          <w:spacing w:val="-3"/>
        </w:rPr>
        <w:t>告的报告对象是经营管理层。 </w:t>
      </w:r>
    </w:p>
    <w:p>
      <w:pPr>
        <w:pStyle w:val="BodyText"/>
        <w:spacing w:line="417" w:lineRule="auto"/>
        <w:ind w:right="252"/>
        <w:jc w:val="both"/>
      </w:pPr>
      <w:r>
        <w:rPr>
          <w:w w:val="100"/>
        </w:rPr>
        <w:t> </w:t>
      </w:r>
      <w:r>
        <w:rPr>
          <w:spacing w:val="-2"/>
          <w:w w:val="100"/>
        </w:rPr>
        <w:t>   </w:t>
      </w:r>
      <w:r>
        <w:rPr>
          <w:rFonts w:ascii="黑体" w:eastAsia="黑体" w:hint="eastAsia"/>
        </w:rPr>
        <w:t>第二十三条</w:t>
      </w:r>
      <w:r>
        <w:rPr>
          <w:spacing w:val="-3"/>
        </w:rPr>
        <w:t> 经营层管理会计报告主要包括全面预算管理报告、</w:t>
      </w:r>
      <w:r>
        <w:rPr>
          <w:spacing w:val="-11"/>
        </w:rPr>
        <w:t>投资分析报告、项目可行性报告、融资分析报告、盈利分析报告、资</w:t>
      </w:r>
      <w:r>
        <w:rPr>
          <w:spacing w:val="-3"/>
        </w:rPr>
        <w:t>金管理报告、成本管理报告、绩效评价报告等。</w:t>
      </w:r>
      <w:r>
        <w:rPr/>
        <w:t> </w:t>
      </w:r>
    </w:p>
    <w:p>
      <w:pPr>
        <w:pStyle w:val="BodyText"/>
        <w:spacing w:line="417" w:lineRule="auto"/>
        <w:ind w:right="302"/>
      </w:pPr>
      <w:r>
        <w:rPr>
          <w:w w:val="100"/>
        </w:rPr>
        <w:t>    </w:t>
      </w:r>
      <w:r>
        <w:rPr>
          <w:rFonts w:ascii="黑体" w:eastAsia="黑体" w:hint="eastAsia"/>
        </w:rPr>
        <w:t>第二十四条</w:t>
      </w:r>
      <w:r>
        <w:rPr/>
        <w:t> 全面预算管理报告的内容一般包括预算目标制定与分解、预算执行差异分析以及预算考评等。 </w:t>
      </w:r>
    </w:p>
    <w:p>
      <w:pPr>
        <w:pStyle w:val="BodyText"/>
        <w:spacing w:line="417" w:lineRule="auto"/>
        <w:ind w:right="115"/>
      </w:pPr>
      <w:r>
        <w:rPr>
          <w:w w:val="100"/>
        </w:rPr>
        <w:t> </w:t>
      </w:r>
      <w:r>
        <w:rPr>
          <w:spacing w:val="-2"/>
          <w:w w:val="100"/>
        </w:rPr>
        <w:t>   </w:t>
      </w:r>
      <w:r>
        <w:rPr>
          <w:rFonts w:ascii="黑体" w:eastAsia="黑体" w:hint="eastAsia"/>
        </w:rPr>
        <w:t>第二十五条</w:t>
      </w:r>
      <w:r>
        <w:rPr>
          <w:spacing w:val="-8"/>
        </w:rPr>
        <w:t> 投资分析报告的内容一般包括投资对象、投资额度、</w:t>
      </w:r>
      <w:r>
        <w:rPr>
          <w:spacing w:val="-5"/>
        </w:rPr>
        <w:t>投资结构、投资进度、投资效益、投资风险和投资管理建议等。 </w:t>
      </w:r>
    </w:p>
    <w:p>
      <w:pPr>
        <w:pStyle w:val="BodyText"/>
        <w:spacing w:line="417" w:lineRule="auto"/>
        <w:ind w:right="253"/>
        <w:jc w:val="both"/>
      </w:pPr>
      <w:r>
        <w:rPr>
          <w:w w:val="100"/>
        </w:rPr>
        <w:t> </w:t>
      </w:r>
      <w:r>
        <w:rPr>
          <w:spacing w:val="-2"/>
          <w:w w:val="100"/>
        </w:rPr>
        <w:t>   </w:t>
      </w:r>
      <w:r>
        <w:rPr>
          <w:rFonts w:ascii="黑体" w:eastAsia="黑体" w:hint="eastAsia"/>
        </w:rPr>
        <w:t>第二十六条</w:t>
      </w:r>
      <w:r>
        <w:rPr>
          <w:spacing w:val="-3"/>
        </w:rPr>
        <w:t> 项目可行性报告的内容一般包括项目概况、市场预</w:t>
      </w:r>
      <w:r>
        <w:rPr>
          <w:spacing w:val="-11"/>
        </w:rPr>
        <w:t>测、产品方案与生产规模、厂址选择、工艺与组织方案设计、财务评</w:t>
      </w:r>
      <w:r>
        <w:rPr>
          <w:spacing w:val="-3"/>
        </w:rPr>
        <w:t>价、项目风险分析，以及项目可行性研究结论与建议等。 </w:t>
      </w:r>
    </w:p>
    <w:p>
      <w:pPr>
        <w:pStyle w:val="BodyText"/>
        <w:spacing w:line="417" w:lineRule="auto"/>
        <w:ind w:right="258"/>
        <w:jc w:val="both"/>
      </w:pPr>
      <w:r>
        <w:rPr>
          <w:w w:val="100"/>
        </w:rPr>
        <w:t> </w:t>
      </w:r>
      <w:r>
        <w:rPr>
          <w:spacing w:val="-2"/>
          <w:w w:val="100"/>
        </w:rPr>
        <w:t>   </w:t>
      </w:r>
      <w:r>
        <w:rPr>
          <w:rFonts w:ascii="黑体" w:eastAsia="黑体" w:hint="eastAsia"/>
        </w:rPr>
        <w:t>第二十七条</w:t>
      </w:r>
      <w:r>
        <w:rPr>
          <w:spacing w:val="-3"/>
        </w:rPr>
        <w:t> 融资分析报告的内容一般包括融资需求测算、融资</w:t>
      </w:r>
      <w:r>
        <w:rPr>
          <w:spacing w:val="-11"/>
        </w:rPr>
        <w:t>渠道与融资方式分析及选择、资本成本、融资程序、融资风险及其应</w:t>
      </w:r>
      <w:r>
        <w:rPr>
          <w:spacing w:val="-3"/>
        </w:rPr>
        <w:t>对措施和融资管理建议等。 </w:t>
      </w:r>
    </w:p>
    <w:p>
      <w:pPr>
        <w:spacing w:after="0" w:line="417" w:lineRule="auto"/>
        <w:jc w:val="both"/>
        <w:sectPr>
          <w:pgSz w:w="11910" w:h="16840"/>
          <w:pgMar w:header="0" w:footer="1193" w:top="1520" w:bottom="1380" w:left="1680" w:right="1540"/>
        </w:sectPr>
      </w:pPr>
    </w:p>
    <w:p>
      <w:pPr>
        <w:pStyle w:val="BodyText"/>
        <w:spacing w:line="417" w:lineRule="auto" w:before="34"/>
        <w:ind w:right="163"/>
      </w:pPr>
      <w:r>
        <w:rPr>
          <w:w w:val="100"/>
        </w:rPr>
        <w:t>  </w:t>
      </w:r>
      <w:r>
        <w:rPr>
          <w:spacing w:val="-2"/>
          <w:w w:val="100"/>
        </w:rPr>
        <w:t> </w:t>
      </w:r>
      <w:r>
        <w:rPr/>
        <w:t> </w:t>
      </w:r>
      <w:r>
        <w:rPr>
          <w:rFonts w:ascii="黑体" w:eastAsia="黑体" w:hint="eastAsia"/>
        </w:rPr>
        <w:t>第二十八条</w:t>
      </w:r>
      <w:r>
        <w:rPr>
          <w:spacing w:val="-3"/>
        </w:rPr>
        <w:t> 盈利分析报告的内容一般包括盈利目标及其实现程</w:t>
      </w:r>
      <w:r>
        <w:rPr>
          <w:spacing w:val="-4"/>
        </w:rPr>
        <w:t>度、利润的构成及其变动趋势、影响利润的主要因素及其变化情况， </w:t>
      </w:r>
      <w:r>
        <w:rPr>
          <w:spacing w:val="-10"/>
        </w:rPr>
        <w:t>以及提高盈利能力的具体措施等。企业还应对收入和成本进行深入分</w:t>
      </w:r>
      <w:r>
        <w:rPr>
          <w:spacing w:val="-8"/>
        </w:rPr>
        <w:t>析。盈利分析报告可基于企业集团、单个企业，也可基于责任中心、</w:t>
      </w:r>
      <w:r>
        <w:rPr>
          <w:spacing w:val="-3"/>
        </w:rPr>
        <w:t>产品、区域、客户等进行。 </w:t>
      </w:r>
    </w:p>
    <w:p>
      <w:pPr>
        <w:pStyle w:val="BodyText"/>
        <w:spacing w:line="417" w:lineRule="auto"/>
        <w:ind w:right="255"/>
        <w:jc w:val="both"/>
      </w:pPr>
      <w:r>
        <w:rPr>
          <w:w w:val="100"/>
        </w:rPr>
        <w:t> </w:t>
      </w:r>
      <w:r>
        <w:rPr>
          <w:spacing w:val="-2"/>
          <w:w w:val="100"/>
        </w:rPr>
        <w:t>   </w:t>
      </w:r>
      <w:r>
        <w:rPr>
          <w:rFonts w:ascii="黑体" w:eastAsia="黑体" w:hint="eastAsia"/>
        </w:rPr>
        <w:t>第二十九条</w:t>
      </w:r>
      <w:r>
        <w:rPr>
          <w:spacing w:val="-3"/>
        </w:rPr>
        <w:t> 资金管理报告的内容一般包括资金管理目标、主要</w:t>
      </w:r>
      <w:r>
        <w:rPr>
          <w:spacing w:val="-11"/>
        </w:rPr>
        <w:t>流动资金项目如现金、应收票据、应收账款、存货的管理状况、资金</w:t>
      </w:r>
      <w:r>
        <w:rPr>
          <w:spacing w:val="-10"/>
        </w:rPr>
        <w:t>管理存在的问题以及解决措施等。企业集团资金管理报告的内容一般</w:t>
      </w:r>
      <w:r>
        <w:rPr>
          <w:spacing w:val="-6"/>
        </w:rPr>
        <w:t>还包括资金管理模式</w:t>
      </w:r>
      <w:r>
        <w:rPr/>
        <w:t>（</w:t>
      </w:r>
      <w:r>
        <w:rPr>
          <w:spacing w:val="-2"/>
        </w:rPr>
        <w:t>集中管理还是分散管理</w:t>
      </w:r>
      <w:r>
        <w:rPr>
          <w:spacing w:val="-27"/>
        </w:rPr>
        <w:t>）</w:t>
      </w:r>
      <w:r>
        <w:rPr>
          <w:spacing w:val="-9"/>
        </w:rPr>
        <w:t>、资金集中方式、资</w:t>
      </w:r>
      <w:r>
        <w:rPr>
          <w:spacing w:val="-3"/>
        </w:rPr>
        <w:t>金集中程度、内部资金往来等。 </w:t>
      </w:r>
    </w:p>
    <w:p>
      <w:pPr>
        <w:pStyle w:val="BodyText"/>
        <w:spacing w:line="417" w:lineRule="auto"/>
        <w:ind w:right="302"/>
      </w:pPr>
      <w:r>
        <w:rPr>
          <w:w w:val="100"/>
        </w:rPr>
        <w:t>    </w:t>
      </w:r>
      <w:r>
        <w:rPr>
          <w:rFonts w:ascii="黑体" w:eastAsia="黑体" w:hint="eastAsia"/>
        </w:rPr>
        <w:t>第三十条</w:t>
      </w:r>
      <w:r>
        <w:rPr/>
        <w:t> 成本管理报告的内容一般包括成本预算、实际成本及其差异分析，成本差异形成的原因以及改进措施等。 </w:t>
      </w:r>
    </w:p>
    <w:p>
      <w:pPr>
        <w:pStyle w:val="BodyText"/>
        <w:spacing w:line="417" w:lineRule="auto"/>
        <w:ind w:right="302"/>
      </w:pPr>
      <w:r>
        <w:rPr>
          <w:w w:val="100"/>
        </w:rPr>
        <w:t>    </w:t>
      </w:r>
      <w:r>
        <w:rPr>
          <w:rFonts w:ascii="黑体" w:eastAsia="黑体" w:hint="eastAsia"/>
        </w:rPr>
        <w:t>第三十一条</w:t>
      </w:r>
      <w:r>
        <w:rPr/>
        <w:t> 业绩评价报告的内容一般包括绩效目标、关键绩效指标、实际执行结果、差异分析、考评结果，以及相关建议等。 </w:t>
      </w:r>
    </w:p>
    <w:p>
      <w:pPr>
        <w:pStyle w:val="BodyText"/>
        <w:spacing w:line="358" w:lineRule="exact"/>
        <w:ind w:left="674"/>
      </w:pPr>
      <w:r>
        <w:rPr>
          <w:rFonts w:ascii="黑体" w:eastAsia="黑体" w:hint="eastAsia"/>
        </w:rPr>
        <w:t>第三十二条</w:t>
      </w:r>
      <w:r>
        <w:rPr/>
        <w:t> 经营层管理会计报告应做到内容完整、分析深入。 </w:t>
      </w:r>
    </w:p>
    <w:p>
      <w:pPr>
        <w:pStyle w:val="BodyText"/>
        <w:ind w:left="0"/>
        <w:rPr>
          <w:sz w:val="20"/>
        </w:rPr>
      </w:pPr>
    </w:p>
    <w:p>
      <w:pPr>
        <w:pStyle w:val="BodyText"/>
        <w:ind w:left="0"/>
        <w:rPr>
          <w:sz w:val="20"/>
        </w:rPr>
      </w:pPr>
    </w:p>
    <w:p>
      <w:pPr>
        <w:pStyle w:val="BodyText"/>
        <w:spacing w:before="7"/>
        <w:ind w:left="0"/>
        <w:rPr>
          <w:sz w:val="24"/>
        </w:rPr>
      </w:pPr>
    </w:p>
    <w:p>
      <w:pPr>
        <w:pStyle w:val="BodyText"/>
        <w:spacing w:before="62"/>
        <w:ind w:left="281" w:right="417"/>
        <w:jc w:val="center"/>
        <w:rPr>
          <w:rFonts w:ascii="黑体" w:eastAsia="黑体" w:hint="eastAsia"/>
        </w:rPr>
      </w:pPr>
      <w:r>
        <w:rPr>
          <w:rFonts w:ascii="黑体" w:eastAsia="黑体" w:hint="eastAsia"/>
        </w:rPr>
        <w:t>第四章 业务层管理会计报告</w:t>
      </w:r>
    </w:p>
    <w:p>
      <w:pPr>
        <w:pStyle w:val="BodyText"/>
        <w:spacing w:before="8"/>
        <w:ind w:left="0"/>
        <w:rPr>
          <w:rFonts w:ascii="黑体"/>
          <w:sz w:val="20"/>
        </w:rPr>
      </w:pPr>
    </w:p>
    <w:p>
      <w:pPr>
        <w:pStyle w:val="BodyText"/>
        <w:spacing w:line="417" w:lineRule="auto" w:before="1"/>
        <w:ind w:right="302"/>
      </w:pPr>
      <w:r>
        <w:rPr>
          <w:w w:val="100"/>
        </w:rPr>
        <w:t>    </w:t>
      </w:r>
      <w:r>
        <w:rPr>
          <w:rFonts w:ascii="黑体" w:eastAsia="黑体" w:hint="eastAsia"/>
        </w:rPr>
        <w:t>第三十三条</w:t>
      </w:r>
      <w:r>
        <w:rPr/>
        <w:t> 业务层管理会计报告是为企业开展日常业务或作业活动提供相关信息的对内报告。其报告的报告对象是企业的业务部门、职能部门以及车间、班组等。 </w:t>
      </w:r>
    </w:p>
    <w:p>
      <w:pPr>
        <w:pStyle w:val="BodyText"/>
        <w:spacing w:line="417" w:lineRule="auto"/>
        <w:ind w:right="256"/>
      </w:pPr>
      <w:r>
        <w:rPr>
          <w:w w:val="100"/>
        </w:rPr>
        <w:t> </w:t>
      </w:r>
      <w:r>
        <w:rPr>
          <w:spacing w:val="-2"/>
          <w:w w:val="100"/>
        </w:rPr>
        <w:t>   </w:t>
      </w:r>
      <w:r>
        <w:rPr>
          <w:rFonts w:ascii="黑体" w:eastAsia="黑体" w:hint="eastAsia"/>
        </w:rPr>
        <w:t>第三十四条</w:t>
      </w:r>
      <w:r>
        <w:rPr>
          <w:spacing w:val="-3"/>
        </w:rPr>
        <w:t> 业务层管理会计报告应根据企业内部各部门、车间</w:t>
      </w:r>
      <w:r>
        <w:rPr>
          <w:spacing w:val="-9"/>
        </w:rPr>
        <w:t>或班组的核心职能或经营目标进行设计，主要包括研究开发报告、采</w:t>
      </w:r>
    </w:p>
    <w:p>
      <w:pPr>
        <w:spacing w:after="0" w:line="417" w:lineRule="auto"/>
        <w:sectPr>
          <w:pgSz w:w="11910" w:h="16840"/>
          <w:pgMar w:header="0" w:footer="1193" w:top="1520" w:bottom="1380" w:left="1680" w:right="1540"/>
        </w:sectPr>
      </w:pPr>
    </w:p>
    <w:p>
      <w:pPr>
        <w:pStyle w:val="BodyText"/>
        <w:spacing w:line="417" w:lineRule="auto" w:before="34"/>
        <w:ind w:right="253"/>
      </w:pPr>
      <w:r>
        <w:rPr>
          <w:spacing w:val="-10"/>
        </w:rPr>
        <w:t>购业务报告、生产业务报告、配送业务报告、销售业务报告、售后服</w:t>
      </w:r>
      <w:r>
        <w:rPr>
          <w:spacing w:val="-3"/>
        </w:rPr>
        <w:t>务业务报告、人力资源报告等。 </w:t>
      </w:r>
    </w:p>
    <w:p>
      <w:pPr>
        <w:pStyle w:val="BodyText"/>
        <w:spacing w:line="417" w:lineRule="auto"/>
        <w:ind w:right="302"/>
      </w:pPr>
      <w:r>
        <w:rPr>
          <w:w w:val="100"/>
        </w:rPr>
        <w:t>   </w:t>
      </w:r>
      <w:r>
        <w:rPr/>
        <w:t> </w:t>
      </w:r>
      <w:r>
        <w:rPr>
          <w:rFonts w:ascii="黑体" w:eastAsia="黑体" w:hint="eastAsia"/>
        </w:rPr>
        <w:t>第三十五条</w:t>
      </w:r>
      <w:r>
        <w:rPr/>
        <w:t> 研究开发报告的内容一般包括研发背景、主要研发内容、技术方案、研发进度、项目预算等。 </w:t>
      </w:r>
    </w:p>
    <w:p>
      <w:pPr>
        <w:pStyle w:val="BodyText"/>
        <w:spacing w:line="417" w:lineRule="auto"/>
        <w:ind w:right="255"/>
        <w:jc w:val="both"/>
      </w:pPr>
      <w:r>
        <w:rPr>
          <w:w w:val="100"/>
        </w:rPr>
        <w:t> </w:t>
      </w:r>
      <w:r>
        <w:rPr>
          <w:spacing w:val="-2"/>
          <w:w w:val="100"/>
        </w:rPr>
        <w:t>   </w:t>
      </w:r>
      <w:r>
        <w:rPr>
          <w:rFonts w:ascii="黑体" w:eastAsia="黑体" w:hint="eastAsia"/>
        </w:rPr>
        <w:t>第三十六条</w:t>
      </w:r>
      <w:r>
        <w:rPr>
          <w:spacing w:val="-3"/>
        </w:rPr>
        <w:t> 采购业务报告的内容一般包括采购业务预算、采购</w:t>
      </w:r>
      <w:r>
        <w:rPr>
          <w:spacing w:val="-12"/>
        </w:rPr>
        <w:t>业务执行结果、差异分析及改善建议等。采购业务报告要重点反映采</w:t>
      </w:r>
      <w:r>
        <w:rPr>
          <w:spacing w:val="-3"/>
        </w:rPr>
        <w:t>购质量、数量以及时间、价格等方面的内容。 </w:t>
      </w:r>
    </w:p>
    <w:p>
      <w:pPr>
        <w:pStyle w:val="BodyText"/>
        <w:spacing w:line="417" w:lineRule="auto"/>
        <w:ind w:right="256"/>
        <w:jc w:val="both"/>
      </w:pPr>
      <w:r>
        <w:rPr>
          <w:w w:val="100"/>
        </w:rPr>
        <w:t> </w:t>
      </w:r>
      <w:r>
        <w:rPr>
          <w:spacing w:val="-2"/>
          <w:w w:val="100"/>
        </w:rPr>
        <w:t>   </w:t>
      </w:r>
      <w:r>
        <w:rPr>
          <w:rFonts w:ascii="黑体" w:eastAsia="黑体" w:hint="eastAsia"/>
        </w:rPr>
        <w:t>第三十七条</w:t>
      </w:r>
      <w:r>
        <w:rPr>
          <w:spacing w:val="-3"/>
        </w:rPr>
        <w:t> 生产业务报告的内容一般包括生产业务预算、生产</w:t>
      </w:r>
      <w:r>
        <w:rPr>
          <w:spacing w:val="-12"/>
        </w:rPr>
        <w:t>业务执行结果、差异分析及改善建议等。生产业务报告要重点反映生</w:t>
      </w:r>
      <w:r>
        <w:rPr>
          <w:spacing w:val="-3"/>
        </w:rPr>
        <w:t>产成本、生产数量以及产品质量、生产时间等方面的内容。 </w:t>
      </w:r>
    </w:p>
    <w:p>
      <w:pPr>
        <w:pStyle w:val="BodyText"/>
        <w:spacing w:line="417" w:lineRule="auto"/>
        <w:ind w:right="256"/>
        <w:jc w:val="both"/>
      </w:pPr>
      <w:r>
        <w:rPr>
          <w:w w:val="100"/>
        </w:rPr>
        <w:t> </w:t>
      </w:r>
      <w:r>
        <w:rPr>
          <w:spacing w:val="-2"/>
          <w:w w:val="100"/>
        </w:rPr>
        <w:t>   </w:t>
      </w:r>
      <w:r>
        <w:rPr>
          <w:rFonts w:ascii="黑体" w:eastAsia="黑体" w:hint="eastAsia"/>
        </w:rPr>
        <w:t>第三十八条</w:t>
      </w:r>
      <w:r>
        <w:rPr>
          <w:spacing w:val="-3"/>
        </w:rPr>
        <w:t> 配送业务报告的内容一般包括配送业务预算、配送</w:t>
      </w:r>
      <w:r>
        <w:rPr>
          <w:spacing w:val="-12"/>
        </w:rPr>
        <w:t>业务执行结果、差异分析及改善建议等。配送业务报告要重点反映配</w:t>
      </w:r>
      <w:r>
        <w:rPr>
          <w:spacing w:val="-3"/>
        </w:rPr>
        <w:t>送的及时性、准确性以及配送损耗等方面的内容。 </w:t>
      </w:r>
    </w:p>
    <w:p>
      <w:pPr>
        <w:pStyle w:val="BodyText"/>
        <w:spacing w:line="417" w:lineRule="auto"/>
        <w:ind w:right="255"/>
        <w:jc w:val="both"/>
      </w:pPr>
      <w:r>
        <w:rPr>
          <w:w w:val="100"/>
        </w:rPr>
        <w:t>  </w:t>
      </w:r>
      <w:r>
        <w:rPr>
          <w:spacing w:val="-2"/>
          <w:w w:val="100"/>
        </w:rPr>
        <w:t> </w:t>
      </w:r>
      <w:r>
        <w:rPr/>
        <w:t> </w:t>
      </w:r>
      <w:r>
        <w:rPr>
          <w:rFonts w:ascii="黑体" w:eastAsia="黑体" w:hint="eastAsia"/>
        </w:rPr>
        <w:t>第三十九条</w:t>
      </w:r>
      <w:r>
        <w:rPr>
          <w:spacing w:val="-3"/>
        </w:rPr>
        <w:t> 销售业务报告的内容一般包括销售业务预算、销售</w:t>
      </w:r>
      <w:r>
        <w:rPr>
          <w:spacing w:val="-12"/>
        </w:rPr>
        <w:t>业务执行结果、差异分析及改善建议等。销售业务报告要重点反映销</w:t>
      </w:r>
      <w:r>
        <w:rPr>
          <w:spacing w:val="-3"/>
        </w:rPr>
        <w:t>售的数量结构和质量结构等方面的内容。 </w:t>
      </w:r>
    </w:p>
    <w:p>
      <w:pPr>
        <w:pStyle w:val="BodyText"/>
        <w:spacing w:line="417" w:lineRule="auto"/>
        <w:ind w:right="258"/>
      </w:pPr>
      <w:r>
        <w:rPr>
          <w:w w:val="100"/>
        </w:rPr>
        <w:t> </w:t>
      </w:r>
      <w:r>
        <w:rPr>
          <w:spacing w:val="-2"/>
          <w:w w:val="100"/>
        </w:rPr>
        <w:t>   </w:t>
      </w:r>
      <w:r>
        <w:rPr>
          <w:rFonts w:ascii="黑体" w:eastAsia="黑体" w:hint="eastAsia"/>
        </w:rPr>
        <w:t>第四十条</w:t>
      </w:r>
      <w:r>
        <w:rPr>
          <w:spacing w:val="-2"/>
        </w:rPr>
        <w:t> 售后服务业务报告的内容一般包括售后服务业务预算</w:t>
      </w:r>
      <w:r>
        <w:rPr>
          <w:spacing w:val="-12"/>
        </w:rPr>
        <w:t>、售后服务业务执行结果、差异分析及改善建议等。售后服务业务报</w:t>
      </w:r>
      <w:r>
        <w:rPr>
          <w:spacing w:val="-6"/>
        </w:rPr>
        <w:t>告重点反映售后服务的客户满意度等方面的内容。 </w:t>
      </w:r>
    </w:p>
    <w:p>
      <w:pPr>
        <w:pStyle w:val="BodyText"/>
        <w:spacing w:line="417" w:lineRule="auto"/>
        <w:ind w:right="256"/>
        <w:jc w:val="both"/>
      </w:pPr>
      <w:r>
        <w:rPr>
          <w:w w:val="100"/>
        </w:rPr>
        <w:t> </w:t>
      </w:r>
      <w:r>
        <w:rPr>
          <w:spacing w:val="-2"/>
          <w:w w:val="100"/>
        </w:rPr>
        <w:t>   </w:t>
      </w:r>
      <w:r>
        <w:rPr>
          <w:rFonts w:ascii="黑体" w:eastAsia="黑体" w:hint="eastAsia"/>
        </w:rPr>
        <w:t>第四十一条</w:t>
      </w:r>
      <w:r>
        <w:rPr>
          <w:spacing w:val="-3"/>
        </w:rPr>
        <w:t> 人力资源报告的内容一般包括人力资源预算、人力</w:t>
      </w:r>
      <w:r>
        <w:rPr>
          <w:spacing w:val="-12"/>
        </w:rPr>
        <w:t>资源执行结果、差异分析及改善建议等。人力资源报告重点反映人力</w:t>
      </w:r>
      <w:r>
        <w:rPr>
          <w:spacing w:val="-3"/>
        </w:rPr>
        <w:t>资源使用及考核等方面的内容。 </w:t>
      </w:r>
    </w:p>
    <w:p>
      <w:pPr>
        <w:spacing w:after="0" w:line="417" w:lineRule="auto"/>
        <w:jc w:val="both"/>
        <w:sectPr>
          <w:pgSz w:w="11910" w:h="16840"/>
          <w:pgMar w:header="0" w:footer="1193" w:top="1520" w:bottom="1380" w:left="1680" w:right="1540"/>
        </w:sectPr>
      </w:pPr>
    </w:p>
    <w:p>
      <w:pPr>
        <w:pStyle w:val="BodyText"/>
        <w:spacing w:before="34"/>
        <w:ind w:left="547"/>
      </w:pPr>
      <w:r>
        <w:rPr>
          <w:w w:val="100"/>
        </w:rPr>
        <w:t> </w:t>
      </w:r>
      <w:r>
        <w:rPr>
          <w:rFonts w:ascii="黑体" w:eastAsia="黑体" w:hint="eastAsia"/>
        </w:rPr>
        <w:t>第四十二条</w:t>
      </w:r>
      <w:r>
        <w:rPr/>
        <w:t> 业务层管理会计报告应做到内容具体，数据充分。 </w:t>
      </w:r>
    </w:p>
    <w:p>
      <w:pPr>
        <w:pStyle w:val="BodyText"/>
        <w:ind w:left="0"/>
        <w:rPr>
          <w:sz w:val="20"/>
        </w:rPr>
      </w:pPr>
    </w:p>
    <w:p>
      <w:pPr>
        <w:pStyle w:val="BodyText"/>
        <w:ind w:left="0"/>
        <w:rPr>
          <w:sz w:val="20"/>
        </w:rPr>
      </w:pPr>
    </w:p>
    <w:p>
      <w:pPr>
        <w:pStyle w:val="BodyText"/>
        <w:spacing w:before="8"/>
        <w:ind w:left="0"/>
        <w:rPr>
          <w:sz w:val="24"/>
        </w:rPr>
      </w:pPr>
    </w:p>
    <w:p>
      <w:pPr>
        <w:pStyle w:val="BodyText"/>
        <w:spacing w:before="62"/>
        <w:ind w:left="281" w:right="417"/>
        <w:jc w:val="center"/>
        <w:rPr>
          <w:rFonts w:ascii="黑体" w:eastAsia="黑体" w:hint="eastAsia"/>
        </w:rPr>
      </w:pPr>
      <w:r>
        <w:rPr>
          <w:rFonts w:ascii="黑体" w:eastAsia="黑体" w:hint="eastAsia"/>
        </w:rPr>
        <w:t>第五章 企业管理会计报告的流程</w:t>
      </w:r>
    </w:p>
    <w:p>
      <w:pPr>
        <w:pStyle w:val="BodyText"/>
        <w:spacing w:before="9"/>
        <w:ind w:left="0"/>
        <w:rPr>
          <w:rFonts w:ascii="黑体"/>
          <w:sz w:val="20"/>
        </w:rPr>
      </w:pPr>
    </w:p>
    <w:p>
      <w:pPr>
        <w:pStyle w:val="BodyText"/>
        <w:spacing w:line="417" w:lineRule="auto"/>
        <w:ind w:right="303"/>
      </w:pPr>
      <w:r>
        <w:rPr>
          <w:w w:val="100"/>
        </w:rPr>
        <w:t>    </w:t>
      </w:r>
      <w:r>
        <w:rPr>
          <w:rFonts w:ascii="黑体" w:eastAsia="黑体" w:hint="eastAsia"/>
        </w:rPr>
        <w:t>第四十三条</w:t>
      </w:r>
      <w:r>
        <w:rPr/>
        <w:t> 企业管理会计报告流程包括报告的编制、审批、报送、使用、评价等环节。 </w:t>
      </w:r>
    </w:p>
    <w:p>
      <w:pPr>
        <w:pStyle w:val="BodyText"/>
        <w:spacing w:line="417" w:lineRule="auto"/>
        <w:ind w:right="303"/>
      </w:pPr>
      <w:r>
        <w:rPr>
          <w:w w:val="100"/>
        </w:rPr>
        <w:t>    </w:t>
      </w:r>
      <w:r>
        <w:rPr>
          <w:rFonts w:ascii="黑体" w:eastAsia="黑体" w:hint="eastAsia"/>
        </w:rPr>
        <w:t>第四十四条</w:t>
      </w:r>
      <w:r>
        <w:rPr/>
        <w:t> 企业管理会计报告由管理会计信息归集、处理并报送的责任部门编制。 </w:t>
      </w:r>
    </w:p>
    <w:p>
      <w:pPr>
        <w:pStyle w:val="BodyText"/>
        <w:spacing w:line="417" w:lineRule="auto"/>
        <w:ind w:right="301"/>
      </w:pPr>
      <w:r>
        <w:rPr>
          <w:w w:val="100"/>
        </w:rPr>
        <w:t>    </w:t>
      </w:r>
      <w:r>
        <w:rPr>
          <w:rFonts w:ascii="黑体" w:eastAsia="黑体" w:hint="eastAsia"/>
        </w:rPr>
        <w:t>第四十五条</w:t>
      </w:r>
      <w:r>
        <w:rPr/>
        <w:t> 企业应根据报告的内容、重要性和报告对象等，确定不同的审批流程。经审批后的报告方可报出。 </w:t>
      </w:r>
    </w:p>
    <w:p>
      <w:pPr>
        <w:pStyle w:val="BodyText"/>
        <w:spacing w:line="417" w:lineRule="auto"/>
        <w:ind w:right="255"/>
        <w:jc w:val="both"/>
      </w:pPr>
      <w:r>
        <w:rPr>
          <w:w w:val="100"/>
        </w:rPr>
        <w:t> </w:t>
      </w:r>
      <w:r>
        <w:rPr>
          <w:spacing w:val="-2"/>
          <w:w w:val="100"/>
        </w:rPr>
        <w:t>   </w:t>
      </w:r>
      <w:r>
        <w:rPr>
          <w:rFonts w:ascii="黑体" w:eastAsia="黑体" w:hint="eastAsia"/>
        </w:rPr>
        <w:t>第四十六条</w:t>
      </w:r>
      <w:r>
        <w:rPr>
          <w:spacing w:val="-3"/>
        </w:rPr>
        <w:t> 企业应合理设计报告报送路径，确保企业管理会计</w:t>
      </w:r>
      <w:r>
        <w:rPr>
          <w:spacing w:val="-12"/>
        </w:rPr>
        <w:t>报告及时、有效地送达报告对象。企业管理会计报告可以根据报告性</w:t>
      </w:r>
      <w:r>
        <w:rPr>
          <w:spacing w:val="-3"/>
        </w:rPr>
        <w:t>质、管理需要进行逐级报送或直接报送。</w:t>
      </w:r>
      <w:r>
        <w:rPr/>
        <w:t> </w:t>
      </w:r>
    </w:p>
    <w:p>
      <w:pPr>
        <w:pStyle w:val="BodyText"/>
        <w:spacing w:line="417" w:lineRule="auto"/>
        <w:ind w:right="303"/>
      </w:pPr>
      <w:r>
        <w:rPr>
          <w:w w:val="100"/>
        </w:rPr>
        <w:t>    </w:t>
      </w:r>
      <w:r>
        <w:rPr>
          <w:rFonts w:ascii="黑体" w:eastAsia="黑体" w:hint="eastAsia"/>
        </w:rPr>
        <w:t>第四十七条</w:t>
      </w:r>
      <w:r>
        <w:rPr/>
        <w:t> 企业应建立管理会计报告使用的授权制度，报告使用人应在权限范围内使用企业管理会计报告。 </w:t>
      </w:r>
    </w:p>
    <w:p>
      <w:pPr>
        <w:pStyle w:val="BodyText"/>
        <w:spacing w:line="417" w:lineRule="auto"/>
        <w:ind w:right="301"/>
      </w:pPr>
      <w:r>
        <w:rPr>
          <w:w w:val="100"/>
        </w:rPr>
        <w:t>    </w:t>
      </w:r>
      <w:r>
        <w:rPr>
          <w:rFonts w:ascii="黑体" w:eastAsia="黑体" w:hint="eastAsia"/>
        </w:rPr>
        <w:t>第四十八条</w:t>
      </w:r>
      <w:r>
        <w:rPr/>
        <w:t> 企业应对管理会计报告的质量、传递的及时性、保密情况等进行评价，并将评价结果与绩效考核挂钩。 </w:t>
      </w:r>
    </w:p>
    <w:p>
      <w:pPr>
        <w:pStyle w:val="BodyText"/>
        <w:spacing w:line="417" w:lineRule="auto"/>
        <w:ind w:right="257"/>
        <w:jc w:val="both"/>
      </w:pPr>
      <w:r>
        <w:rPr>
          <w:w w:val="100"/>
        </w:rPr>
        <w:t>  </w:t>
      </w:r>
      <w:r>
        <w:rPr>
          <w:spacing w:val="-2"/>
          <w:w w:val="100"/>
        </w:rPr>
        <w:t> </w:t>
      </w:r>
      <w:r>
        <w:rPr/>
        <w:t> </w:t>
      </w:r>
      <w:r>
        <w:rPr>
          <w:rFonts w:ascii="黑体" w:eastAsia="黑体" w:hint="eastAsia"/>
        </w:rPr>
        <w:t>第四十九条</w:t>
      </w:r>
      <w:r>
        <w:rPr>
          <w:spacing w:val="-3"/>
        </w:rPr>
        <w:t> 企业应当充分利用信息技术，强化管理会计报告及</w:t>
      </w:r>
      <w:r>
        <w:rPr>
          <w:spacing w:val="-10"/>
        </w:rPr>
        <w:t>相关信息集成和共享，将管理会计报告的编制、审批、报送和使用等</w:t>
      </w:r>
      <w:r>
        <w:rPr>
          <w:spacing w:val="-7"/>
        </w:rPr>
        <w:t>纳入企业统一信息平台。 </w:t>
      </w:r>
    </w:p>
    <w:p>
      <w:pPr>
        <w:pStyle w:val="BodyText"/>
        <w:spacing w:line="417" w:lineRule="auto"/>
        <w:ind w:right="254"/>
        <w:jc w:val="both"/>
      </w:pPr>
      <w:r>
        <w:rPr>
          <w:w w:val="100"/>
        </w:rPr>
        <w:t> </w:t>
      </w:r>
      <w:r>
        <w:rPr>
          <w:spacing w:val="-2"/>
          <w:w w:val="100"/>
        </w:rPr>
        <w:t>   </w:t>
      </w:r>
      <w:r>
        <w:rPr>
          <w:rFonts w:ascii="黑体" w:eastAsia="黑体" w:hint="eastAsia"/>
        </w:rPr>
        <w:t>第五十条</w:t>
      </w:r>
      <w:r>
        <w:rPr>
          <w:spacing w:val="-3"/>
        </w:rPr>
        <w:t> 企业应定期根据管理会计报告使用效果以及内外部环</w:t>
      </w:r>
      <w:r>
        <w:rPr>
          <w:spacing w:val="-9"/>
        </w:rPr>
        <w:t>境变化对管理会计报告体系、内容以及编制、审批、报送、使用等进</w:t>
      </w:r>
      <w:r>
        <w:rPr>
          <w:spacing w:val="-1"/>
        </w:rPr>
        <w:t>行优化。</w:t>
      </w:r>
      <w:r>
        <w:rPr/>
        <w:t> </w:t>
      </w:r>
    </w:p>
    <w:p>
      <w:pPr>
        <w:spacing w:after="0" w:line="417" w:lineRule="auto"/>
        <w:jc w:val="both"/>
        <w:sectPr>
          <w:pgSz w:w="11910" w:h="16840"/>
          <w:pgMar w:header="0" w:footer="1193" w:top="1520" w:bottom="1380" w:left="1680" w:right="1540"/>
        </w:sectPr>
      </w:pPr>
    </w:p>
    <w:p>
      <w:pPr>
        <w:pStyle w:val="BodyText"/>
        <w:spacing w:line="417" w:lineRule="auto" w:before="34"/>
        <w:ind w:right="289" w:firstLine="571"/>
      </w:pPr>
      <w:r>
        <w:rPr>
          <w:rFonts w:ascii="黑体" w:eastAsia="黑体" w:hint="eastAsia"/>
        </w:rPr>
        <w:t>第五十一条</w:t>
      </w:r>
      <w:r>
        <w:rPr/>
        <w:t> 企业管理会计报告属内部报告，应在允许的范围内传递和使用。相关人员应遵守保密规定。 </w:t>
      </w:r>
    </w:p>
    <w:p>
      <w:pPr>
        <w:pStyle w:val="BodyText"/>
        <w:ind w:left="0"/>
        <w:rPr>
          <w:sz w:val="20"/>
        </w:rPr>
      </w:pPr>
    </w:p>
    <w:p>
      <w:pPr>
        <w:pStyle w:val="BodyText"/>
        <w:spacing w:before="12"/>
        <w:ind w:left="0"/>
        <w:rPr>
          <w:sz w:val="23"/>
        </w:rPr>
      </w:pPr>
    </w:p>
    <w:p>
      <w:pPr>
        <w:pStyle w:val="BodyText"/>
        <w:spacing w:before="61"/>
        <w:ind w:left="282" w:right="417"/>
        <w:jc w:val="center"/>
        <w:rPr>
          <w:rFonts w:ascii="黑体" w:eastAsia="黑体" w:hint="eastAsia"/>
        </w:rPr>
      </w:pPr>
      <w:r>
        <w:rPr>
          <w:rFonts w:ascii="黑体" w:eastAsia="黑体" w:hint="eastAsia"/>
        </w:rPr>
        <w:t>第六章 附 则</w:t>
      </w:r>
    </w:p>
    <w:p>
      <w:pPr>
        <w:pStyle w:val="BodyText"/>
        <w:spacing w:before="9"/>
        <w:ind w:left="0"/>
        <w:rPr>
          <w:rFonts w:ascii="黑体"/>
          <w:sz w:val="20"/>
        </w:rPr>
      </w:pPr>
    </w:p>
    <w:p>
      <w:pPr>
        <w:pStyle w:val="BodyText"/>
      </w:pPr>
      <w:r>
        <w:rPr>
          <w:w w:val="100"/>
        </w:rPr>
        <w:t>    </w:t>
      </w:r>
      <w:r>
        <w:rPr>
          <w:rFonts w:ascii="黑体" w:eastAsia="黑体" w:hint="eastAsia"/>
        </w:rPr>
        <w:t>第五十二条</w:t>
      </w:r>
      <w:r>
        <w:rPr/>
        <w:t> 本指引由财政部负责解释。 </w:t>
      </w:r>
    </w:p>
    <w:sectPr>
      <w:pgSz w:w="11910" w:h="16840"/>
      <w:pgMar w:header="0" w:footer="1193" w:top="1520" w:bottom="13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9.570007pt;margin-top:771.289978pt;width:19.2pt;height:11pt;mso-position-horizontal-relative:page;mso-position-vertical-relative:page;z-index:-15801344" type="#_x0000_t202" filled="false" stroked="false">
          <v:textbox inset="0,0,0,0">
            <w:txbxContent>
              <w:p>
                <w:pPr>
                  <w:spacing w:line="203" w:lineRule="exact" w:before="0"/>
                  <w:ind w:left="20" w:right="0" w:firstLine="0"/>
                  <w:jc w:val="left"/>
                  <w:rPr>
                    <w:rFonts w:ascii="Calibri"/>
                    <w:sz w:val="18"/>
                  </w:rPr>
                </w:pPr>
                <w:r>
                  <w:rPr>
                    <w:rFonts w:ascii="Calibri"/>
                    <w:sz w:val="18"/>
                  </w:rPr>
                  <w:t>- </w:t>
                </w:r>
                <w:r>
                  <w:rPr/>
                  <w:fldChar w:fldCharType="begin"/>
                </w:r>
                <w:r>
                  <w:rPr>
                    <w:rFonts w:ascii="Calibri"/>
                    <w:sz w:val="18"/>
                  </w:rPr>
                  <w:instrText> PAGE </w:instrText>
                </w:r>
                <w:r>
                  <w:rPr/>
                  <w:fldChar w:fldCharType="separate"/>
                </w:r>
                <w:r>
                  <w:rPr/>
                  <w:t>1</w:t>
                </w:r>
                <w:r>
                  <w:rPr/>
                  <w:fldChar w:fldCharType="end"/>
                </w:r>
                <w:r>
                  <w:rPr>
                    <w:rFonts w:ascii="Calibri"/>
                    <w:sz w:val="18"/>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20"/>
    </w:pPr>
    <w:rPr>
      <w:rFonts w:ascii="宋体" w:hAnsi="宋体" w:eastAsia="宋体" w:cs="宋体"/>
      <w:sz w:val="28"/>
      <w:szCs w:val="28"/>
      <w:lang w:val="en-US" w:eastAsia="zh-CN" w:bidi="ar-SA"/>
    </w:rPr>
  </w:style>
  <w:style w:styleId="Title" w:type="paragraph">
    <w:name w:val="Title"/>
    <w:basedOn w:val="Normal"/>
    <w:uiPriority w:val="1"/>
    <w:qFormat/>
    <w:pPr>
      <w:spacing w:before="214"/>
      <w:ind w:left="459" w:right="417"/>
      <w:jc w:val="center"/>
    </w:pPr>
    <w:rPr>
      <w:rFonts w:ascii="宋体" w:hAnsi="宋体" w:eastAsia="宋体" w:cs="宋体"/>
      <w:b/>
      <w:bCs/>
      <w:sz w:val="36"/>
      <w:szCs w:val="36"/>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ykz</dc:creator>
  <dc:title>附件7：</dc:title>
  <dcterms:created xsi:type="dcterms:W3CDTF">2022-02-11T13:12:55Z</dcterms:created>
  <dcterms:modified xsi:type="dcterms:W3CDTF">2022-02-11T13:12:55Z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Microsoft® Word 2010</vt:lpwstr>
  </property>
  <property fmtid="{D5CDD505-2E9C-101B-9397-08002B2CF9AE}" pid="4" name="LastSaved">
    <vt:filetime>2022-02-11T00:00:00Z</vt:filetime>
  </property>
</Properties>
</file>