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D0" w:rsidRDefault="00AF74A8">
      <w:pPr>
        <w:jc w:val="center"/>
        <w:rPr>
          <w:rFonts w:ascii="黑体" w:eastAsia="黑体" w:hAnsi="黑体"/>
          <w:b/>
          <w:color w:val="auto"/>
          <w:sz w:val="44"/>
          <w:szCs w:val="36"/>
        </w:rPr>
      </w:pPr>
      <w:bookmarkStart w:id="0" w:name="_Toc430250644"/>
      <w:bookmarkStart w:id="1" w:name="_Toc430676916"/>
      <w:bookmarkStart w:id="2" w:name="_Toc420598113"/>
      <w:bookmarkStart w:id="3" w:name="_Toc420593626"/>
      <w:bookmarkStart w:id="4" w:name="_Toc430249741"/>
      <w:bookmarkStart w:id="5" w:name="_Toc414633737"/>
      <w:bookmarkStart w:id="6" w:name="_Toc430960225"/>
      <w:r>
        <w:rPr>
          <w:rFonts w:ascii="黑体" w:eastAsia="黑体" w:hAnsi="黑体" w:hint="eastAsia"/>
          <w:b/>
          <w:color w:val="auto"/>
          <w:sz w:val="44"/>
          <w:szCs w:val="36"/>
        </w:rPr>
        <w:t>地方</w:t>
      </w:r>
      <w:r w:rsidR="00BC0B2A" w:rsidRPr="00816A42">
        <w:rPr>
          <w:rFonts w:ascii="黑体" w:eastAsia="黑体" w:hAnsi="黑体" w:hint="eastAsia"/>
          <w:b/>
          <w:color w:val="auto"/>
          <w:sz w:val="44"/>
          <w:szCs w:val="36"/>
        </w:rPr>
        <w:t>政府综合财务报告</w:t>
      </w:r>
    </w:p>
    <w:p w:rsidR="00816A42" w:rsidRPr="00816A42" w:rsidRDefault="00BC0B2A">
      <w:pPr>
        <w:jc w:val="center"/>
        <w:rPr>
          <w:rFonts w:ascii="黑体" w:eastAsia="黑体" w:hAnsi="黑体"/>
          <w:b/>
          <w:color w:val="auto"/>
          <w:sz w:val="44"/>
          <w:szCs w:val="36"/>
        </w:rPr>
      </w:pPr>
      <w:r w:rsidRPr="00816A42">
        <w:rPr>
          <w:rFonts w:ascii="黑体" w:eastAsia="黑体" w:hAnsi="黑体" w:hint="eastAsia"/>
          <w:b/>
          <w:color w:val="auto"/>
          <w:sz w:val="44"/>
          <w:szCs w:val="36"/>
        </w:rPr>
        <w:t>合并</w:t>
      </w:r>
      <w:r w:rsidR="00792AD0">
        <w:rPr>
          <w:rFonts w:ascii="黑体" w:eastAsia="黑体" w:hAnsi="黑体" w:hint="eastAsia"/>
          <w:b/>
          <w:color w:val="auto"/>
          <w:sz w:val="44"/>
          <w:szCs w:val="36"/>
        </w:rPr>
        <w:t>编制</w:t>
      </w:r>
      <w:r w:rsidR="002F007B">
        <w:rPr>
          <w:rFonts w:ascii="黑体" w:eastAsia="黑体" w:hAnsi="黑体" w:hint="eastAsia"/>
          <w:b/>
          <w:color w:val="auto"/>
          <w:sz w:val="44"/>
          <w:szCs w:val="36"/>
        </w:rPr>
        <w:t>操作</w:t>
      </w:r>
      <w:r w:rsidRPr="00816A42">
        <w:rPr>
          <w:rFonts w:ascii="黑体" w:eastAsia="黑体" w:hAnsi="黑体" w:hint="eastAsia"/>
          <w:b/>
          <w:color w:val="auto"/>
          <w:sz w:val="44"/>
          <w:szCs w:val="36"/>
        </w:rPr>
        <w:t>指南</w:t>
      </w:r>
    </w:p>
    <w:p w:rsidR="003420FC" w:rsidRPr="008936A4" w:rsidRDefault="00BC0B2A" w:rsidP="00816A42">
      <w:pPr>
        <w:widowControl/>
        <w:jc w:val="center"/>
        <w:rPr>
          <w:color w:val="auto"/>
          <w:szCs w:val="30"/>
        </w:rPr>
      </w:pPr>
      <w:r w:rsidRPr="008936A4">
        <w:rPr>
          <w:rFonts w:hint="eastAsia"/>
          <w:color w:val="auto"/>
          <w:szCs w:val="30"/>
        </w:rPr>
        <w:t>（</w:t>
      </w:r>
      <w:r w:rsidR="00883940" w:rsidRPr="008936A4">
        <w:rPr>
          <w:rFonts w:hint="eastAsia"/>
          <w:color w:val="auto"/>
          <w:szCs w:val="30"/>
        </w:rPr>
        <w:t>试行</w:t>
      </w:r>
      <w:r w:rsidRPr="008936A4">
        <w:rPr>
          <w:rFonts w:hint="eastAsia"/>
          <w:color w:val="auto"/>
          <w:szCs w:val="30"/>
        </w:rPr>
        <w:t>）</w:t>
      </w:r>
    </w:p>
    <w:p w:rsidR="003420FC" w:rsidRPr="004C6606" w:rsidRDefault="003420FC">
      <w:pPr>
        <w:widowControl/>
        <w:jc w:val="center"/>
        <w:rPr>
          <w:color w:val="auto"/>
          <w:sz w:val="32"/>
          <w:szCs w:val="32"/>
        </w:rPr>
      </w:pPr>
    </w:p>
    <w:p w:rsidR="003420FC" w:rsidRPr="006030A1" w:rsidRDefault="00BC0B2A" w:rsidP="006030A1">
      <w:pPr>
        <w:ind w:firstLineChars="200" w:firstLine="602"/>
        <w:rPr>
          <w:color w:val="auto"/>
          <w:szCs w:val="30"/>
        </w:rPr>
      </w:pPr>
      <w:bookmarkStart w:id="7" w:name="_Toc430960226"/>
      <w:bookmarkEnd w:id="0"/>
      <w:bookmarkEnd w:id="1"/>
      <w:bookmarkEnd w:id="2"/>
      <w:bookmarkEnd w:id="3"/>
      <w:bookmarkEnd w:id="4"/>
      <w:bookmarkEnd w:id="5"/>
      <w:bookmarkEnd w:id="6"/>
      <w:r w:rsidRPr="006030A1">
        <w:rPr>
          <w:rFonts w:hint="eastAsia"/>
          <w:b/>
          <w:color w:val="auto"/>
          <w:szCs w:val="30"/>
        </w:rPr>
        <w:t>第一条</w:t>
      </w:r>
      <w:bookmarkStart w:id="8" w:name="OLE_LINK2"/>
      <w:bookmarkStart w:id="9" w:name="OLE_LINK1"/>
      <w:bookmarkEnd w:id="7"/>
      <w:r w:rsidR="004C6606" w:rsidRPr="006030A1">
        <w:rPr>
          <w:rFonts w:hint="eastAsia"/>
          <w:b/>
          <w:color w:val="auto"/>
          <w:szCs w:val="30"/>
        </w:rPr>
        <w:t xml:space="preserve"> </w:t>
      </w:r>
      <w:r w:rsidRPr="006030A1">
        <w:rPr>
          <w:rFonts w:hint="eastAsia"/>
          <w:szCs w:val="30"/>
        </w:rPr>
        <w:t>为</w:t>
      </w:r>
      <w:r w:rsidR="000C74A8" w:rsidRPr="006030A1">
        <w:rPr>
          <w:rFonts w:hint="eastAsia"/>
          <w:szCs w:val="30"/>
        </w:rPr>
        <w:t>规范权责发生制政府综合财务报告制度改革</w:t>
      </w:r>
      <w:r w:rsidRPr="006030A1">
        <w:rPr>
          <w:rFonts w:hint="eastAsia"/>
          <w:szCs w:val="30"/>
        </w:rPr>
        <w:t>试点期间</w:t>
      </w:r>
      <w:r w:rsidR="001A126B" w:rsidRPr="006030A1">
        <w:rPr>
          <w:rFonts w:hint="eastAsia"/>
          <w:szCs w:val="30"/>
        </w:rPr>
        <w:t>上下级</w:t>
      </w:r>
      <w:r w:rsidRPr="006030A1">
        <w:rPr>
          <w:rFonts w:hint="eastAsia"/>
          <w:szCs w:val="30"/>
        </w:rPr>
        <w:t>政府综合财务报告</w:t>
      </w:r>
      <w:r w:rsidR="001C7C39" w:rsidRPr="006030A1">
        <w:rPr>
          <w:rFonts w:hint="eastAsia"/>
          <w:szCs w:val="30"/>
        </w:rPr>
        <w:t>合并，编制</w:t>
      </w:r>
      <w:r w:rsidR="00AF74A8">
        <w:rPr>
          <w:rFonts w:hint="eastAsia"/>
          <w:szCs w:val="30"/>
        </w:rPr>
        <w:t>地方</w:t>
      </w:r>
      <w:r w:rsidR="001A126B" w:rsidRPr="006030A1">
        <w:rPr>
          <w:rFonts w:hint="eastAsia"/>
          <w:szCs w:val="30"/>
        </w:rPr>
        <w:t>政府综合财务报告</w:t>
      </w:r>
      <w:r w:rsidRPr="006030A1">
        <w:rPr>
          <w:rFonts w:hint="eastAsia"/>
          <w:szCs w:val="30"/>
        </w:rPr>
        <w:t>，根据《财政部关于印发〈政府财务报告编制办法（试行）〉的通知》（财库〔2015〕212号）</w:t>
      </w:r>
      <w:r w:rsidR="00AF74A8">
        <w:rPr>
          <w:rFonts w:hint="eastAsia"/>
          <w:szCs w:val="30"/>
        </w:rPr>
        <w:t>和</w:t>
      </w:r>
      <w:r w:rsidR="00253C26">
        <w:rPr>
          <w:rFonts w:hint="eastAsia"/>
          <w:szCs w:val="30"/>
        </w:rPr>
        <w:t>政府财务报告编制操作指南</w:t>
      </w:r>
      <w:r w:rsidR="00AF74A8">
        <w:rPr>
          <w:rFonts w:hint="eastAsia"/>
          <w:szCs w:val="30"/>
        </w:rPr>
        <w:t>以及</w:t>
      </w:r>
      <w:r w:rsidRPr="006030A1">
        <w:rPr>
          <w:rFonts w:hint="eastAsia"/>
          <w:szCs w:val="30"/>
        </w:rPr>
        <w:t>相关会计制度</w:t>
      </w:r>
      <w:r w:rsidR="009855DA">
        <w:rPr>
          <w:rFonts w:hint="eastAsia"/>
          <w:szCs w:val="30"/>
        </w:rPr>
        <w:t>，</w:t>
      </w:r>
      <w:r w:rsidRPr="006030A1">
        <w:rPr>
          <w:rFonts w:hint="eastAsia"/>
          <w:szCs w:val="30"/>
        </w:rPr>
        <w:t>制定本指南。</w:t>
      </w:r>
      <w:bookmarkEnd w:id="8"/>
      <w:bookmarkEnd w:id="9"/>
    </w:p>
    <w:p w:rsidR="003420FC" w:rsidRPr="006030A1" w:rsidRDefault="00BC0B2A" w:rsidP="006030A1">
      <w:pPr>
        <w:ind w:firstLineChars="200" w:firstLine="602"/>
        <w:rPr>
          <w:szCs w:val="30"/>
        </w:rPr>
      </w:pPr>
      <w:r w:rsidRPr="006030A1">
        <w:rPr>
          <w:rFonts w:hint="eastAsia"/>
          <w:b/>
          <w:color w:val="auto"/>
          <w:szCs w:val="30"/>
        </w:rPr>
        <w:t>第二条</w:t>
      </w:r>
      <w:r w:rsidR="004C6606" w:rsidRPr="006030A1">
        <w:rPr>
          <w:rFonts w:hint="eastAsia"/>
          <w:b/>
          <w:color w:val="auto"/>
          <w:szCs w:val="30"/>
        </w:rPr>
        <w:t xml:space="preserve"> </w:t>
      </w:r>
      <w:r w:rsidRPr="006030A1">
        <w:rPr>
          <w:rFonts w:hint="eastAsia"/>
          <w:szCs w:val="30"/>
        </w:rPr>
        <w:t>县级以上（含县级）政府财政部门负责合并编制本</w:t>
      </w:r>
      <w:r w:rsidR="00AF74A8">
        <w:rPr>
          <w:rFonts w:hint="eastAsia"/>
          <w:szCs w:val="30"/>
        </w:rPr>
        <w:t>地方</w:t>
      </w:r>
      <w:r w:rsidRPr="006030A1">
        <w:rPr>
          <w:rFonts w:hint="eastAsia"/>
          <w:szCs w:val="30"/>
        </w:rPr>
        <w:t>政府综合财务报告。被合并主体包括本级政府及</w:t>
      </w:r>
      <w:r w:rsidR="001A126B" w:rsidRPr="006030A1">
        <w:rPr>
          <w:rFonts w:hint="eastAsia"/>
          <w:szCs w:val="30"/>
        </w:rPr>
        <w:t>所辖</w:t>
      </w:r>
      <w:r w:rsidRPr="006030A1">
        <w:rPr>
          <w:rFonts w:hint="eastAsia"/>
          <w:szCs w:val="30"/>
        </w:rPr>
        <w:t>下级政府。</w:t>
      </w:r>
    </w:p>
    <w:p w:rsidR="003420FC" w:rsidRPr="006030A1" w:rsidRDefault="00BC0B2A" w:rsidP="006030A1">
      <w:pPr>
        <w:ind w:firstLineChars="200" w:firstLine="602"/>
        <w:rPr>
          <w:szCs w:val="30"/>
        </w:rPr>
      </w:pPr>
      <w:r w:rsidRPr="006030A1">
        <w:rPr>
          <w:rFonts w:hint="eastAsia"/>
          <w:b/>
          <w:color w:val="auto"/>
          <w:szCs w:val="30"/>
        </w:rPr>
        <w:t xml:space="preserve">第三条 </w:t>
      </w:r>
      <w:r w:rsidR="004C6606" w:rsidRPr="006030A1">
        <w:rPr>
          <w:rFonts w:hint="eastAsia"/>
          <w:color w:val="auto"/>
          <w:szCs w:val="30"/>
        </w:rPr>
        <w:t>合并形成的</w:t>
      </w:r>
      <w:r w:rsidR="00AF74A8">
        <w:rPr>
          <w:rFonts w:hint="eastAsia"/>
          <w:color w:val="auto"/>
          <w:szCs w:val="30"/>
        </w:rPr>
        <w:t>地方</w:t>
      </w:r>
      <w:r w:rsidRPr="006030A1">
        <w:rPr>
          <w:rFonts w:hint="eastAsia"/>
          <w:szCs w:val="30"/>
        </w:rPr>
        <w:t>政府综合财务报告</w:t>
      </w:r>
      <w:r w:rsidR="004C6606" w:rsidRPr="006030A1">
        <w:rPr>
          <w:rFonts w:hint="eastAsia"/>
          <w:szCs w:val="30"/>
        </w:rPr>
        <w:t>应</w:t>
      </w:r>
      <w:r w:rsidRPr="006030A1">
        <w:rPr>
          <w:rFonts w:hint="eastAsia"/>
          <w:szCs w:val="30"/>
        </w:rPr>
        <w:t>包括财务报表、政府财政经济分析和财政财务管理情况。</w:t>
      </w:r>
      <w:r w:rsidR="004C6606" w:rsidRPr="006030A1">
        <w:rPr>
          <w:rFonts w:hint="eastAsia"/>
          <w:szCs w:val="30"/>
        </w:rPr>
        <w:t>财务报表包括会计报表和报表附注，会计报表包括资产负债表、收入费用表、当期盈余和预算结余差异表。具体内容及格式</w:t>
      </w:r>
      <w:r w:rsidRPr="006030A1">
        <w:rPr>
          <w:rFonts w:hint="eastAsia"/>
          <w:szCs w:val="30"/>
        </w:rPr>
        <w:t>参</w:t>
      </w:r>
      <w:r w:rsidR="00ED18B5">
        <w:rPr>
          <w:rFonts w:hint="eastAsia"/>
          <w:szCs w:val="30"/>
        </w:rPr>
        <w:t>照</w:t>
      </w:r>
      <w:r w:rsidR="00253C26">
        <w:rPr>
          <w:rFonts w:hint="eastAsia"/>
          <w:szCs w:val="30"/>
        </w:rPr>
        <w:t>财政部有关</w:t>
      </w:r>
      <w:r w:rsidRPr="006030A1">
        <w:rPr>
          <w:rFonts w:hint="eastAsia"/>
          <w:szCs w:val="30"/>
        </w:rPr>
        <w:t>政府综合财务报告编制操作指南</w:t>
      </w:r>
      <w:r w:rsidR="00253C26">
        <w:rPr>
          <w:rFonts w:hint="eastAsia"/>
          <w:szCs w:val="30"/>
        </w:rPr>
        <w:t>的相关规定。</w:t>
      </w:r>
    </w:p>
    <w:p w:rsidR="003420FC" w:rsidRPr="006030A1" w:rsidRDefault="00BC0B2A" w:rsidP="006030A1">
      <w:pPr>
        <w:ind w:firstLineChars="200" w:firstLine="602"/>
        <w:rPr>
          <w:szCs w:val="30"/>
        </w:rPr>
      </w:pPr>
      <w:r w:rsidRPr="006030A1">
        <w:rPr>
          <w:rFonts w:hint="eastAsia"/>
          <w:b/>
          <w:color w:val="auto"/>
          <w:szCs w:val="30"/>
        </w:rPr>
        <w:t>第四条</w:t>
      </w:r>
      <w:r w:rsidR="004C6606" w:rsidRPr="006030A1">
        <w:rPr>
          <w:rFonts w:hint="eastAsia"/>
          <w:b/>
          <w:color w:val="auto"/>
          <w:szCs w:val="30"/>
        </w:rPr>
        <w:t xml:space="preserve"> </w:t>
      </w:r>
      <w:r w:rsidR="00AF74A8">
        <w:rPr>
          <w:rFonts w:hint="eastAsia"/>
          <w:szCs w:val="30"/>
        </w:rPr>
        <w:t>地方</w:t>
      </w:r>
      <w:r w:rsidRPr="006030A1">
        <w:rPr>
          <w:rFonts w:hint="eastAsia"/>
          <w:szCs w:val="30"/>
        </w:rPr>
        <w:t>政府综合财务报表在汇总本级和所辖下级政府综合财务报表的基础上，采用抵销方法合并</w:t>
      </w:r>
      <w:r w:rsidR="00806485">
        <w:rPr>
          <w:rFonts w:hint="eastAsia"/>
          <w:szCs w:val="30"/>
        </w:rPr>
        <w:t>编制</w:t>
      </w:r>
      <w:r w:rsidRPr="006030A1">
        <w:rPr>
          <w:rFonts w:hint="eastAsia"/>
          <w:szCs w:val="30"/>
        </w:rPr>
        <w:t>。</w:t>
      </w:r>
    </w:p>
    <w:p w:rsidR="003420FC" w:rsidRPr="006030A1" w:rsidRDefault="00BC0B2A" w:rsidP="006030A1">
      <w:pPr>
        <w:ind w:firstLineChars="200" w:firstLine="582"/>
        <w:rPr>
          <w:szCs w:val="30"/>
        </w:rPr>
      </w:pPr>
      <w:r w:rsidRPr="006030A1">
        <w:rPr>
          <w:rFonts w:hAnsi="仿宋_GB2312" w:hint="eastAsia"/>
          <w:b/>
          <w:color w:val="auto"/>
          <w:spacing w:val="-5"/>
          <w:szCs w:val="30"/>
        </w:rPr>
        <w:t>第</w:t>
      </w:r>
      <w:r w:rsidR="007F1524" w:rsidRPr="006030A1">
        <w:rPr>
          <w:rFonts w:hAnsi="仿宋_GB2312" w:hint="eastAsia"/>
          <w:b/>
          <w:color w:val="auto"/>
          <w:spacing w:val="-5"/>
          <w:szCs w:val="30"/>
        </w:rPr>
        <w:t>五</w:t>
      </w:r>
      <w:r w:rsidRPr="006030A1">
        <w:rPr>
          <w:rFonts w:hAnsi="仿宋_GB2312" w:hint="eastAsia"/>
          <w:b/>
          <w:color w:val="auto"/>
          <w:spacing w:val="-5"/>
          <w:szCs w:val="30"/>
        </w:rPr>
        <w:t>条</w:t>
      </w:r>
      <w:r w:rsidR="004C6606" w:rsidRPr="006030A1">
        <w:rPr>
          <w:rFonts w:hAnsi="仿宋_GB2312" w:hint="eastAsia"/>
          <w:b/>
          <w:color w:val="auto"/>
          <w:spacing w:val="-5"/>
          <w:szCs w:val="30"/>
        </w:rPr>
        <w:t xml:space="preserve"> </w:t>
      </w:r>
      <w:r w:rsidRPr="006030A1">
        <w:rPr>
          <w:rFonts w:hint="eastAsia"/>
          <w:szCs w:val="30"/>
        </w:rPr>
        <w:t>资产负债表和收入费用表采用汇总工作表（见附1）方式编制，汇总工作表属于工作底稿。</w:t>
      </w:r>
    </w:p>
    <w:p w:rsidR="003420FC" w:rsidRPr="006030A1" w:rsidRDefault="00BC0B2A" w:rsidP="006030A1">
      <w:pPr>
        <w:ind w:firstLineChars="200" w:firstLine="600"/>
        <w:rPr>
          <w:szCs w:val="30"/>
        </w:rPr>
      </w:pPr>
      <w:r w:rsidRPr="006030A1">
        <w:rPr>
          <w:rFonts w:hint="eastAsia"/>
          <w:szCs w:val="30"/>
        </w:rPr>
        <w:t>（一）将被合并主体资产负债表和收入费用表各报表项目数</w:t>
      </w:r>
      <w:r w:rsidRPr="006030A1">
        <w:rPr>
          <w:rFonts w:hint="eastAsia"/>
          <w:szCs w:val="30"/>
        </w:rPr>
        <w:lastRenderedPageBreak/>
        <w:t>据填列到汇总工作表</w:t>
      </w:r>
      <w:r w:rsidR="007F1524" w:rsidRPr="006030A1">
        <w:rPr>
          <w:rFonts w:hint="eastAsia"/>
          <w:szCs w:val="30"/>
        </w:rPr>
        <w:t>“被合并</w:t>
      </w:r>
      <w:r w:rsidR="001C1D16">
        <w:rPr>
          <w:rFonts w:hint="eastAsia"/>
          <w:szCs w:val="30"/>
        </w:rPr>
        <w:t>政府</w:t>
      </w:r>
      <w:r w:rsidR="007F1524" w:rsidRPr="006030A1">
        <w:rPr>
          <w:rFonts w:hint="eastAsia"/>
          <w:szCs w:val="30"/>
        </w:rPr>
        <w:t>报表</w:t>
      </w:r>
      <w:r w:rsidR="00A26C8E" w:rsidRPr="006030A1">
        <w:rPr>
          <w:rFonts w:hint="eastAsia"/>
          <w:szCs w:val="30"/>
        </w:rPr>
        <w:t>项</w:t>
      </w:r>
      <w:r w:rsidR="007F1524" w:rsidRPr="006030A1">
        <w:rPr>
          <w:rFonts w:hint="eastAsia"/>
          <w:szCs w:val="30"/>
        </w:rPr>
        <w:t>目金额”栏</w:t>
      </w:r>
      <w:r w:rsidRPr="006030A1">
        <w:rPr>
          <w:rFonts w:hint="eastAsia"/>
          <w:szCs w:val="30"/>
        </w:rPr>
        <w:t>，计算加总金额。</w:t>
      </w:r>
    </w:p>
    <w:p w:rsidR="003420FC" w:rsidRPr="006030A1" w:rsidRDefault="00BC0B2A" w:rsidP="006030A1">
      <w:pPr>
        <w:ind w:firstLineChars="200" w:firstLine="580"/>
        <w:rPr>
          <w:szCs w:val="30"/>
        </w:rPr>
      </w:pPr>
      <w:bookmarkStart w:id="10" w:name="_Toc414633758"/>
      <w:r w:rsidRPr="006030A1">
        <w:rPr>
          <w:rFonts w:hAnsi="仿宋_GB2312" w:hint="eastAsia"/>
          <w:color w:val="auto"/>
          <w:spacing w:val="-5"/>
          <w:szCs w:val="30"/>
        </w:rPr>
        <w:t>（二）</w:t>
      </w:r>
      <w:r w:rsidRPr="006030A1">
        <w:rPr>
          <w:rFonts w:hint="eastAsia"/>
          <w:szCs w:val="30"/>
        </w:rPr>
        <w:t>对被合并主体之间发生的经济业务或事项，按照抵销事项</w:t>
      </w:r>
      <w:r w:rsidR="007F1524" w:rsidRPr="006030A1">
        <w:rPr>
          <w:rFonts w:hint="eastAsia"/>
          <w:szCs w:val="30"/>
        </w:rPr>
        <w:t>清单（见附2）</w:t>
      </w:r>
      <w:r w:rsidRPr="006030A1">
        <w:rPr>
          <w:rFonts w:hint="eastAsia"/>
          <w:szCs w:val="30"/>
        </w:rPr>
        <w:t>编制抵销分录，填入汇总工作表“抵销分录”栏。</w:t>
      </w:r>
      <w:r w:rsidR="007F1524" w:rsidRPr="006030A1">
        <w:rPr>
          <w:rFonts w:hint="eastAsia"/>
          <w:szCs w:val="30"/>
        </w:rPr>
        <w:t>抵销分录所需明细信息来源于被合并主体提供的政府综合财务报表相关数据。</w:t>
      </w:r>
    </w:p>
    <w:p w:rsidR="001C7C39" w:rsidRPr="006030A1" w:rsidRDefault="001C7C39" w:rsidP="006030A1">
      <w:pPr>
        <w:ind w:firstLineChars="198" w:firstLine="594"/>
        <w:rPr>
          <w:szCs w:val="30"/>
        </w:rPr>
      </w:pPr>
      <w:r w:rsidRPr="006030A1">
        <w:rPr>
          <w:rFonts w:hint="eastAsia"/>
          <w:szCs w:val="30"/>
        </w:rPr>
        <w:t>（三）</w:t>
      </w:r>
      <w:r w:rsidR="0037765B" w:rsidRPr="006030A1">
        <w:rPr>
          <w:rFonts w:hAnsi="Arial" w:hint="eastAsia"/>
          <w:color w:val="auto"/>
          <w:szCs w:val="30"/>
        </w:rPr>
        <w:t>将</w:t>
      </w:r>
      <w:r w:rsidRPr="006030A1">
        <w:rPr>
          <w:rFonts w:hAnsi="Arial" w:hint="eastAsia"/>
          <w:color w:val="auto"/>
          <w:szCs w:val="30"/>
        </w:rPr>
        <w:t>汇总工作表各项目对应的</w:t>
      </w:r>
      <w:r w:rsidR="00A26C8E" w:rsidRPr="006030A1">
        <w:rPr>
          <w:rFonts w:hAnsi="Arial" w:hint="eastAsia"/>
          <w:color w:val="auto"/>
          <w:szCs w:val="30"/>
        </w:rPr>
        <w:t>“</w:t>
      </w:r>
      <w:r w:rsidRPr="006030A1">
        <w:rPr>
          <w:rFonts w:hAnsi="Arial" w:hint="eastAsia"/>
          <w:color w:val="auto"/>
          <w:szCs w:val="30"/>
        </w:rPr>
        <w:t>原</w:t>
      </w:r>
      <w:r w:rsidR="00A26C8E" w:rsidRPr="006030A1">
        <w:rPr>
          <w:rFonts w:hAnsi="Arial" w:hint="eastAsia"/>
          <w:color w:val="auto"/>
          <w:szCs w:val="30"/>
        </w:rPr>
        <w:t>有金额合计”</w:t>
      </w:r>
      <w:r w:rsidRPr="006030A1">
        <w:rPr>
          <w:rFonts w:hAnsi="Arial" w:hint="eastAsia"/>
          <w:color w:val="auto"/>
          <w:szCs w:val="30"/>
        </w:rPr>
        <w:t>栏、</w:t>
      </w:r>
      <w:r w:rsidR="00A26C8E" w:rsidRPr="006030A1">
        <w:rPr>
          <w:rFonts w:hAnsi="Arial" w:hint="eastAsia"/>
          <w:color w:val="auto"/>
          <w:szCs w:val="30"/>
        </w:rPr>
        <w:t>“</w:t>
      </w:r>
      <w:r w:rsidRPr="006030A1">
        <w:rPr>
          <w:rFonts w:hAnsi="Arial" w:hint="eastAsia"/>
          <w:color w:val="auto"/>
          <w:szCs w:val="30"/>
        </w:rPr>
        <w:t>抵销分录</w:t>
      </w:r>
      <w:r w:rsidR="00A26C8E" w:rsidRPr="006030A1">
        <w:rPr>
          <w:rFonts w:hAnsi="Arial" w:hint="eastAsia"/>
          <w:color w:val="auto"/>
          <w:szCs w:val="30"/>
        </w:rPr>
        <w:t>”</w:t>
      </w:r>
      <w:r w:rsidRPr="006030A1">
        <w:rPr>
          <w:rFonts w:hAnsi="Arial" w:hint="eastAsia"/>
          <w:color w:val="auto"/>
          <w:szCs w:val="30"/>
        </w:rPr>
        <w:t>栏中的数据</w:t>
      </w:r>
      <w:r w:rsidR="0037765B" w:rsidRPr="006030A1">
        <w:rPr>
          <w:rFonts w:hAnsi="Arial" w:hint="eastAsia"/>
          <w:color w:val="auto"/>
          <w:szCs w:val="30"/>
        </w:rPr>
        <w:t>相减</w:t>
      </w:r>
      <w:r w:rsidRPr="006030A1">
        <w:rPr>
          <w:rFonts w:hAnsi="Arial" w:hint="eastAsia"/>
          <w:color w:val="auto"/>
          <w:szCs w:val="30"/>
        </w:rPr>
        <w:t>，分别计算出经过抵销后的</w:t>
      </w:r>
      <w:r w:rsidR="00A26C8E" w:rsidRPr="006030A1">
        <w:rPr>
          <w:rFonts w:hAnsi="Arial" w:hint="eastAsia"/>
          <w:color w:val="auto"/>
          <w:szCs w:val="30"/>
        </w:rPr>
        <w:t>数据</w:t>
      </w:r>
      <w:r w:rsidRPr="006030A1">
        <w:rPr>
          <w:rFonts w:hAnsi="Arial" w:hint="eastAsia"/>
          <w:color w:val="auto"/>
          <w:szCs w:val="30"/>
        </w:rPr>
        <w:t>，填入</w:t>
      </w:r>
      <w:r w:rsidR="00A26C8E" w:rsidRPr="006030A1">
        <w:rPr>
          <w:rFonts w:hAnsi="Arial" w:hint="eastAsia"/>
          <w:color w:val="auto"/>
          <w:szCs w:val="30"/>
        </w:rPr>
        <w:t>相应的“抵销后金额合计”栏，据此</w:t>
      </w:r>
      <w:r w:rsidRPr="006030A1">
        <w:rPr>
          <w:rFonts w:hAnsi="Arial" w:hint="eastAsia"/>
          <w:color w:val="auto"/>
          <w:szCs w:val="30"/>
        </w:rPr>
        <w:t>生成合并后的资产负债表和收入费用表。</w:t>
      </w:r>
    </w:p>
    <w:p w:rsidR="001A126B" w:rsidRPr="006030A1" w:rsidRDefault="001A126B" w:rsidP="006030A1">
      <w:pPr>
        <w:ind w:firstLineChars="200" w:firstLine="602"/>
        <w:rPr>
          <w:szCs w:val="30"/>
        </w:rPr>
      </w:pPr>
      <w:r w:rsidRPr="006030A1">
        <w:rPr>
          <w:rFonts w:hint="eastAsia"/>
          <w:b/>
          <w:szCs w:val="30"/>
        </w:rPr>
        <w:t xml:space="preserve">第六条 </w:t>
      </w:r>
      <w:r w:rsidR="004C6606" w:rsidRPr="006030A1">
        <w:rPr>
          <w:rFonts w:hint="eastAsia"/>
          <w:szCs w:val="30"/>
        </w:rPr>
        <w:t>合并本</w:t>
      </w:r>
      <w:r w:rsidR="00AF74A8">
        <w:rPr>
          <w:rFonts w:hint="eastAsia"/>
          <w:szCs w:val="30"/>
        </w:rPr>
        <w:t>地方</w:t>
      </w:r>
      <w:r w:rsidR="004C6606" w:rsidRPr="006030A1">
        <w:rPr>
          <w:rFonts w:hint="eastAsia"/>
          <w:szCs w:val="30"/>
        </w:rPr>
        <w:t>内各</w:t>
      </w:r>
      <w:r w:rsidRPr="006030A1">
        <w:rPr>
          <w:rFonts w:hint="eastAsia"/>
          <w:szCs w:val="30"/>
        </w:rPr>
        <w:t>级政府综合财务报</w:t>
      </w:r>
      <w:r w:rsidR="004C6606" w:rsidRPr="006030A1">
        <w:rPr>
          <w:rFonts w:hint="eastAsia"/>
          <w:szCs w:val="30"/>
        </w:rPr>
        <w:t>表</w:t>
      </w:r>
      <w:r w:rsidRPr="006030A1">
        <w:rPr>
          <w:rFonts w:hint="eastAsia"/>
          <w:szCs w:val="30"/>
        </w:rPr>
        <w:t>时，</w:t>
      </w:r>
      <w:r w:rsidR="00291DA2" w:rsidRPr="006030A1">
        <w:rPr>
          <w:rFonts w:hint="eastAsia"/>
          <w:szCs w:val="30"/>
        </w:rPr>
        <w:t>应</w:t>
      </w:r>
      <w:r w:rsidRPr="006030A1">
        <w:rPr>
          <w:rFonts w:hint="eastAsia"/>
          <w:szCs w:val="30"/>
        </w:rPr>
        <w:t>抵销下列事项：</w:t>
      </w:r>
    </w:p>
    <w:p w:rsidR="003420FC" w:rsidRPr="00F66D2D" w:rsidRDefault="00F66D2D" w:rsidP="00F66D2D">
      <w:pPr>
        <w:ind w:firstLineChars="200" w:firstLine="602"/>
        <w:rPr>
          <w:b/>
          <w:szCs w:val="30"/>
        </w:rPr>
      </w:pPr>
      <w:r w:rsidRPr="00F66D2D">
        <w:rPr>
          <w:rFonts w:hint="eastAsia"/>
          <w:b/>
          <w:szCs w:val="30"/>
        </w:rPr>
        <w:t>（一）</w:t>
      </w:r>
      <w:r w:rsidR="001A126B" w:rsidRPr="00F66D2D">
        <w:rPr>
          <w:rFonts w:hint="eastAsia"/>
          <w:b/>
          <w:szCs w:val="30"/>
        </w:rPr>
        <w:t>不同政府</w:t>
      </w:r>
      <w:r w:rsidR="00BC0B2A" w:rsidRPr="00F66D2D">
        <w:rPr>
          <w:rFonts w:hint="eastAsia"/>
          <w:b/>
          <w:szCs w:val="30"/>
        </w:rPr>
        <w:t>财政之间发生的经济业务或事项。</w:t>
      </w:r>
    </w:p>
    <w:p w:rsidR="003420FC" w:rsidRPr="00F66D2D" w:rsidRDefault="00F66D2D" w:rsidP="00F66D2D">
      <w:pPr>
        <w:ind w:firstLineChars="200" w:firstLine="600"/>
        <w:rPr>
          <w:szCs w:val="30"/>
        </w:rPr>
      </w:pPr>
      <w:r w:rsidRPr="00F66D2D">
        <w:rPr>
          <w:rFonts w:hint="eastAsia"/>
          <w:szCs w:val="30"/>
        </w:rPr>
        <w:t>1.</w:t>
      </w:r>
      <w:r w:rsidR="00BC0B2A" w:rsidRPr="00F66D2D">
        <w:rPr>
          <w:rFonts w:hint="eastAsia"/>
          <w:szCs w:val="30"/>
        </w:rPr>
        <w:t>上下级</w:t>
      </w:r>
      <w:r w:rsidR="001A126B" w:rsidRPr="00F66D2D">
        <w:rPr>
          <w:rFonts w:hint="eastAsia"/>
          <w:szCs w:val="30"/>
        </w:rPr>
        <w:t>政府</w:t>
      </w:r>
      <w:r w:rsidR="00BC0B2A" w:rsidRPr="00F66D2D">
        <w:rPr>
          <w:rFonts w:hint="eastAsia"/>
          <w:szCs w:val="30"/>
        </w:rPr>
        <w:t>财政之间</w:t>
      </w:r>
      <w:r w:rsidR="00A13F57" w:rsidRPr="00F66D2D">
        <w:rPr>
          <w:rFonts w:hint="eastAsia"/>
          <w:szCs w:val="30"/>
        </w:rPr>
        <w:t>发生</w:t>
      </w:r>
      <w:r w:rsidR="00BC0B2A" w:rsidRPr="00F66D2D">
        <w:rPr>
          <w:rFonts w:hint="eastAsia"/>
          <w:szCs w:val="30"/>
        </w:rPr>
        <w:t>的往来事项。</w:t>
      </w:r>
    </w:p>
    <w:p w:rsidR="003420FC" w:rsidRPr="006030A1" w:rsidRDefault="00BC0B2A" w:rsidP="006030A1">
      <w:pPr>
        <w:ind w:firstLineChars="200" w:firstLine="600"/>
        <w:rPr>
          <w:szCs w:val="30"/>
        </w:rPr>
      </w:pPr>
      <w:r w:rsidRPr="006030A1">
        <w:rPr>
          <w:rFonts w:hint="eastAsia"/>
          <w:szCs w:val="30"/>
        </w:rPr>
        <w:t>上下级</w:t>
      </w:r>
      <w:r w:rsidR="00CD1B86" w:rsidRPr="006030A1">
        <w:rPr>
          <w:rFonts w:hint="eastAsia"/>
          <w:szCs w:val="30"/>
        </w:rPr>
        <w:t>政府</w:t>
      </w:r>
      <w:r w:rsidRPr="006030A1">
        <w:rPr>
          <w:rFonts w:hint="eastAsia"/>
          <w:szCs w:val="30"/>
        </w:rPr>
        <w:t>财政之间</w:t>
      </w:r>
      <w:r w:rsidR="00A13F57" w:rsidRPr="006030A1">
        <w:rPr>
          <w:rFonts w:hint="eastAsia"/>
          <w:szCs w:val="30"/>
        </w:rPr>
        <w:t>发生</w:t>
      </w:r>
      <w:r w:rsidR="00CD1B86" w:rsidRPr="006030A1">
        <w:rPr>
          <w:rFonts w:hint="eastAsia"/>
          <w:szCs w:val="30"/>
        </w:rPr>
        <w:t>的往来事项主要涉及的报表项目有应收及预付款项</w:t>
      </w:r>
      <w:r w:rsidR="00E670EA" w:rsidRPr="006030A1">
        <w:rPr>
          <w:rFonts w:hint="eastAsia"/>
          <w:szCs w:val="30"/>
        </w:rPr>
        <w:t>（与下级往来、其他应收款）</w:t>
      </w:r>
      <w:r w:rsidR="00CD1B86" w:rsidRPr="006030A1">
        <w:rPr>
          <w:rFonts w:hint="eastAsia"/>
          <w:szCs w:val="30"/>
        </w:rPr>
        <w:t>、应付及预收款项</w:t>
      </w:r>
      <w:r w:rsidR="00E670EA" w:rsidRPr="006030A1">
        <w:rPr>
          <w:rFonts w:hint="eastAsia"/>
          <w:szCs w:val="30"/>
        </w:rPr>
        <w:t>（与上级往来、其他应付款）</w:t>
      </w:r>
      <w:r w:rsidR="00CD1B86" w:rsidRPr="006030A1">
        <w:rPr>
          <w:rFonts w:hint="eastAsia"/>
          <w:szCs w:val="30"/>
        </w:rPr>
        <w:t>，应</w:t>
      </w:r>
      <w:r w:rsidRPr="006030A1">
        <w:rPr>
          <w:rFonts w:hint="eastAsia"/>
          <w:szCs w:val="30"/>
        </w:rPr>
        <w:t>经确认</w:t>
      </w:r>
      <w:r w:rsidR="00BE0670" w:rsidRPr="006030A1">
        <w:rPr>
          <w:rFonts w:hint="eastAsia"/>
          <w:szCs w:val="30"/>
        </w:rPr>
        <w:t>后</w:t>
      </w:r>
      <w:r w:rsidRPr="006030A1">
        <w:rPr>
          <w:rFonts w:hint="eastAsia"/>
          <w:szCs w:val="30"/>
        </w:rPr>
        <w:t>抵销</w:t>
      </w:r>
      <w:r w:rsidR="00CD1B86" w:rsidRPr="006030A1">
        <w:rPr>
          <w:rFonts w:hint="eastAsia"/>
          <w:szCs w:val="30"/>
        </w:rPr>
        <w:t>。</w:t>
      </w:r>
      <w:r w:rsidRPr="006030A1">
        <w:rPr>
          <w:rFonts w:hint="eastAsia"/>
          <w:szCs w:val="30"/>
        </w:rPr>
        <w:t>抵销分录</w:t>
      </w:r>
      <w:r w:rsidR="00CD1B86" w:rsidRPr="006030A1">
        <w:rPr>
          <w:rFonts w:hint="eastAsia"/>
          <w:szCs w:val="30"/>
        </w:rPr>
        <w:t>为</w:t>
      </w:r>
      <w:r w:rsidRPr="006030A1">
        <w:rPr>
          <w:rFonts w:hint="eastAsia"/>
          <w:szCs w:val="30"/>
        </w:rPr>
        <w:t>：借记“应付及预收款</w:t>
      </w:r>
      <w:r w:rsidR="00CD1B86" w:rsidRPr="006030A1">
        <w:rPr>
          <w:rFonts w:hint="eastAsia"/>
          <w:szCs w:val="30"/>
        </w:rPr>
        <w:t>项</w:t>
      </w:r>
      <w:r w:rsidRPr="006030A1">
        <w:rPr>
          <w:rFonts w:hint="eastAsia"/>
          <w:szCs w:val="30"/>
        </w:rPr>
        <w:t>”；贷记“应收及预付款项”。</w:t>
      </w:r>
    </w:p>
    <w:p w:rsidR="003420FC" w:rsidRPr="006030A1" w:rsidRDefault="00BC0B2A" w:rsidP="006030A1">
      <w:pPr>
        <w:ind w:firstLineChars="200" w:firstLine="600"/>
        <w:rPr>
          <w:szCs w:val="30"/>
        </w:rPr>
      </w:pPr>
      <w:r w:rsidRPr="006030A1">
        <w:rPr>
          <w:rFonts w:hint="eastAsia"/>
          <w:szCs w:val="30"/>
        </w:rPr>
        <w:t>例：甲市政府综合财务报表“应收及预付款项”中，甲市财政应收所辖B县财政款项700万元；B县政府综合财务报表“应付及预收款项”中，B县财政应付甲市财政款项700万元。经确认无误后，编制抵销分录如下（分录金额为万元，下同）：</w:t>
      </w:r>
    </w:p>
    <w:p w:rsidR="003420FC" w:rsidRPr="006030A1" w:rsidRDefault="00BC0B2A" w:rsidP="006030A1">
      <w:pPr>
        <w:ind w:firstLineChars="200" w:firstLine="600"/>
        <w:rPr>
          <w:szCs w:val="30"/>
        </w:rPr>
      </w:pPr>
      <w:r w:rsidRPr="006030A1">
        <w:rPr>
          <w:rFonts w:hint="eastAsia"/>
          <w:szCs w:val="30"/>
        </w:rPr>
        <w:lastRenderedPageBreak/>
        <w:t>借：应付及预收款项  700</w:t>
      </w:r>
    </w:p>
    <w:p w:rsidR="003420FC" w:rsidRPr="006030A1" w:rsidRDefault="00BC0B2A" w:rsidP="006030A1">
      <w:pPr>
        <w:ind w:firstLineChars="200" w:firstLine="600"/>
        <w:rPr>
          <w:szCs w:val="30"/>
        </w:rPr>
      </w:pPr>
      <w:r w:rsidRPr="006030A1">
        <w:rPr>
          <w:rFonts w:hint="eastAsia"/>
          <w:szCs w:val="30"/>
        </w:rPr>
        <w:t xml:space="preserve">  贷：应收及预付款项  700</w:t>
      </w:r>
    </w:p>
    <w:p w:rsidR="003420FC" w:rsidRPr="006030A1" w:rsidRDefault="00F66D2D" w:rsidP="006030A1">
      <w:pPr>
        <w:ind w:firstLineChars="200" w:firstLine="600"/>
        <w:rPr>
          <w:szCs w:val="30"/>
        </w:rPr>
      </w:pPr>
      <w:r>
        <w:rPr>
          <w:rFonts w:hint="eastAsia"/>
          <w:szCs w:val="30"/>
        </w:rPr>
        <w:t>2.</w:t>
      </w:r>
      <w:r w:rsidR="00BC0B2A" w:rsidRPr="006030A1">
        <w:rPr>
          <w:rFonts w:hint="eastAsia"/>
          <w:szCs w:val="30"/>
        </w:rPr>
        <w:t>上下级</w:t>
      </w:r>
      <w:r w:rsidR="00CD1B86" w:rsidRPr="006030A1">
        <w:rPr>
          <w:rFonts w:hint="eastAsia"/>
          <w:szCs w:val="30"/>
        </w:rPr>
        <w:t>政府</w:t>
      </w:r>
      <w:r w:rsidR="00BC0B2A" w:rsidRPr="006030A1">
        <w:rPr>
          <w:rFonts w:hint="eastAsia"/>
          <w:szCs w:val="30"/>
        </w:rPr>
        <w:t>财政之间</w:t>
      </w:r>
      <w:r w:rsidR="00A13F57" w:rsidRPr="006030A1">
        <w:rPr>
          <w:rFonts w:hint="eastAsia"/>
          <w:szCs w:val="30"/>
        </w:rPr>
        <w:t>发生</w:t>
      </w:r>
      <w:r w:rsidR="00BC0B2A" w:rsidRPr="006030A1">
        <w:rPr>
          <w:rFonts w:hint="eastAsia"/>
          <w:szCs w:val="30"/>
        </w:rPr>
        <w:t>的地方政府债券</w:t>
      </w:r>
      <w:r w:rsidR="00CD1B86" w:rsidRPr="006030A1">
        <w:rPr>
          <w:rFonts w:hint="eastAsia"/>
          <w:szCs w:val="30"/>
        </w:rPr>
        <w:t>转贷款</w:t>
      </w:r>
      <w:r w:rsidR="00A13F57" w:rsidRPr="006030A1">
        <w:rPr>
          <w:rFonts w:hint="eastAsia"/>
          <w:szCs w:val="30"/>
        </w:rPr>
        <w:t>和</w:t>
      </w:r>
      <w:r w:rsidR="00BC0B2A" w:rsidRPr="006030A1">
        <w:rPr>
          <w:rFonts w:hint="eastAsia"/>
          <w:szCs w:val="30"/>
        </w:rPr>
        <w:t>主权外债转贷</w:t>
      </w:r>
      <w:r w:rsidR="00CD1B86" w:rsidRPr="006030A1">
        <w:rPr>
          <w:rFonts w:hint="eastAsia"/>
          <w:szCs w:val="30"/>
        </w:rPr>
        <w:t>款本金</w:t>
      </w:r>
      <w:r w:rsidR="00BC0B2A" w:rsidRPr="006030A1">
        <w:rPr>
          <w:rFonts w:hint="eastAsia"/>
          <w:szCs w:val="30"/>
        </w:rPr>
        <w:t>。</w:t>
      </w:r>
    </w:p>
    <w:p w:rsidR="003420FC" w:rsidRPr="006030A1" w:rsidRDefault="00CD1B86" w:rsidP="006030A1">
      <w:pPr>
        <w:ind w:firstLineChars="200" w:firstLine="600"/>
        <w:rPr>
          <w:szCs w:val="30"/>
        </w:rPr>
      </w:pPr>
      <w:r w:rsidRPr="006030A1">
        <w:rPr>
          <w:rFonts w:hint="eastAsia"/>
          <w:szCs w:val="30"/>
        </w:rPr>
        <w:t>上下级政府财政之间</w:t>
      </w:r>
      <w:r w:rsidR="00A13F57" w:rsidRPr="006030A1">
        <w:rPr>
          <w:rFonts w:hint="eastAsia"/>
          <w:szCs w:val="30"/>
        </w:rPr>
        <w:t>发生</w:t>
      </w:r>
      <w:r w:rsidRPr="006030A1">
        <w:rPr>
          <w:rFonts w:hint="eastAsia"/>
          <w:szCs w:val="30"/>
        </w:rPr>
        <w:t>的转贷款本金主要涉及的报表项目有</w:t>
      </w:r>
      <w:r w:rsidR="00BC0B2A" w:rsidRPr="006030A1">
        <w:rPr>
          <w:rFonts w:hint="eastAsia"/>
          <w:szCs w:val="30"/>
        </w:rPr>
        <w:t>应收转贷款、一年内到期的非流动资产（一年内到期的应收转贷款）、应付转贷款、一年内到期的非流动负债（一年内到期的应付转贷款），应经确认后抵销。抵销分录为：借记“应付转贷款”、“一年内到期的非流动负债”；贷记“应收转贷款”、“一年内到期的非流动资产”。</w:t>
      </w:r>
    </w:p>
    <w:p w:rsidR="003420FC" w:rsidRPr="006030A1" w:rsidRDefault="00BC0B2A" w:rsidP="006030A1">
      <w:pPr>
        <w:ind w:firstLineChars="200" w:firstLine="600"/>
        <w:rPr>
          <w:szCs w:val="30"/>
        </w:rPr>
      </w:pPr>
      <w:r w:rsidRPr="006030A1">
        <w:rPr>
          <w:rFonts w:hint="eastAsia"/>
          <w:szCs w:val="30"/>
        </w:rPr>
        <w:t>例：甲市为某省下一级政府，甲市政府综合财务报表中应付转贷款中应付地方政府债券转贷款80</w:t>
      </w:r>
      <w:r w:rsidR="001C1D16">
        <w:rPr>
          <w:rFonts w:hint="eastAsia"/>
          <w:szCs w:val="30"/>
        </w:rPr>
        <w:t>,</w:t>
      </w:r>
      <w:r w:rsidRPr="006030A1">
        <w:rPr>
          <w:rFonts w:hint="eastAsia"/>
          <w:szCs w:val="30"/>
        </w:rPr>
        <w:t>000万元，该省应收转贷款中应收甲市地方政府债券转贷款80</w:t>
      </w:r>
      <w:r w:rsidR="001C1D16">
        <w:rPr>
          <w:rFonts w:hint="eastAsia"/>
          <w:szCs w:val="30"/>
        </w:rPr>
        <w:t>,</w:t>
      </w:r>
      <w:r w:rsidRPr="006030A1">
        <w:rPr>
          <w:rFonts w:hint="eastAsia"/>
          <w:szCs w:val="30"/>
        </w:rPr>
        <w:t>000万元。经确认无误后，编制抵销分录如下：</w:t>
      </w:r>
    </w:p>
    <w:p w:rsidR="003420FC" w:rsidRPr="006030A1" w:rsidRDefault="00BC0B2A" w:rsidP="006030A1">
      <w:pPr>
        <w:ind w:firstLineChars="200" w:firstLine="600"/>
        <w:rPr>
          <w:szCs w:val="30"/>
        </w:rPr>
      </w:pPr>
      <w:r w:rsidRPr="006030A1">
        <w:rPr>
          <w:rFonts w:hint="eastAsia"/>
          <w:szCs w:val="30"/>
        </w:rPr>
        <w:t xml:space="preserve">借：应付转贷款 </w:t>
      </w:r>
      <w:r w:rsidR="006030A1">
        <w:rPr>
          <w:rFonts w:hint="eastAsia"/>
          <w:szCs w:val="30"/>
        </w:rPr>
        <w:t xml:space="preserve"> </w:t>
      </w:r>
      <w:r w:rsidRPr="006030A1">
        <w:rPr>
          <w:rFonts w:hint="eastAsia"/>
          <w:szCs w:val="30"/>
        </w:rPr>
        <w:t>80</w:t>
      </w:r>
      <w:r w:rsidR="001C1D16">
        <w:rPr>
          <w:rFonts w:hint="eastAsia"/>
          <w:szCs w:val="30"/>
        </w:rPr>
        <w:t>,</w:t>
      </w:r>
      <w:r w:rsidRPr="006030A1">
        <w:rPr>
          <w:rFonts w:hint="eastAsia"/>
          <w:szCs w:val="30"/>
        </w:rPr>
        <w:t>000</w:t>
      </w:r>
    </w:p>
    <w:p w:rsidR="003420FC" w:rsidRPr="006030A1" w:rsidRDefault="00BC0B2A" w:rsidP="006030A1">
      <w:pPr>
        <w:ind w:firstLineChars="200" w:firstLine="600"/>
        <w:rPr>
          <w:szCs w:val="30"/>
        </w:rPr>
      </w:pPr>
      <w:r w:rsidRPr="006030A1">
        <w:rPr>
          <w:rFonts w:hint="eastAsia"/>
          <w:szCs w:val="30"/>
        </w:rPr>
        <w:t xml:space="preserve">  贷：应收转贷款  80</w:t>
      </w:r>
      <w:r w:rsidR="001C1D16">
        <w:rPr>
          <w:rFonts w:hint="eastAsia"/>
          <w:szCs w:val="30"/>
        </w:rPr>
        <w:t>,</w:t>
      </w:r>
      <w:r w:rsidRPr="006030A1">
        <w:rPr>
          <w:rFonts w:hint="eastAsia"/>
          <w:szCs w:val="30"/>
        </w:rPr>
        <w:t>000</w:t>
      </w:r>
    </w:p>
    <w:p w:rsidR="003420FC" w:rsidRPr="006030A1" w:rsidRDefault="00F66D2D" w:rsidP="006030A1">
      <w:pPr>
        <w:ind w:firstLineChars="200" w:firstLine="600"/>
        <w:rPr>
          <w:szCs w:val="30"/>
        </w:rPr>
      </w:pPr>
      <w:r>
        <w:rPr>
          <w:rFonts w:hint="eastAsia"/>
          <w:szCs w:val="30"/>
        </w:rPr>
        <w:t>3.</w:t>
      </w:r>
      <w:r w:rsidR="00BC0B2A" w:rsidRPr="006030A1">
        <w:rPr>
          <w:rFonts w:hint="eastAsia"/>
          <w:szCs w:val="30"/>
        </w:rPr>
        <w:t>上下级</w:t>
      </w:r>
      <w:r w:rsidR="00A13F57" w:rsidRPr="006030A1">
        <w:rPr>
          <w:rFonts w:hint="eastAsia"/>
          <w:szCs w:val="30"/>
        </w:rPr>
        <w:t>政府</w:t>
      </w:r>
      <w:r w:rsidR="00BC0B2A" w:rsidRPr="006030A1">
        <w:rPr>
          <w:rFonts w:hint="eastAsia"/>
          <w:szCs w:val="30"/>
        </w:rPr>
        <w:t>财政之间</w:t>
      </w:r>
      <w:r w:rsidR="00A13F57" w:rsidRPr="006030A1">
        <w:rPr>
          <w:rFonts w:hint="eastAsia"/>
          <w:szCs w:val="30"/>
        </w:rPr>
        <w:t>发生</w:t>
      </w:r>
      <w:r w:rsidR="00BC0B2A" w:rsidRPr="006030A1">
        <w:rPr>
          <w:rFonts w:hint="eastAsia"/>
          <w:szCs w:val="30"/>
        </w:rPr>
        <w:t>的地方政府债券</w:t>
      </w:r>
      <w:r w:rsidR="00A13F57" w:rsidRPr="006030A1">
        <w:rPr>
          <w:rFonts w:hint="eastAsia"/>
          <w:szCs w:val="30"/>
        </w:rPr>
        <w:t>转贷款和</w:t>
      </w:r>
      <w:r w:rsidR="00BC0B2A" w:rsidRPr="006030A1">
        <w:rPr>
          <w:rFonts w:hint="eastAsia"/>
          <w:szCs w:val="30"/>
        </w:rPr>
        <w:t>主权外债转贷</w:t>
      </w:r>
      <w:r w:rsidR="00A13F57" w:rsidRPr="006030A1">
        <w:rPr>
          <w:rFonts w:hint="eastAsia"/>
          <w:szCs w:val="30"/>
        </w:rPr>
        <w:t>款</w:t>
      </w:r>
      <w:r w:rsidR="00BC0B2A" w:rsidRPr="006030A1">
        <w:rPr>
          <w:rFonts w:hint="eastAsia"/>
          <w:szCs w:val="30"/>
        </w:rPr>
        <w:t>利息。</w:t>
      </w:r>
    </w:p>
    <w:p w:rsidR="003420FC" w:rsidRPr="006030A1" w:rsidRDefault="00BC0B2A" w:rsidP="006030A1">
      <w:pPr>
        <w:ind w:firstLineChars="200" w:firstLine="600"/>
        <w:rPr>
          <w:szCs w:val="30"/>
        </w:rPr>
      </w:pPr>
      <w:r w:rsidRPr="006030A1">
        <w:rPr>
          <w:rFonts w:hint="eastAsia"/>
          <w:szCs w:val="30"/>
        </w:rPr>
        <w:t>上下级政府</w:t>
      </w:r>
      <w:r w:rsidR="00A13F57" w:rsidRPr="006030A1">
        <w:rPr>
          <w:rFonts w:hint="eastAsia"/>
          <w:szCs w:val="30"/>
        </w:rPr>
        <w:t>财政之间发生的转</w:t>
      </w:r>
      <w:r w:rsidRPr="006030A1">
        <w:rPr>
          <w:rFonts w:hint="eastAsia"/>
          <w:szCs w:val="30"/>
        </w:rPr>
        <w:t>贷</w:t>
      </w:r>
      <w:r w:rsidR="00A13F57" w:rsidRPr="006030A1">
        <w:rPr>
          <w:rFonts w:hint="eastAsia"/>
          <w:szCs w:val="30"/>
        </w:rPr>
        <w:t>款利息主要涉及的报表项目有</w:t>
      </w:r>
      <w:r w:rsidRPr="006030A1">
        <w:rPr>
          <w:rFonts w:hint="eastAsia"/>
          <w:szCs w:val="30"/>
        </w:rPr>
        <w:t>应收利息、应付利息，应经确认后抵销。抵销分录为：借记“应付利息”，贷记“应收利息”。</w:t>
      </w:r>
    </w:p>
    <w:p w:rsidR="003420FC" w:rsidRPr="006030A1" w:rsidRDefault="00BC0B2A" w:rsidP="006030A1">
      <w:pPr>
        <w:ind w:firstLineChars="200" w:firstLine="600"/>
        <w:rPr>
          <w:szCs w:val="30"/>
        </w:rPr>
      </w:pPr>
      <w:r w:rsidRPr="006030A1">
        <w:rPr>
          <w:rFonts w:hint="eastAsia"/>
          <w:szCs w:val="30"/>
        </w:rPr>
        <w:t>例：甲市为某省下一级政府，甲市政府综合财务报表中地方</w:t>
      </w:r>
      <w:r w:rsidRPr="006030A1">
        <w:rPr>
          <w:rFonts w:hint="eastAsia"/>
          <w:szCs w:val="30"/>
        </w:rPr>
        <w:lastRenderedPageBreak/>
        <w:t>政府债券应付利息1</w:t>
      </w:r>
      <w:r w:rsidR="001C1D16">
        <w:rPr>
          <w:rFonts w:hint="eastAsia"/>
          <w:szCs w:val="30"/>
        </w:rPr>
        <w:t>,</w:t>
      </w:r>
      <w:r w:rsidRPr="006030A1">
        <w:rPr>
          <w:rFonts w:hint="eastAsia"/>
          <w:szCs w:val="30"/>
        </w:rPr>
        <w:t>000万元，该省应收利息中应收甲市地方政府债券应付利息1</w:t>
      </w:r>
      <w:r w:rsidR="001C1D16">
        <w:rPr>
          <w:rFonts w:hint="eastAsia"/>
          <w:szCs w:val="30"/>
        </w:rPr>
        <w:t>,</w:t>
      </w:r>
      <w:r w:rsidRPr="006030A1">
        <w:rPr>
          <w:rFonts w:hint="eastAsia"/>
          <w:szCs w:val="30"/>
        </w:rPr>
        <w:t>000万元。经确认无误后，编制抵销分录如下：</w:t>
      </w:r>
    </w:p>
    <w:p w:rsidR="003420FC" w:rsidRPr="006030A1" w:rsidRDefault="00BC0B2A" w:rsidP="006030A1">
      <w:pPr>
        <w:ind w:firstLineChars="200" w:firstLine="600"/>
        <w:rPr>
          <w:szCs w:val="30"/>
        </w:rPr>
      </w:pPr>
      <w:r w:rsidRPr="006030A1">
        <w:rPr>
          <w:rFonts w:hint="eastAsia"/>
          <w:szCs w:val="30"/>
        </w:rPr>
        <w:t>借：应付利息  1</w:t>
      </w:r>
      <w:r w:rsidR="001C1D16">
        <w:rPr>
          <w:rFonts w:hint="eastAsia"/>
          <w:szCs w:val="30"/>
        </w:rPr>
        <w:t>,</w:t>
      </w:r>
      <w:r w:rsidRPr="006030A1">
        <w:rPr>
          <w:rFonts w:hint="eastAsia"/>
          <w:szCs w:val="30"/>
        </w:rPr>
        <w:t>000</w:t>
      </w:r>
    </w:p>
    <w:p w:rsidR="003420FC" w:rsidRPr="006030A1" w:rsidRDefault="00BC0B2A" w:rsidP="006030A1">
      <w:pPr>
        <w:ind w:firstLineChars="200" w:firstLine="600"/>
        <w:rPr>
          <w:szCs w:val="30"/>
        </w:rPr>
      </w:pPr>
      <w:r w:rsidRPr="006030A1">
        <w:rPr>
          <w:rFonts w:hint="eastAsia"/>
          <w:szCs w:val="30"/>
        </w:rPr>
        <w:t xml:space="preserve">  贷：应收利息  1</w:t>
      </w:r>
      <w:r w:rsidR="001C1D16">
        <w:rPr>
          <w:rFonts w:hint="eastAsia"/>
          <w:szCs w:val="30"/>
        </w:rPr>
        <w:t>,</w:t>
      </w:r>
      <w:r w:rsidRPr="006030A1">
        <w:rPr>
          <w:rFonts w:hint="eastAsia"/>
          <w:szCs w:val="30"/>
        </w:rPr>
        <w:t>000</w:t>
      </w:r>
    </w:p>
    <w:p w:rsidR="003420FC" w:rsidRPr="006030A1" w:rsidRDefault="00F66D2D" w:rsidP="006030A1">
      <w:pPr>
        <w:ind w:firstLineChars="200" w:firstLine="600"/>
        <w:rPr>
          <w:szCs w:val="30"/>
        </w:rPr>
      </w:pPr>
      <w:r>
        <w:rPr>
          <w:rFonts w:hint="eastAsia"/>
          <w:szCs w:val="30"/>
        </w:rPr>
        <w:t>4.</w:t>
      </w:r>
      <w:r w:rsidR="00BC0B2A" w:rsidRPr="006030A1">
        <w:rPr>
          <w:rFonts w:hint="eastAsia"/>
          <w:szCs w:val="30"/>
        </w:rPr>
        <w:t>上下级</w:t>
      </w:r>
      <w:r w:rsidR="00BE0670" w:rsidRPr="006030A1">
        <w:rPr>
          <w:rFonts w:hint="eastAsia"/>
          <w:szCs w:val="30"/>
        </w:rPr>
        <w:t>政府</w:t>
      </w:r>
      <w:r w:rsidR="00BC0B2A" w:rsidRPr="006030A1">
        <w:rPr>
          <w:rFonts w:hint="eastAsia"/>
          <w:szCs w:val="30"/>
        </w:rPr>
        <w:t>财政之间</w:t>
      </w:r>
      <w:r w:rsidR="00BE0670" w:rsidRPr="006030A1">
        <w:rPr>
          <w:rFonts w:hint="eastAsia"/>
          <w:szCs w:val="30"/>
        </w:rPr>
        <w:t>发生</w:t>
      </w:r>
      <w:r w:rsidR="00BC0B2A" w:rsidRPr="006030A1">
        <w:rPr>
          <w:rFonts w:hint="eastAsia"/>
          <w:szCs w:val="30"/>
        </w:rPr>
        <w:t>的</w:t>
      </w:r>
      <w:r w:rsidR="00BE0670" w:rsidRPr="006030A1">
        <w:rPr>
          <w:rFonts w:hint="eastAsia"/>
          <w:szCs w:val="30"/>
        </w:rPr>
        <w:t>补助收支和上解收支</w:t>
      </w:r>
      <w:r w:rsidR="00BC0B2A" w:rsidRPr="006030A1">
        <w:rPr>
          <w:rFonts w:hint="eastAsia"/>
          <w:szCs w:val="30"/>
        </w:rPr>
        <w:t>。</w:t>
      </w:r>
    </w:p>
    <w:p w:rsidR="003420FC" w:rsidRPr="006030A1" w:rsidRDefault="00BC0B2A" w:rsidP="006030A1">
      <w:pPr>
        <w:ind w:firstLineChars="200" w:firstLine="600"/>
        <w:rPr>
          <w:szCs w:val="30"/>
        </w:rPr>
      </w:pPr>
      <w:r w:rsidRPr="006030A1">
        <w:rPr>
          <w:rFonts w:hint="eastAsia"/>
          <w:szCs w:val="30"/>
        </w:rPr>
        <w:t>上下级</w:t>
      </w:r>
      <w:r w:rsidR="00BE0670" w:rsidRPr="006030A1">
        <w:rPr>
          <w:rFonts w:hint="eastAsia"/>
          <w:szCs w:val="30"/>
        </w:rPr>
        <w:t>政府</w:t>
      </w:r>
      <w:r w:rsidRPr="006030A1">
        <w:rPr>
          <w:rFonts w:hint="eastAsia"/>
          <w:szCs w:val="30"/>
        </w:rPr>
        <w:t>财政之间的</w:t>
      </w:r>
      <w:r w:rsidR="00BE0670" w:rsidRPr="006030A1">
        <w:rPr>
          <w:rFonts w:hint="eastAsia"/>
          <w:szCs w:val="30"/>
        </w:rPr>
        <w:t>补助收支和上解收支主要涉及的报表项目有</w:t>
      </w:r>
      <w:r w:rsidRPr="006030A1">
        <w:rPr>
          <w:rFonts w:hint="eastAsia"/>
          <w:szCs w:val="30"/>
        </w:rPr>
        <w:t>政府间转移性收入</w:t>
      </w:r>
      <w:r w:rsidR="00BE0670" w:rsidRPr="006030A1">
        <w:rPr>
          <w:rFonts w:hint="eastAsia"/>
          <w:szCs w:val="30"/>
        </w:rPr>
        <w:t>（补助收入</w:t>
      </w:r>
      <w:r w:rsidRPr="006030A1">
        <w:rPr>
          <w:rFonts w:hint="eastAsia"/>
          <w:szCs w:val="30"/>
        </w:rPr>
        <w:t>、</w:t>
      </w:r>
      <w:r w:rsidR="00BE0670" w:rsidRPr="006030A1">
        <w:rPr>
          <w:rFonts w:hint="eastAsia"/>
          <w:szCs w:val="30"/>
        </w:rPr>
        <w:t>上解收入）、</w:t>
      </w:r>
      <w:r w:rsidRPr="006030A1">
        <w:rPr>
          <w:rFonts w:hint="eastAsia"/>
          <w:szCs w:val="30"/>
        </w:rPr>
        <w:t>政府间转移性支出</w:t>
      </w:r>
      <w:r w:rsidR="00BE0670" w:rsidRPr="006030A1">
        <w:rPr>
          <w:rFonts w:hint="eastAsia"/>
          <w:szCs w:val="30"/>
        </w:rPr>
        <w:t>（补助支出、上解支出），应</w:t>
      </w:r>
      <w:r w:rsidRPr="006030A1">
        <w:rPr>
          <w:rFonts w:hint="eastAsia"/>
          <w:szCs w:val="30"/>
        </w:rPr>
        <w:t>经确认</w:t>
      </w:r>
      <w:r w:rsidR="00BE0670" w:rsidRPr="006030A1">
        <w:rPr>
          <w:rFonts w:hint="eastAsia"/>
          <w:szCs w:val="30"/>
        </w:rPr>
        <w:t>后抵销。</w:t>
      </w:r>
      <w:r w:rsidRPr="006030A1">
        <w:rPr>
          <w:rFonts w:hint="eastAsia"/>
          <w:szCs w:val="30"/>
        </w:rPr>
        <w:t>抵销分录</w:t>
      </w:r>
      <w:r w:rsidR="00BE0670" w:rsidRPr="006030A1">
        <w:rPr>
          <w:rFonts w:hint="eastAsia"/>
          <w:szCs w:val="30"/>
        </w:rPr>
        <w:t>为</w:t>
      </w:r>
      <w:r w:rsidRPr="006030A1">
        <w:rPr>
          <w:rFonts w:hint="eastAsia"/>
          <w:szCs w:val="30"/>
        </w:rPr>
        <w:t>：借记“政府间转移性收入”；贷记“政府间转移性支出”。</w:t>
      </w:r>
    </w:p>
    <w:p w:rsidR="003420FC" w:rsidRPr="006030A1" w:rsidRDefault="00BC0B2A" w:rsidP="006030A1">
      <w:pPr>
        <w:ind w:firstLineChars="200" w:firstLine="600"/>
        <w:rPr>
          <w:szCs w:val="30"/>
        </w:rPr>
      </w:pPr>
      <w:r w:rsidRPr="006030A1">
        <w:rPr>
          <w:rFonts w:hint="eastAsia"/>
          <w:szCs w:val="30"/>
        </w:rPr>
        <w:t>例：某省本级政府综合财务报表“政府间转移性支出”明细表中，对B市财政拨付了2</w:t>
      </w:r>
      <w:r w:rsidR="001C1D16">
        <w:rPr>
          <w:rFonts w:hint="eastAsia"/>
          <w:szCs w:val="30"/>
        </w:rPr>
        <w:t>,</w:t>
      </w:r>
      <w:r w:rsidRPr="006030A1">
        <w:rPr>
          <w:rFonts w:hint="eastAsia"/>
          <w:szCs w:val="30"/>
        </w:rPr>
        <w:t>000万元</w:t>
      </w:r>
      <w:r w:rsidR="00BE0670" w:rsidRPr="006030A1">
        <w:rPr>
          <w:rFonts w:hint="eastAsia"/>
          <w:szCs w:val="30"/>
        </w:rPr>
        <w:t>补助</w:t>
      </w:r>
      <w:r w:rsidRPr="006030A1">
        <w:rPr>
          <w:rFonts w:hint="eastAsia"/>
          <w:szCs w:val="30"/>
        </w:rPr>
        <w:t>支出，B市“政府间转移性收入”明细表中收到省级</w:t>
      </w:r>
      <w:r w:rsidR="00BE0670" w:rsidRPr="006030A1">
        <w:rPr>
          <w:rFonts w:hint="eastAsia"/>
          <w:szCs w:val="30"/>
        </w:rPr>
        <w:t>补助</w:t>
      </w:r>
      <w:r w:rsidRPr="006030A1">
        <w:rPr>
          <w:rFonts w:hint="eastAsia"/>
          <w:szCs w:val="30"/>
        </w:rPr>
        <w:t>收入2</w:t>
      </w:r>
      <w:r w:rsidR="001C1D16">
        <w:rPr>
          <w:rFonts w:hint="eastAsia"/>
          <w:szCs w:val="30"/>
        </w:rPr>
        <w:t>,</w:t>
      </w:r>
      <w:r w:rsidRPr="006030A1">
        <w:rPr>
          <w:rFonts w:hint="eastAsia"/>
          <w:szCs w:val="30"/>
        </w:rPr>
        <w:t>000万元，经确认无误后，编制抵销分录如下：</w:t>
      </w:r>
    </w:p>
    <w:p w:rsidR="003420FC" w:rsidRPr="006030A1" w:rsidRDefault="00BC0B2A" w:rsidP="006030A1">
      <w:pPr>
        <w:ind w:firstLineChars="200" w:firstLine="600"/>
        <w:rPr>
          <w:szCs w:val="30"/>
        </w:rPr>
      </w:pPr>
      <w:r w:rsidRPr="006030A1">
        <w:rPr>
          <w:rFonts w:hint="eastAsia"/>
          <w:szCs w:val="30"/>
        </w:rPr>
        <w:t>借：政府间转移性收入  2</w:t>
      </w:r>
      <w:r w:rsidR="001C1D16">
        <w:rPr>
          <w:rFonts w:hint="eastAsia"/>
          <w:szCs w:val="30"/>
        </w:rPr>
        <w:t>,</w:t>
      </w:r>
      <w:r w:rsidRPr="006030A1">
        <w:rPr>
          <w:rFonts w:hint="eastAsia"/>
          <w:szCs w:val="30"/>
        </w:rPr>
        <w:t>000</w:t>
      </w:r>
    </w:p>
    <w:p w:rsidR="003420FC" w:rsidRPr="006030A1" w:rsidRDefault="00BC0B2A" w:rsidP="006030A1">
      <w:pPr>
        <w:ind w:firstLineChars="300" w:firstLine="900"/>
        <w:rPr>
          <w:szCs w:val="30"/>
        </w:rPr>
      </w:pPr>
      <w:r w:rsidRPr="006030A1">
        <w:rPr>
          <w:rFonts w:hint="eastAsia"/>
          <w:szCs w:val="30"/>
        </w:rPr>
        <w:t>贷：政府间转移性支出  2</w:t>
      </w:r>
      <w:r w:rsidR="001C1D16">
        <w:rPr>
          <w:rFonts w:hint="eastAsia"/>
          <w:szCs w:val="30"/>
        </w:rPr>
        <w:t>,</w:t>
      </w:r>
      <w:r w:rsidRPr="006030A1">
        <w:rPr>
          <w:rFonts w:hint="eastAsia"/>
          <w:szCs w:val="30"/>
        </w:rPr>
        <w:t>000</w:t>
      </w:r>
    </w:p>
    <w:p w:rsidR="003420FC" w:rsidRPr="006030A1" w:rsidRDefault="00F66D2D" w:rsidP="006030A1">
      <w:pPr>
        <w:ind w:firstLineChars="200" w:firstLine="600"/>
        <w:rPr>
          <w:szCs w:val="30"/>
        </w:rPr>
      </w:pPr>
      <w:r>
        <w:rPr>
          <w:rFonts w:hint="eastAsia"/>
          <w:szCs w:val="30"/>
        </w:rPr>
        <w:t>5.</w:t>
      </w:r>
      <w:r w:rsidR="00BE0670" w:rsidRPr="006030A1">
        <w:rPr>
          <w:rFonts w:hint="eastAsia"/>
          <w:szCs w:val="30"/>
        </w:rPr>
        <w:t>不同政府</w:t>
      </w:r>
      <w:r w:rsidR="00BC0B2A" w:rsidRPr="006030A1">
        <w:rPr>
          <w:rFonts w:hint="eastAsia"/>
          <w:szCs w:val="30"/>
        </w:rPr>
        <w:t>财政之间</w:t>
      </w:r>
      <w:r w:rsidR="00BE0670" w:rsidRPr="006030A1">
        <w:rPr>
          <w:rFonts w:hint="eastAsia"/>
          <w:szCs w:val="30"/>
        </w:rPr>
        <w:t>发生的</w:t>
      </w:r>
      <w:r w:rsidR="00BC0B2A" w:rsidRPr="006030A1">
        <w:rPr>
          <w:rFonts w:hint="eastAsia"/>
          <w:szCs w:val="30"/>
        </w:rPr>
        <w:t>援助</w:t>
      </w:r>
      <w:r w:rsidR="00BE0670" w:rsidRPr="006030A1">
        <w:rPr>
          <w:rFonts w:hint="eastAsia"/>
          <w:szCs w:val="30"/>
        </w:rPr>
        <w:t>收支</w:t>
      </w:r>
      <w:r w:rsidR="00BC0B2A" w:rsidRPr="006030A1">
        <w:rPr>
          <w:rFonts w:hint="eastAsia"/>
          <w:szCs w:val="30"/>
        </w:rPr>
        <w:t>。</w:t>
      </w:r>
    </w:p>
    <w:p w:rsidR="003420FC" w:rsidRPr="006030A1" w:rsidRDefault="00BE0670" w:rsidP="006030A1">
      <w:pPr>
        <w:ind w:firstLineChars="200" w:firstLine="600"/>
        <w:rPr>
          <w:szCs w:val="30"/>
        </w:rPr>
      </w:pPr>
      <w:r w:rsidRPr="006030A1">
        <w:rPr>
          <w:rFonts w:hint="eastAsia"/>
          <w:szCs w:val="30"/>
        </w:rPr>
        <w:t>不同政府财政之间发生的援助收支</w:t>
      </w:r>
      <w:r w:rsidR="00BC0B2A" w:rsidRPr="006030A1">
        <w:rPr>
          <w:rFonts w:hint="eastAsia"/>
          <w:szCs w:val="30"/>
        </w:rPr>
        <w:t>主要涉及</w:t>
      </w:r>
      <w:r w:rsidRPr="006030A1">
        <w:rPr>
          <w:rFonts w:hint="eastAsia"/>
          <w:szCs w:val="30"/>
        </w:rPr>
        <w:t>的报表项目有</w:t>
      </w:r>
      <w:r w:rsidR="00BC0B2A" w:rsidRPr="006030A1">
        <w:rPr>
          <w:rFonts w:hint="eastAsia"/>
          <w:szCs w:val="30"/>
        </w:rPr>
        <w:t>政府间转移性收入（地区间援助收入）、政府间转移性支出（地区间援助支出）</w:t>
      </w:r>
      <w:r w:rsidRPr="006030A1">
        <w:rPr>
          <w:rFonts w:hint="eastAsia"/>
          <w:szCs w:val="30"/>
        </w:rPr>
        <w:t>，应</w:t>
      </w:r>
      <w:r w:rsidR="00BC0B2A" w:rsidRPr="006030A1">
        <w:rPr>
          <w:rFonts w:hint="eastAsia"/>
          <w:szCs w:val="30"/>
        </w:rPr>
        <w:t>经确认后</w:t>
      </w:r>
      <w:r w:rsidRPr="006030A1">
        <w:rPr>
          <w:rFonts w:hint="eastAsia"/>
          <w:szCs w:val="30"/>
        </w:rPr>
        <w:t>抵销。</w:t>
      </w:r>
      <w:r w:rsidR="00BC0B2A" w:rsidRPr="006030A1">
        <w:rPr>
          <w:rFonts w:hint="eastAsia"/>
          <w:szCs w:val="30"/>
        </w:rPr>
        <w:t>抵销分录</w:t>
      </w:r>
      <w:r w:rsidRPr="006030A1">
        <w:rPr>
          <w:rFonts w:hint="eastAsia"/>
          <w:szCs w:val="30"/>
        </w:rPr>
        <w:t>为</w:t>
      </w:r>
      <w:r w:rsidR="00BC0B2A" w:rsidRPr="006030A1">
        <w:rPr>
          <w:rFonts w:hint="eastAsia"/>
          <w:szCs w:val="30"/>
        </w:rPr>
        <w:t>：借记“政府间转移性收入”；贷记“政府间转移性支出”。</w:t>
      </w:r>
    </w:p>
    <w:p w:rsidR="003420FC" w:rsidRPr="006030A1" w:rsidRDefault="00BC0B2A" w:rsidP="006030A1">
      <w:pPr>
        <w:ind w:firstLineChars="200" w:firstLine="600"/>
        <w:rPr>
          <w:szCs w:val="30"/>
        </w:rPr>
      </w:pPr>
      <w:r w:rsidRPr="006030A1">
        <w:rPr>
          <w:rFonts w:hint="eastAsia"/>
          <w:szCs w:val="30"/>
        </w:rPr>
        <w:t>例：某市B县政府综合财务报表中，收到来自同市A县的地方援助收入100万元，A县支付给B县的地方援助支出100万元。</w:t>
      </w:r>
      <w:r w:rsidRPr="006030A1">
        <w:rPr>
          <w:rFonts w:hint="eastAsia"/>
          <w:szCs w:val="30"/>
        </w:rPr>
        <w:lastRenderedPageBreak/>
        <w:t>经确认无误后，编制抵销分录如下：</w:t>
      </w:r>
    </w:p>
    <w:p w:rsidR="003420FC" w:rsidRPr="006030A1" w:rsidRDefault="00BC0B2A" w:rsidP="006030A1">
      <w:pPr>
        <w:ind w:firstLineChars="200" w:firstLine="600"/>
        <w:rPr>
          <w:szCs w:val="30"/>
        </w:rPr>
      </w:pPr>
      <w:r w:rsidRPr="006030A1">
        <w:rPr>
          <w:rFonts w:hint="eastAsia"/>
          <w:szCs w:val="30"/>
        </w:rPr>
        <w:t>借：政府间转移性收入  100</w:t>
      </w:r>
    </w:p>
    <w:p w:rsidR="003420FC" w:rsidRPr="006030A1" w:rsidRDefault="00BC0B2A" w:rsidP="006030A1">
      <w:pPr>
        <w:ind w:firstLineChars="300" w:firstLine="900"/>
        <w:rPr>
          <w:szCs w:val="30"/>
        </w:rPr>
      </w:pPr>
      <w:r w:rsidRPr="006030A1">
        <w:rPr>
          <w:rFonts w:hint="eastAsia"/>
          <w:szCs w:val="30"/>
        </w:rPr>
        <w:t>贷：政府间转移性支出  100</w:t>
      </w:r>
    </w:p>
    <w:p w:rsidR="003420FC" w:rsidRPr="00F66D2D" w:rsidRDefault="00F66D2D" w:rsidP="00792AD0">
      <w:pPr>
        <w:ind w:firstLineChars="200" w:firstLine="602"/>
        <w:rPr>
          <w:b/>
          <w:szCs w:val="30"/>
        </w:rPr>
      </w:pPr>
      <w:r w:rsidRPr="00F66D2D">
        <w:rPr>
          <w:rFonts w:hint="eastAsia"/>
          <w:b/>
          <w:szCs w:val="30"/>
        </w:rPr>
        <w:t>（二）</w:t>
      </w:r>
      <w:r w:rsidR="00A52379" w:rsidRPr="00F66D2D">
        <w:rPr>
          <w:rFonts w:hint="eastAsia"/>
          <w:b/>
          <w:szCs w:val="30"/>
        </w:rPr>
        <w:t>政府部门</w:t>
      </w:r>
      <w:r w:rsidR="00BC0B2A" w:rsidRPr="00F66D2D">
        <w:rPr>
          <w:rFonts w:hint="eastAsia"/>
          <w:b/>
          <w:szCs w:val="30"/>
        </w:rPr>
        <w:t>与</w:t>
      </w:r>
      <w:r w:rsidR="00A52379" w:rsidRPr="00F66D2D">
        <w:rPr>
          <w:rFonts w:hint="eastAsia"/>
          <w:b/>
          <w:szCs w:val="30"/>
        </w:rPr>
        <w:t>非同级政府财政</w:t>
      </w:r>
      <w:r w:rsidR="00BC0B2A" w:rsidRPr="00F66D2D">
        <w:rPr>
          <w:rFonts w:hint="eastAsia"/>
          <w:b/>
          <w:szCs w:val="30"/>
        </w:rPr>
        <w:t>之间发生的经济业务或事项。</w:t>
      </w:r>
    </w:p>
    <w:p w:rsidR="003420FC" w:rsidRPr="006030A1" w:rsidRDefault="00BC0B2A" w:rsidP="006030A1">
      <w:pPr>
        <w:ind w:firstLineChars="200" w:firstLine="600"/>
        <w:rPr>
          <w:szCs w:val="30"/>
        </w:rPr>
      </w:pPr>
      <w:r w:rsidRPr="006030A1">
        <w:rPr>
          <w:rFonts w:hint="eastAsia"/>
          <w:szCs w:val="30"/>
        </w:rPr>
        <w:t>政府部门的“其他收入”中来自于非同级</w:t>
      </w:r>
      <w:r w:rsidR="00A26C8E" w:rsidRPr="006030A1">
        <w:rPr>
          <w:rFonts w:hint="eastAsia"/>
          <w:szCs w:val="30"/>
        </w:rPr>
        <w:t>政府财政的拨款，与对方政府</w:t>
      </w:r>
      <w:r w:rsidRPr="006030A1">
        <w:rPr>
          <w:rFonts w:hint="eastAsia"/>
          <w:szCs w:val="30"/>
        </w:rPr>
        <w:t>财政的相关费用之间存在抵销关系，应经确认后抵销。抵销分录为：借记“政府间转移性收入（其他收入）”，贷记“商品与服务费用”、“其他费用”等。</w:t>
      </w:r>
    </w:p>
    <w:p w:rsidR="003420FC" w:rsidRPr="006030A1" w:rsidRDefault="00BC0B2A" w:rsidP="006030A1">
      <w:pPr>
        <w:ind w:firstLineChars="200" w:firstLine="600"/>
        <w:rPr>
          <w:szCs w:val="30"/>
        </w:rPr>
      </w:pPr>
      <w:r w:rsidRPr="006030A1">
        <w:rPr>
          <w:rFonts w:hint="eastAsia"/>
          <w:szCs w:val="30"/>
        </w:rPr>
        <w:t>例：某省政府综合财务报表中甲市C部门（如：税务、工商等）其他收入500万元，其中来自丙县财政200万元；丙县政府综合财务报表其他费用中支付给甲市C部门200万元。经确认无误后，编制抵销分录如下：</w:t>
      </w:r>
    </w:p>
    <w:p w:rsidR="003420FC" w:rsidRPr="006030A1" w:rsidRDefault="00BC0B2A" w:rsidP="006030A1">
      <w:pPr>
        <w:ind w:firstLineChars="200" w:firstLine="600"/>
        <w:rPr>
          <w:szCs w:val="30"/>
        </w:rPr>
      </w:pPr>
      <w:r w:rsidRPr="006030A1">
        <w:rPr>
          <w:rFonts w:hint="eastAsia"/>
          <w:szCs w:val="30"/>
        </w:rPr>
        <w:t>借：政府间转移性收入</w:t>
      </w:r>
      <w:r w:rsidR="006030A1">
        <w:rPr>
          <w:rFonts w:hint="eastAsia"/>
          <w:szCs w:val="30"/>
        </w:rPr>
        <w:t xml:space="preserve">  200</w:t>
      </w:r>
    </w:p>
    <w:p w:rsidR="003420FC" w:rsidRPr="006030A1" w:rsidRDefault="00BC0B2A" w:rsidP="006030A1">
      <w:pPr>
        <w:ind w:firstLineChars="350" w:firstLine="1050"/>
        <w:rPr>
          <w:szCs w:val="30"/>
        </w:rPr>
      </w:pPr>
      <w:r w:rsidRPr="006030A1">
        <w:rPr>
          <w:rFonts w:hint="eastAsia"/>
          <w:szCs w:val="30"/>
        </w:rPr>
        <w:t>贷：其他费用         200</w:t>
      </w:r>
    </w:p>
    <w:p w:rsidR="003420FC" w:rsidRPr="00F66D2D" w:rsidRDefault="00F66D2D" w:rsidP="00F66D2D">
      <w:pPr>
        <w:ind w:firstLineChars="200" w:firstLine="602"/>
        <w:rPr>
          <w:b/>
          <w:szCs w:val="30"/>
        </w:rPr>
      </w:pPr>
      <w:r w:rsidRPr="00F66D2D">
        <w:rPr>
          <w:rFonts w:hint="eastAsia"/>
          <w:b/>
          <w:szCs w:val="30"/>
        </w:rPr>
        <w:t>（三）</w:t>
      </w:r>
      <w:r w:rsidR="00BC0B2A" w:rsidRPr="00F66D2D">
        <w:rPr>
          <w:rFonts w:hint="eastAsia"/>
          <w:b/>
          <w:szCs w:val="30"/>
        </w:rPr>
        <w:t>非同级政府部门之间发生的经济业务或事项。</w:t>
      </w:r>
    </w:p>
    <w:p w:rsidR="003420FC" w:rsidRPr="006030A1" w:rsidRDefault="00F66D2D" w:rsidP="006030A1">
      <w:pPr>
        <w:ind w:firstLineChars="200" w:firstLine="600"/>
        <w:rPr>
          <w:szCs w:val="30"/>
        </w:rPr>
      </w:pPr>
      <w:r>
        <w:rPr>
          <w:rFonts w:hint="eastAsia"/>
          <w:szCs w:val="30"/>
        </w:rPr>
        <w:t>1.</w:t>
      </w:r>
      <w:r w:rsidR="00BC0B2A" w:rsidRPr="006030A1">
        <w:rPr>
          <w:rFonts w:hint="eastAsia"/>
          <w:szCs w:val="30"/>
        </w:rPr>
        <w:t>非同级政府部门之间的债权债务事项。</w:t>
      </w:r>
    </w:p>
    <w:p w:rsidR="003420FC" w:rsidRPr="006030A1" w:rsidRDefault="00BC0B2A" w:rsidP="006030A1">
      <w:pPr>
        <w:ind w:firstLineChars="200" w:firstLine="600"/>
        <w:rPr>
          <w:szCs w:val="30"/>
        </w:rPr>
      </w:pPr>
      <w:r w:rsidRPr="006030A1">
        <w:rPr>
          <w:rFonts w:hint="eastAsia"/>
          <w:szCs w:val="30"/>
        </w:rPr>
        <w:t>非同级政府部门之间发生的债权债务事项</w:t>
      </w:r>
      <w:r w:rsidR="00A52379" w:rsidRPr="006030A1">
        <w:rPr>
          <w:rFonts w:hint="eastAsia"/>
          <w:szCs w:val="30"/>
        </w:rPr>
        <w:t>主要</w:t>
      </w:r>
      <w:r w:rsidRPr="006030A1">
        <w:rPr>
          <w:rFonts w:hint="eastAsia"/>
          <w:szCs w:val="30"/>
        </w:rPr>
        <w:t>涉及的报表项目有应收及预付款项、应付及预收款项</w:t>
      </w:r>
      <w:r w:rsidR="00A52379" w:rsidRPr="006030A1">
        <w:rPr>
          <w:rFonts w:hint="eastAsia"/>
          <w:szCs w:val="30"/>
        </w:rPr>
        <w:t>，应经确认后抵销</w:t>
      </w:r>
      <w:r w:rsidRPr="006030A1">
        <w:rPr>
          <w:rFonts w:hint="eastAsia"/>
          <w:szCs w:val="30"/>
        </w:rPr>
        <w:t>。抵销分录</w:t>
      </w:r>
      <w:r w:rsidR="00A52379" w:rsidRPr="006030A1">
        <w:rPr>
          <w:rFonts w:hint="eastAsia"/>
          <w:szCs w:val="30"/>
        </w:rPr>
        <w:t>为</w:t>
      </w:r>
      <w:r w:rsidRPr="006030A1">
        <w:rPr>
          <w:rFonts w:hint="eastAsia"/>
          <w:szCs w:val="30"/>
        </w:rPr>
        <w:t>：借记“应付及预收款</w:t>
      </w:r>
      <w:r w:rsidR="00A52379" w:rsidRPr="006030A1">
        <w:rPr>
          <w:rFonts w:hint="eastAsia"/>
          <w:szCs w:val="30"/>
        </w:rPr>
        <w:t>项</w:t>
      </w:r>
      <w:r w:rsidRPr="006030A1">
        <w:rPr>
          <w:rFonts w:hint="eastAsia"/>
          <w:szCs w:val="30"/>
        </w:rPr>
        <w:t>”，贷记“应收及预付款项”。</w:t>
      </w:r>
    </w:p>
    <w:p w:rsidR="003420FC" w:rsidRPr="006030A1" w:rsidRDefault="00BC0B2A" w:rsidP="006030A1">
      <w:pPr>
        <w:ind w:firstLineChars="200" w:firstLine="600"/>
        <w:rPr>
          <w:szCs w:val="30"/>
        </w:rPr>
      </w:pPr>
      <w:r w:rsidRPr="006030A1">
        <w:rPr>
          <w:rFonts w:hint="eastAsia"/>
          <w:szCs w:val="30"/>
        </w:rPr>
        <w:t>例：某省甲市政府综合财务报表“应收及预付款项”中，A部门应收同省乙市B部门款项500万元；乙市政府综合财务报表</w:t>
      </w:r>
      <w:r w:rsidRPr="006030A1">
        <w:rPr>
          <w:rFonts w:hint="eastAsia"/>
          <w:szCs w:val="30"/>
        </w:rPr>
        <w:lastRenderedPageBreak/>
        <w:t>“应付及预收款项”中，B部门应付A部门款项500万元。经确认无误后，编制抵销分录如下：</w:t>
      </w:r>
    </w:p>
    <w:p w:rsidR="003420FC" w:rsidRPr="006030A1" w:rsidRDefault="00BC0B2A" w:rsidP="006030A1">
      <w:pPr>
        <w:ind w:firstLineChars="200" w:firstLine="600"/>
        <w:rPr>
          <w:szCs w:val="30"/>
        </w:rPr>
      </w:pPr>
      <w:r w:rsidRPr="006030A1">
        <w:rPr>
          <w:rFonts w:hint="eastAsia"/>
          <w:szCs w:val="30"/>
        </w:rPr>
        <w:t>借：应付及预收款</w:t>
      </w:r>
      <w:r w:rsidR="00A52379" w:rsidRPr="006030A1">
        <w:rPr>
          <w:rFonts w:hint="eastAsia"/>
          <w:szCs w:val="30"/>
        </w:rPr>
        <w:t>项</w:t>
      </w:r>
      <w:r w:rsidRPr="006030A1">
        <w:rPr>
          <w:rFonts w:hint="eastAsia"/>
          <w:szCs w:val="30"/>
        </w:rPr>
        <w:t xml:space="preserve">  500</w:t>
      </w:r>
    </w:p>
    <w:p w:rsidR="003420FC" w:rsidRPr="006030A1" w:rsidRDefault="00BC0B2A" w:rsidP="006030A1">
      <w:pPr>
        <w:ind w:firstLineChars="200" w:firstLine="600"/>
        <w:rPr>
          <w:szCs w:val="30"/>
        </w:rPr>
      </w:pPr>
      <w:r w:rsidRPr="006030A1">
        <w:rPr>
          <w:rFonts w:hint="eastAsia"/>
          <w:szCs w:val="30"/>
        </w:rPr>
        <w:t xml:space="preserve">  贷：应收及预付款项  500</w:t>
      </w:r>
    </w:p>
    <w:p w:rsidR="003420FC" w:rsidRPr="006030A1" w:rsidRDefault="00F66D2D" w:rsidP="006030A1">
      <w:pPr>
        <w:ind w:firstLineChars="200" w:firstLine="600"/>
        <w:rPr>
          <w:szCs w:val="30"/>
        </w:rPr>
      </w:pPr>
      <w:r>
        <w:rPr>
          <w:rFonts w:hint="eastAsia"/>
          <w:szCs w:val="30"/>
        </w:rPr>
        <w:t>2.</w:t>
      </w:r>
      <w:r w:rsidR="00BC0B2A" w:rsidRPr="006030A1">
        <w:rPr>
          <w:rFonts w:hint="eastAsia"/>
          <w:szCs w:val="30"/>
        </w:rPr>
        <w:t>非同级政府部门之间的收入费用事项。</w:t>
      </w:r>
    </w:p>
    <w:p w:rsidR="003420FC" w:rsidRPr="006030A1" w:rsidRDefault="00BC0B2A" w:rsidP="006030A1">
      <w:pPr>
        <w:ind w:firstLineChars="200" w:firstLine="600"/>
        <w:rPr>
          <w:szCs w:val="30"/>
        </w:rPr>
      </w:pPr>
      <w:r w:rsidRPr="006030A1">
        <w:rPr>
          <w:rFonts w:hint="eastAsia"/>
          <w:szCs w:val="30"/>
        </w:rPr>
        <w:t>非同级政府部门之间发生的收入费用事项主要涉及</w:t>
      </w:r>
      <w:r w:rsidR="00A52379" w:rsidRPr="006030A1">
        <w:rPr>
          <w:rFonts w:hint="eastAsia"/>
          <w:szCs w:val="30"/>
        </w:rPr>
        <w:t>的报表项目有</w:t>
      </w:r>
      <w:r w:rsidRPr="006030A1">
        <w:rPr>
          <w:rFonts w:hint="eastAsia"/>
          <w:szCs w:val="30"/>
        </w:rPr>
        <w:t>事业收入、经营收入</w:t>
      </w:r>
      <w:r w:rsidRPr="006030A1">
        <w:rPr>
          <w:rFonts w:hint="eastAsia"/>
          <w:color w:val="auto"/>
          <w:szCs w:val="30"/>
        </w:rPr>
        <w:t>、</w:t>
      </w:r>
      <w:r w:rsidRPr="006030A1">
        <w:rPr>
          <w:rFonts w:hint="eastAsia"/>
          <w:szCs w:val="30"/>
        </w:rPr>
        <w:t>其他收入</w:t>
      </w:r>
      <w:r w:rsidR="00A52379" w:rsidRPr="006030A1">
        <w:rPr>
          <w:rFonts w:hint="eastAsia"/>
          <w:szCs w:val="30"/>
        </w:rPr>
        <w:t>、</w:t>
      </w:r>
      <w:r w:rsidRPr="006030A1">
        <w:rPr>
          <w:rFonts w:hint="eastAsia"/>
          <w:szCs w:val="30"/>
        </w:rPr>
        <w:t>商品和服务费用、经营费用</w:t>
      </w:r>
      <w:r w:rsidR="00A52379" w:rsidRPr="006030A1">
        <w:rPr>
          <w:rFonts w:hint="eastAsia"/>
          <w:szCs w:val="30"/>
        </w:rPr>
        <w:t>，应经确认后抵销。</w:t>
      </w:r>
      <w:r w:rsidRPr="006030A1">
        <w:rPr>
          <w:rFonts w:hint="eastAsia"/>
          <w:szCs w:val="30"/>
        </w:rPr>
        <w:t>抵销分录</w:t>
      </w:r>
      <w:r w:rsidR="00A52379" w:rsidRPr="006030A1">
        <w:rPr>
          <w:rFonts w:hint="eastAsia"/>
          <w:szCs w:val="30"/>
        </w:rPr>
        <w:t>为</w:t>
      </w:r>
      <w:r w:rsidRPr="006030A1">
        <w:rPr>
          <w:rFonts w:hint="eastAsia"/>
          <w:szCs w:val="30"/>
        </w:rPr>
        <w:t>：借记“事业收入”、“经营收入”、“其他收入”，贷记“商品和服务费用”、“经营费用”。</w:t>
      </w:r>
    </w:p>
    <w:p w:rsidR="003420FC" w:rsidRPr="006030A1" w:rsidRDefault="00BC0B2A" w:rsidP="006030A1">
      <w:pPr>
        <w:ind w:firstLineChars="200" w:firstLine="600"/>
        <w:rPr>
          <w:szCs w:val="30"/>
        </w:rPr>
      </w:pPr>
      <w:r w:rsidRPr="006030A1">
        <w:rPr>
          <w:rFonts w:hint="eastAsia"/>
          <w:szCs w:val="30"/>
        </w:rPr>
        <w:t>例：某省甲市政府综合财务报表中，A部门收到来自同省乙市B部门支付的事业收入600万元，B部门的商品和服务费用中支付给甲市A部门600万元。经确认无误后，编制抵销分录如下：</w:t>
      </w:r>
    </w:p>
    <w:p w:rsidR="003420FC" w:rsidRPr="006030A1" w:rsidRDefault="00BC0B2A" w:rsidP="006030A1">
      <w:pPr>
        <w:ind w:firstLineChars="200" w:firstLine="600"/>
        <w:rPr>
          <w:szCs w:val="30"/>
        </w:rPr>
      </w:pPr>
      <w:r w:rsidRPr="006030A1">
        <w:rPr>
          <w:rFonts w:hint="eastAsia"/>
          <w:szCs w:val="30"/>
        </w:rPr>
        <w:t>借：事业收入</w:t>
      </w:r>
      <w:r w:rsidR="006030A1">
        <w:rPr>
          <w:rFonts w:hint="eastAsia"/>
          <w:szCs w:val="30"/>
        </w:rPr>
        <w:t xml:space="preserve">  600</w:t>
      </w:r>
    </w:p>
    <w:p w:rsidR="003420FC" w:rsidRPr="006030A1" w:rsidRDefault="00BC0B2A" w:rsidP="006030A1">
      <w:pPr>
        <w:ind w:firstLineChars="350" w:firstLine="1050"/>
        <w:rPr>
          <w:szCs w:val="30"/>
        </w:rPr>
      </w:pPr>
      <w:r w:rsidRPr="006030A1">
        <w:rPr>
          <w:rFonts w:hint="eastAsia"/>
          <w:szCs w:val="30"/>
        </w:rPr>
        <w:t>贷：商品和服务费用  600</w:t>
      </w:r>
    </w:p>
    <w:p w:rsidR="003420FC" w:rsidRDefault="00BC0B2A" w:rsidP="006030A1">
      <w:pPr>
        <w:ind w:firstLineChars="198" w:firstLine="596"/>
        <w:rPr>
          <w:rFonts w:hAnsi="仿宋"/>
          <w:color w:val="auto"/>
          <w:szCs w:val="30"/>
        </w:rPr>
      </w:pPr>
      <w:r w:rsidRPr="006030A1">
        <w:rPr>
          <w:rFonts w:hAnsi="Arial" w:hint="eastAsia"/>
          <w:b/>
          <w:color w:val="auto"/>
          <w:szCs w:val="30"/>
        </w:rPr>
        <w:t>第七条</w:t>
      </w:r>
      <w:bookmarkEnd w:id="10"/>
      <w:r w:rsidR="006030A1">
        <w:rPr>
          <w:rFonts w:hAnsi="Arial" w:hint="eastAsia"/>
          <w:b/>
          <w:color w:val="auto"/>
          <w:szCs w:val="30"/>
        </w:rPr>
        <w:t xml:space="preserve"> </w:t>
      </w:r>
      <w:r w:rsidRPr="006030A1">
        <w:rPr>
          <w:rFonts w:hint="eastAsia"/>
          <w:color w:val="auto"/>
          <w:kern w:val="0"/>
          <w:szCs w:val="30"/>
        </w:rPr>
        <w:t>当期盈余与预算结余差异表根据本级和</w:t>
      </w:r>
      <w:r w:rsidR="00A52379" w:rsidRPr="006030A1">
        <w:rPr>
          <w:rFonts w:hint="eastAsia"/>
          <w:color w:val="auto"/>
          <w:kern w:val="0"/>
          <w:szCs w:val="30"/>
        </w:rPr>
        <w:t>所辖</w:t>
      </w:r>
      <w:r w:rsidRPr="006030A1">
        <w:rPr>
          <w:rFonts w:hint="eastAsia"/>
          <w:color w:val="auto"/>
          <w:kern w:val="0"/>
          <w:szCs w:val="30"/>
        </w:rPr>
        <w:t>下级政府</w:t>
      </w:r>
      <w:r w:rsidRPr="006030A1">
        <w:rPr>
          <w:rFonts w:hAnsi="仿宋" w:hint="eastAsia"/>
          <w:color w:val="auto"/>
          <w:szCs w:val="30"/>
        </w:rPr>
        <w:t>当期盈余与预算结余差异表的</w:t>
      </w:r>
      <w:r w:rsidR="00A52379" w:rsidRPr="006030A1">
        <w:rPr>
          <w:rFonts w:hAnsi="仿宋" w:hint="eastAsia"/>
          <w:color w:val="auto"/>
          <w:szCs w:val="30"/>
        </w:rPr>
        <w:t>对应项目加总</w:t>
      </w:r>
      <w:r w:rsidRPr="006030A1">
        <w:rPr>
          <w:rFonts w:hAnsi="仿宋" w:hint="eastAsia"/>
          <w:color w:val="auto"/>
          <w:szCs w:val="30"/>
        </w:rPr>
        <w:t>金额填列编制。</w:t>
      </w:r>
    </w:p>
    <w:p w:rsidR="00E86111" w:rsidRPr="00F64F41" w:rsidRDefault="00E86111" w:rsidP="00ED18B5">
      <w:pPr>
        <w:ind w:firstLineChars="198" w:firstLine="596"/>
        <w:rPr>
          <w:szCs w:val="30"/>
        </w:rPr>
      </w:pPr>
      <w:r w:rsidRPr="00ED18B5">
        <w:rPr>
          <w:rFonts w:hAnsi="仿宋" w:hint="eastAsia"/>
          <w:b/>
          <w:color w:val="auto"/>
          <w:szCs w:val="30"/>
        </w:rPr>
        <w:t>第八条</w:t>
      </w:r>
      <w:r>
        <w:rPr>
          <w:rFonts w:hAnsi="仿宋" w:hint="eastAsia"/>
          <w:color w:val="auto"/>
          <w:szCs w:val="30"/>
        </w:rPr>
        <w:t xml:space="preserve"> </w:t>
      </w:r>
      <w:r w:rsidRPr="00F64F41">
        <w:rPr>
          <w:rFonts w:hint="eastAsia"/>
          <w:szCs w:val="30"/>
        </w:rPr>
        <w:t>报表</w:t>
      </w:r>
      <w:r w:rsidR="00ED18B5" w:rsidRPr="00F64F41">
        <w:rPr>
          <w:rFonts w:hint="eastAsia"/>
          <w:szCs w:val="30"/>
        </w:rPr>
        <w:t>重要项目明细信息</w:t>
      </w:r>
      <w:r w:rsidR="00F64F41">
        <w:rPr>
          <w:rFonts w:hint="eastAsia"/>
          <w:szCs w:val="30"/>
        </w:rPr>
        <w:t>列示</w:t>
      </w:r>
      <w:r w:rsidR="00ED18B5" w:rsidRPr="00F64F41">
        <w:rPr>
          <w:rFonts w:hint="eastAsia"/>
          <w:szCs w:val="30"/>
        </w:rPr>
        <w:t>参照</w:t>
      </w:r>
      <w:r w:rsidR="00ED18B5" w:rsidRPr="006030A1">
        <w:rPr>
          <w:rFonts w:hint="eastAsia"/>
          <w:szCs w:val="30"/>
        </w:rPr>
        <w:t>政府综合财务报告编制操作指南</w:t>
      </w:r>
      <w:r w:rsidR="00A67BE8">
        <w:rPr>
          <w:rFonts w:hint="eastAsia"/>
          <w:szCs w:val="30"/>
        </w:rPr>
        <w:t>关于报表重要项目明细信</w:t>
      </w:r>
      <w:r w:rsidR="00A67BE8" w:rsidRPr="00F64F41">
        <w:rPr>
          <w:rFonts w:hint="eastAsia"/>
          <w:szCs w:val="30"/>
        </w:rPr>
        <w:t>息</w:t>
      </w:r>
      <w:r w:rsidR="00F64F41">
        <w:rPr>
          <w:rFonts w:hint="eastAsia"/>
          <w:szCs w:val="30"/>
        </w:rPr>
        <w:t>列示</w:t>
      </w:r>
      <w:r w:rsidR="00A67BE8" w:rsidRPr="00F64F41">
        <w:rPr>
          <w:rFonts w:hint="eastAsia"/>
          <w:szCs w:val="30"/>
        </w:rPr>
        <w:t>规定</w:t>
      </w:r>
      <w:r w:rsidR="00F64F41">
        <w:rPr>
          <w:rFonts w:hint="eastAsia"/>
          <w:szCs w:val="30"/>
        </w:rPr>
        <w:t>执行</w:t>
      </w:r>
      <w:r w:rsidR="00A67BE8" w:rsidRPr="00F64F41">
        <w:rPr>
          <w:rFonts w:hint="eastAsia"/>
          <w:szCs w:val="30"/>
        </w:rPr>
        <w:t>，</w:t>
      </w:r>
      <w:r w:rsidR="00F64F41">
        <w:rPr>
          <w:rFonts w:hint="eastAsia"/>
          <w:szCs w:val="30"/>
        </w:rPr>
        <w:t>也可结合地方实际管理需要，自行增加有关明细信息反映。</w:t>
      </w:r>
      <w:r w:rsidR="00EE7ADF">
        <w:rPr>
          <w:rFonts w:hint="eastAsia"/>
          <w:szCs w:val="30"/>
        </w:rPr>
        <w:t>其中，</w:t>
      </w:r>
      <w:r w:rsidR="002725A4" w:rsidRPr="00F64F41">
        <w:rPr>
          <w:rFonts w:hint="eastAsia"/>
          <w:szCs w:val="30"/>
        </w:rPr>
        <w:t>应收及预付款项、短期投资、在建工程、政府储备资产、应付及预收款项等项目明细不按具体部门列示；长期投资及投资收益明细不按具体企业和</w:t>
      </w:r>
      <w:r w:rsidR="00F64F41">
        <w:rPr>
          <w:rFonts w:hint="eastAsia"/>
          <w:szCs w:val="30"/>
        </w:rPr>
        <w:t>具体</w:t>
      </w:r>
      <w:r w:rsidR="002725A4" w:rsidRPr="00F64F41">
        <w:rPr>
          <w:rFonts w:hint="eastAsia"/>
          <w:szCs w:val="30"/>
        </w:rPr>
        <w:t>投资基金</w:t>
      </w:r>
      <w:r w:rsidR="00F64F41">
        <w:rPr>
          <w:rFonts w:hint="eastAsia"/>
          <w:szCs w:val="30"/>
        </w:rPr>
        <w:t>列示</w:t>
      </w:r>
      <w:r w:rsidR="002725A4" w:rsidRPr="00F64F41">
        <w:rPr>
          <w:rFonts w:hint="eastAsia"/>
          <w:szCs w:val="30"/>
        </w:rPr>
        <w:t>；长期借款明细不按</w:t>
      </w:r>
      <w:r w:rsidR="00F64F41">
        <w:rPr>
          <w:rFonts w:hint="eastAsia"/>
          <w:szCs w:val="30"/>
        </w:rPr>
        <w:t>具体</w:t>
      </w:r>
      <w:r w:rsidR="00F64F41" w:rsidRPr="00F64F41">
        <w:rPr>
          <w:rFonts w:hint="eastAsia"/>
          <w:szCs w:val="30"/>
        </w:rPr>
        <w:t>部门和</w:t>
      </w:r>
      <w:r w:rsidR="00F64F41">
        <w:rPr>
          <w:rFonts w:hint="eastAsia"/>
          <w:szCs w:val="30"/>
        </w:rPr>
        <w:lastRenderedPageBreak/>
        <w:t>具体</w:t>
      </w:r>
      <w:r w:rsidR="00F64F41" w:rsidRPr="00F64F41">
        <w:rPr>
          <w:rFonts w:hint="eastAsia"/>
          <w:szCs w:val="30"/>
        </w:rPr>
        <w:t>机构</w:t>
      </w:r>
      <w:r w:rsidR="00F64F41">
        <w:rPr>
          <w:rFonts w:hint="eastAsia"/>
          <w:szCs w:val="30"/>
        </w:rPr>
        <w:t>列示。</w:t>
      </w:r>
    </w:p>
    <w:p w:rsidR="003420FC" w:rsidRPr="006030A1" w:rsidRDefault="00BC0B2A" w:rsidP="006030A1">
      <w:pPr>
        <w:ind w:firstLineChars="198" w:firstLine="596"/>
        <w:rPr>
          <w:color w:val="auto"/>
          <w:kern w:val="0"/>
          <w:szCs w:val="30"/>
        </w:rPr>
      </w:pPr>
      <w:r w:rsidRPr="006030A1">
        <w:rPr>
          <w:rFonts w:hint="eastAsia"/>
          <w:b/>
          <w:color w:val="auto"/>
          <w:kern w:val="0"/>
          <w:szCs w:val="30"/>
        </w:rPr>
        <w:t>第</w:t>
      </w:r>
      <w:r w:rsidR="001A24BA">
        <w:rPr>
          <w:rFonts w:hint="eastAsia"/>
          <w:b/>
          <w:color w:val="auto"/>
          <w:kern w:val="0"/>
          <w:szCs w:val="30"/>
        </w:rPr>
        <w:t>九</w:t>
      </w:r>
      <w:r w:rsidRPr="006030A1">
        <w:rPr>
          <w:rFonts w:hint="eastAsia"/>
          <w:b/>
          <w:color w:val="auto"/>
          <w:kern w:val="0"/>
          <w:szCs w:val="30"/>
        </w:rPr>
        <w:t xml:space="preserve">条 </w:t>
      </w:r>
      <w:r w:rsidRPr="006030A1">
        <w:rPr>
          <w:rFonts w:hint="eastAsia"/>
          <w:color w:val="auto"/>
          <w:kern w:val="0"/>
          <w:szCs w:val="30"/>
        </w:rPr>
        <w:t>本指南自</w:t>
      </w:r>
      <w:r w:rsidR="00687390" w:rsidRPr="006030A1">
        <w:rPr>
          <w:rFonts w:hint="eastAsia"/>
          <w:color w:val="auto"/>
          <w:kern w:val="0"/>
          <w:szCs w:val="30"/>
        </w:rPr>
        <w:t>印发之日</w:t>
      </w:r>
      <w:r w:rsidRPr="006030A1">
        <w:rPr>
          <w:rFonts w:hint="eastAsia"/>
          <w:color w:val="auto"/>
          <w:kern w:val="0"/>
          <w:szCs w:val="30"/>
        </w:rPr>
        <w:t>起施行。</w:t>
      </w:r>
    </w:p>
    <w:p w:rsidR="003420FC" w:rsidRPr="006030A1" w:rsidRDefault="003420FC" w:rsidP="006030A1">
      <w:pPr>
        <w:ind w:firstLineChars="200" w:firstLine="600"/>
        <w:rPr>
          <w:rFonts w:hAnsi="黑体"/>
          <w:szCs w:val="30"/>
        </w:rPr>
      </w:pPr>
    </w:p>
    <w:p w:rsidR="003420FC" w:rsidRPr="006030A1" w:rsidRDefault="00BC0B2A" w:rsidP="006030A1">
      <w:pPr>
        <w:ind w:firstLineChars="200" w:firstLine="600"/>
        <w:rPr>
          <w:rFonts w:hAnsi="黑体"/>
          <w:szCs w:val="30"/>
        </w:rPr>
      </w:pPr>
      <w:r w:rsidRPr="006030A1">
        <w:rPr>
          <w:rFonts w:hAnsi="黑体" w:hint="eastAsia"/>
          <w:szCs w:val="30"/>
        </w:rPr>
        <w:t>附：</w:t>
      </w:r>
      <w:r w:rsidR="007B708F" w:rsidRPr="006030A1">
        <w:rPr>
          <w:rFonts w:hAnsi="黑体" w:hint="eastAsia"/>
          <w:szCs w:val="30"/>
        </w:rPr>
        <w:t>1.</w:t>
      </w:r>
      <w:r w:rsidRPr="006030A1">
        <w:rPr>
          <w:rFonts w:hAnsi="黑体" w:hint="eastAsia"/>
          <w:szCs w:val="30"/>
        </w:rPr>
        <w:t>汇总工作表</w:t>
      </w:r>
    </w:p>
    <w:p w:rsidR="007B708F" w:rsidRPr="006030A1" w:rsidRDefault="007B708F" w:rsidP="006030A1">
      <w:pPr>
        <w:ind w:firstLineChars="400" w:firstLine="1200"/>
        <w:rPr>
          <w:rFonts w:hAnsi="黑体"/>
          <w:szCs w:val="30"/>
        </w:rPr>
      </w:pPr>
      <w:r w:rsidRPr="006030A1">
        <w:rPr>
          <w:rFonts w:hAnsi="黑体" w:hint="eastAsia"/>
          <w:szCs w:val="30"/>
        </w:rPr>
        <w:t>2.抵销事项清单</w:t>
      </w:r>
    </w:p>
    <w:p w:rsidR="003420FC" w:rsidRPr="004C6606" w:rsidRDefault="003420FC">
      <w:pPr>
        <w:widowControl/>
        <w:jc w:val="left"/>
        <w:rPr>
          <w:sz w:val="32"/>
          <w:szCs w:val="32"/>
        </w:rPr>
      </w:pPr>
    </w:p>
    <w:p w:rsidR="003420FC" w:rsidRPr="004C6606" w:rsidRDefault="003420FC">
      <w:pPr>
        <w:widowControl/>
        <w:jc w:val="left"/>
        <w:rPr>
          <w:sz w:val="32"/>
          <w:szCs w:val="32"/>
        </w:rPr>
        <w:sectPr w:rsidR="003420FC" w:rsidRPr="004C6606">
          <w:headerReference w:type="even" r:id="rId8"/>
          <w:headerReference w:type="default" r:id="rId9"/>
          <w:footerReference w:type="default" r:id="rId10"/>
          <w:pgSz w:w="11906" w:h="16838"/>
          <w:pgMar w:top="1440" w:right="1800" w:bottom="1440" w:left="1800" w:header="851" w:footer="992" w:gutter="0"/>
          <w:cols w:space="425"/>
          <w:docGrid w:type="lines" w:linePitch="312"/>
        </w:sectPr>
      </w:pPr>
    </w:p>
    <w:p w:rsidR="003420FC" w:rsidRPr="00A83F1E" w:rsidRDefault="00BC0B2A">
      <w:pPr>
        <w:widowControl/>
        <w:jc w:val="left"/>
        <w:rPr>
          <w:szCs w:val="30"/>
        </w:rPr>
      </w:pPr>
      <w:r w:rsidRPr="00A83F1E">
        <w:rPr>
          <w:rFonts w:hint="eastAsia"/>
          <w:szCs w:val="30"/>
        </w:rPr>
        <w:lastRenderedPageBreak/>
        <w:t>附</w:t>
      </w:r>
      <w:r w:rsidR="00A72706" w:rsidRPr="00A83F1E">
        <w:rPr>
          <w:rFonts w:hint="eastAsia"/>
          <w:szCs w:val="30"/>
        </w:rP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7"/>
        <w:gridCol w:w="1185"/>
        <w:gridCol w:w="1276"/>
        <w:gridCol w:w="1278"/>
        <w:gridCol w:w="2974"/>
        <w:gridCol w:w="1417"/>
        <w:gridCol w:w="1417"/>
        <w:gridCol w:w="1310"/>
      </w:tblGrid>
      <w:tr w:rsidR="00C04E40" w:rsidRPr="00C04E40" w:rsidTr="00B617CE">
        <w:trPr>
          <w:trHeight w:val="454"/>
          <w:tblHeader/>
          <w:jc w:val="center"/>
        </w:trPr>
        <w:tc>
          <w:tcPr>
            <w:tcW w:w="5000" w:type="pct"/>
            <w:gridSpan w:val="8"/>
            <w:tcBorders>
              <w:top w:val="nil"/>
              <w:left w:val="nil"/>
              <w:bottom w:val="nil"/>
              <w:right w:val="nil"/>
            </w:tcBorders>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color w:val="auto"/>
                <w:kern w:val="0"/>
                <w:sz w:val="24"/>
                <w:szCs w:val="24"/>
              </w:rPr>
            </w:pPr>
            <w:r w:rsidRPr="00C04E40">
              <w:rPr>
                <w:rFonts w:asciiTheme="minorEastAsia" w:eastAsiaTheme="minorEastAsia" w:hAnsiTheme="minorEastAsia" w:cs="宋体" w:hint="eastAsia"/>
                <w:b/>
                <w:color w:val="auto"/>
                <w:kern w:val="0"/>
                <w:sz w:val="24"/>
                <w:szCs w:val="24"/>
              </w:rPr>
              <w:t>汇总工作表</w:t>
            </w:r>
          </w:p>
        </w:tc>
      </w:tr>
      <w:tr w:rsidR="00C04E40" w:rsidRPr="00C04E40" w:rsidTr="00B617CE">
        <w:trPr>
          <w:trHeight w:val="454"/>
          <w:tblHeader/>
          <w:jc w:val="center"/>
        </w:trPr>
        <w:tc>
          <w:tcPr>
            <w:tcW w:w="5000" w:type="pct"/>
            <w:gridSpan w:val="8"/>
            <w:tcBorders>
              <w:top w:val="nil"/>
              <w:left w:val="nil"/>
              <w:bottom w:val="single" w:sz="4" w:space="0" w:color="auto"/>
              <w:right w:val="nil"/>
            </w:tcBorders>
            <w:vAlign w:val="center"/>
          </w:tcPr>
          <w:p w:rsidR="00C04E40" w:rsidRPr="00C04E40" w:rsidRDefault="00C04E40" w:rsidP="006B672A">
            <w:pPr>
              <w:widowControl/>
              <w:adjustRightInd w:val="0"/>
              <w:snapToGrid w:val="0"/>
              <w:spacing w:line="320" w:lineRule="exact"/>
              <w:jc w:val="righ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单位：万元</w:t>
            </w:r>
          </w:p>
        </w:tc>
      </w:tr>
      <w:tr w:rsidR="00C04E40" w:rsidRPr="00C04E40" w:rsidTr="006B672A">
        <w:trPr>
          <w:trHeight w:val="567"/>
          <w:tblHeader/>
          <w:jc w:val="center"/>
        </w:trPr>
        <w:tc>
          <w:tcPr>
            <w:tcW w:w="1170" w:type="pct"/>
            <w:vMerge w:val="restart"/>
            <w:tcBorders>
              <w:top w:val="single" w:sz="4" w:space="0" w:color="auto"/>
            </w:tcBorders>
            <w:shd w:val="clear" w:color="auto" w:fill="auto"/>
            <w:vAlign w:val="center"/>
          </w:tcPr>
          <w:p w:rsidR="00C04E40" w:rsidRPr="00C04E40" w:rsidRDefault="00AF74A8" w:rsidP="006B672A">
            <w:pPr>
              <w:adjustRightInd w:val="0"/>
              <w:snapToGrid w:val="0"/>
              <w:spacing w:line="320" w:lineRule="exact"/>
              <w:jc w:val="center"/>
              <w:rPr>
                <w:rFonts w:asciiTheme="minorEastAsia" w:eastAsiaTheme="minorEastAsia" w:hAnsiTheme="minorEastAsia" w:cs="宋体"/>
                <w:b/>
                <w:bCs/>
                <w:kern w:val="0"/>
                <w:sz w:val="16"/>
                <w:szCs w:val="16"/>
              </w:rPr>
            </w:pPr>
            <w:r>
              <w:rPr>
                <w:rFonts w:asciiTheme="minorEastAsia" w:eastAsiaTheme="minorEastAsia" w:hAnsiTheme="minorEastAsia" w:cs="宋体" w:hint="eastAsia"/>
                <w:b/>
                <w:bCs/>
                <w:kern w:val="0"/>
                <w:sz w:val="16"/>
                <w:szCs w:val="16"/>
              </w:rPr>
              <w:t>地方</w:t>
            </w:r>
            <w:r w:rsidR="00C04E40" w:rsidRPr="00C04E40">
              <w:rPr>
                <w:rFonts w:asciiTheme="minorEastAsia" w:eastAsiaTheme="minorEastAsia" w:hAnsiTheme="minorEastAsia" w:cs="宋体" w:hint="eastAsia"/>
                <w:b/>
                <w:bCs/>
                <w:kern w:val="0"/>
                <w:sz w:val="16"/>
                <w:szCs w:val="16"/>
              </w:rPr>
              <w:t>政府综合</w:t>
            </w:r>
            <w:r w:rsidR="00C04E40" w:rsidRPr="00C04E40">
              <w:rPr>
                <w:rFonts w:asciiTheme="minorEastAsia" w:eastAsiaTheme="minorEastAsia" w:hAnsiTheme="minorEastAsia" w:cs="宋体" w:hint="eastAsia"/>
                <w:b/>
                <w:bCs/>
                <w:kern w:val="0"/>
                <w:sz w:val="16"/>
                <w:szCs w:val="16"/>
              </w:rPr>
              <w:br/>
              <w:t>会计报表项目</w:t>
            </w:r>
          </w:p>
        </w:tc>
        <w:tc>
          <w:tcPr>
            <w:tcW w:w="418" w:type="pct"/>
            <w:vMerge w:val="restart"/>
            <w:tcBorders>
              <w:top w:val="single" w:sz="4" w:space="0" w:color="auto"/>
            </w:tcBorders>
            <w:shd w:val="clear" w:color="auto" w:fill="auto"/>
            <w:vAlign w:val="center"/>
          </w:tcPr>
          <w:p w:rsidR="00C04E40" w:rsidRPr="00C04E40" w:rsidRDefault="00C04E40" w:rsidP="006B672A">
            <w:pPr>
              <w:adjustRightInd w:val="0"/>
              <w:snapToGrid w:val="0"/>
              <w:spacing w:line="320" w:lineRule="exact"/>
              <w:jc w:val="center"/>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原有</w:t>
            </w:r>
            <w:r w:rsidRPr="00C04E40">
              <w:rPr>
                <w:rFonts w:asciiTheme="minorEastAsia" w:eastAsiaTheme="minorEastAsia" w:hAnsiTheme="minorEastAsia" w:cs="宋体" w:hint="eastAsia"/>
                <w:b/>
                <w:bCs/>
                <w:kern w:val="0"/>
                <w:sz w:val="16"/>
                <w:szCs w:val="16"/>
              </w:rPr>
              <w:br/>
              <w:t>金额合计</w:t>
            </w:r>
          </w:p>
        </w:tc>
        <w:tc>
          <w:tcPr>
            <w:tcW w:w="901" w:type="pct"/>
            <w:gridSpan w:val="2"/>
            <w:tcBorders>
              <w:top w:val="single" w:sz="4" w:space="0" w:color="auto"/>
            </w:tcBorders>
            <w:shd w:val="clear" w:color="auto" w:fill="auto"/>
            <w:vAlign w:val="center"/>
          </w:tcPr>
          <w:p w:rsidR="00315C25" w:rsidRDefault="00C04E40">
            <w:pPr>
              <w:widowControl/>
              <w:adjustRightInd w:val="0"/>
              <w:snapToGrid w:val="0"/>
              <w:spacing w:line="320" w:lineRule="exact"/>
              <w:jc w:val="center"/>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被合并</w:t>
            </w:r>
            <w:r w:rsidR="001C1D16">
              <w:rPr>
                <w:rFonts w:asciiTheme="minorEastAsia" w:eastAsiaTheme="minorEastAsia" w:hAnsiTheme="minorEastAsia" w:cs="宋体" w:hint="eastAsia"/>
                <w:b/>
                <w:bCs/>
                <w:kern w:val="0"/>
                <w:sz w:val="16"/>
                <w:szCs w:val="16"/>
              </w:rPr>
              <w:t>政府</w:t>
            </w:r>
            <w:r w:rsidRPr="00C04E40">
              <w:rPr>
                <w:rFonts w:asciiTheme="minorEastAsia" w:eastAsiaTheme="minorEastAsia" w:hAnsiTheme="minorEastAsia" w:cs="宋体" w:hint="eastAsia"/>
                <w:b/>
                <w:bCs/>
                <w:kern w:val="0"/>
                <w:sz w:val="16"/>
                <w:szCs w:val="16"/>
              </w:rPr>
              <w:t>报表项目金额</w:t>
            </w:r>
          </w:p>
        </w:tc>
        <w:tc>
          <w:tcPr>
            <w:tcW w:w="1049" w:type="pct"/>
            <w:vMerge w:val="restart"/>
            <w:tcBorders>
              <w:top w:val="single" w:sz="4" w:space="0" w:color="auto"/>
            </w:tcBorders>
            <w:shd w:val="clear" w:color="auto" w:fill="auto"/>
            <w:vAlign w:val="center"/>
          </w:tcPr>
          <w:p w:rsidR="00C04E40" w:rsidRPr="00C04E40" w:rsidRDefault="00253C26" w:rsidP="006B672A">
            <w:pPr>
              <w:adjustRightInd w:val="0"/>
              <w:snapToGrid w:val="0"/>
              <w:spacing w:line="320" w:lineRule="exact"/>
              <w:jc w:val="center"/>
              <w:rPr>
                <w:rFonts w:asciiTheme="minorEastAsia" w:eastAsiaTheme="minorEastAsia" w:hAnsiTheme="minorEastAsia" w:cs="宋体"/>
                <w:b/>
                <w:bCs/>
                <w:color w:val="auto"/>
                <w:kern w:val="0"/>
                <w:sz w:val="16"/>
                <w:szCs w:val="16"/>
              </w:rPr>
            </w:pPr>
            <w:r>
              <w:rPr>
                <w:rFonts w:asciiTheme="minorEastAsia" w:eastAsiaTheme="minorEastAsia" w:hAnsiTheme="minorEastAsia" w:cs="宋体" w:hint="eastAsia"/>
                <w:b/>
                <w:bCs/>
                <w:color w:val="auto"/>
                <w:kern w:val="0"/>
                <w:sz w:val="16"/>
                <w:szCs w:val="16"/>
              </w:rPr>
              <w:t>抵销事项</w:t>
            </w:r>
          </w:p>
        </w:tc>
        <w:tc>
          <w:tcPr>
            <w:tcW w:w="1000" w:type="pct"/>
            <w:gridSpan w:val="2"/>
            <w:tcBorders>
              <w:top w:val="single" w:sz="4" w:space="0" w:color="auto"/>
            </w:tcBorders>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color w:val="auto"/>
                <w:kern w:val="0"/>
                <w:sz w:val="16"/>
                <w:szCs w:val="16"/>
              </w:rPr>
            </w:pPr>
            <w:r w:rsidRPr="00C04E40">
              <w:rPr>
                <w:rFonts w:asciiTheme="minorEastAsia" w:eastAsiaTheme="minorEastAsia" w:hAnsiTheme="minorEastAsia" w:cs="宋体" w:hint="eastAsia"/>
                <w:b/>
                <w:bCs/>
                <w:color w:val="auto"/>
                <w:kern w:val="0"/>
                <w:sz w:val="16"/>
                <w:szCs w:val="16"/>
              </w:rPr>
              <w:t>抵销分录</w:t>
            </w:r>
          </w:p>
        </w:tc>
        <w:tc>
          <w:tcPr>
            <w:tcW w:w="462" w:type="pct"/>
            <w:vMerge w:val="restart"/>
            <w:tcBorders>
              <w:top w:val="single" w:sz="4" w:space="0" w:color="auto"/>
            </w:tcBorders>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color w:val="auto"/>
                <w:kern w:val="0"/>
                <w:sz w:val="16"/>
                <w:szCs w:val="16"/>
              </w:rPr>
            </w:pPr>
            <w:r w:rsidRPr="00C04E40">
              <w:rPr>
                <w:rFonts w:asciiTheme="minorEastAsia" w:eastAsiaTheme="minorEastAsia" w:hAnsiTheme="minorEastAsia" w:cs="宋体" w:hint="eastAsia"/>
                <w:b/>
                <w:bCs/>
                <w:kern w:val="0"/>
                <w:sz w:val="16"/>
                <w:szCs w:val="16"/>
              </w:rPr>
              <w:t>抵销后</w:t>
            </w:r>
            <w:r w:rsidRPr="00C04E40">
              <w:rPr>
                <w:rFonts w:asciiTheme="minorEastAsia" w:eastAsiaTheme="minorEastAsia" w:hAnsiTheme="minorEastAsia" w:cs="宋体" w:hint="eastAsia"/>
                <w:b/>
                <w:bCs/>
                <w:kern w:val="0"/>
                <w:sz w:val="16"/>
                <w:szCs w:val="16"/>
              </w:rPr>
              <w:br/>
              <w:t>金额合计</w:t>
            </w:r>
          </w:p>
        </w:tc>
      </w:tr>
      <w:tr w:rsidR="00C04E40" w:rsidRPr="00C04E40" w:rsidTr="006B672A">
        <w:trPr>
          <w:trHeight w:val="567"/>
          <w:tblHeader/>
          <w:jc w:val="center"/>
        </w:trPr>
        <w:tc>
          <w:tcPr>
            <w:tcW w:w="1170" w:type="pct"/>
            <w:vMerge/>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p>
        </w:tc>
        <w:tc>
          <w:tcPr>
            <w:tcW w:w="418" w:type="pct"/>
            <w:vMerge/>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地区A</w:t>
            </w: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地区B</w:t>
            </w:r>
          </w:p>
        </w:tc>
        <w:tc>
          <w:tcPr>
            <w:tcW w:w="1049" w:type="pct"/>
            <w:vMerge/>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color w:val="auto"/>
                <w:kern w:val="0"/>
                <w:sz w:val="16"/>
                <w:szCs w:val="16"/>
              </w:rPr>
            </w:pPr>
            <w:r w:rsidRPr="00C04E40">
              <w:rPr>
                <w:rFonts w:asciiTheme="minorEastAsia" w:eastAsiaTheme="minorEastAsia" w:hAnsiTheme="minorEastAsia" w:cs="宋体" w:hint="eastAsia"/>
                <w:b/>
                <w:bCs/>
                <w:color w:val="auto"/>
                <w:kern w:val="0"/>
                <w:sz w:val="16"/>
                <w:szCs w:val="16"/>
              </w:rPr>
              <w:t>借项</w:t>
            </w:r>
          </w:p>
        </w:tc>
        <w:tc>
          <w:tcPr>
            <w:tcW w:w="50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color w:val="auto"/>
                <w:kern w:val="0"/>
                <w:sz w:val="16"/>
                <w:szCs w:val="16"/>
              </w:rPr>
            </w:pPr>
            <w:r w:rsidRPr="00C04E40">
              <w:rPr>
                <w:rFonts w:asciiTheme="minorEastAsia" w:eastAsiaTheme="minorEastAsia" w:hAnsiTheme="minorEastAsia" w:cs="宋体" w:hint="eastAsia"/>
                <w:b/>
                <w:bCs/>
                <w:color w:val="auto"/>
                <w:kern w:val="0"/>
                <w:sz w:val="16"/>
                <w:szCs w:val="16"/>
              </w:rPr>
              <w:t>贷项</w:t>
            </w:r>
          </w:p>
        </w:tc>
        <w:tc>
          <w:tcPr>
            <w:tcW w:w="462" w:type="pct"/>
            <w:vMerge/>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b/>
                <w:bCs/>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一、资产类</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流动资产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货币资金</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val="restart"/>
            <w:shd w:val="clear" w:color="auto" w:fill="auto"/>
            <w:vAlign w:val="center"/>
          </w:tcPr>
          <w:p w:rsidR="006B672A" w:rsidRPr="00C04E40" w:rsidRDefault="006B672A"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应收及预付款项</w:t>
            </w:r>
          </w:p>
        </w:tc>
        <w:tc>
          <w:tcPr>
            <w:tcW w:w="418" w:type="pct"/>
            <w:vMerge w:val="restart"/>
            <w:shd w:val="clear" w:color="auto" w:fill="auto"/>
            <w:vAlign w:val="center"/>
          </w:tcPr>
          <w:p w:rsidR="006B672A" w:rsidRPr="00C04E40" w:rsidRDefault="006B672A" w:rsidP="006B672A">
            <w:pPr>
              <w:adjustRightInd w:val="0"/>
              <w:snapToGrid w:val="0"/>
              <w:spacing w:line="320" w:lineRule="exact"/>
              <w:jc w:val="center"/>
              <w:rPr>
                <w:rFonts w:asciiTheme="minorEastAsia" w:eastAsiaTheme="minorEastAsia" w:hAnsiTheme="minorEastAsia" w:cs="Calibri"/>
                <w:kern w:val="0"/>
                <w:sz w:val="16"/>
                <w:szCs w:val="16"/>
              </w:rPr>
            </w:pPr>
          </w:p>
        </w:tc>
        <w:tc>
          <w:tcPr>
            <w:tcW w:w="450" w:type="pct"/>
            <w:vMerge w:val="restart"/>
            <w:shd w:val="clear" w:color="auto" w:fill="auto"/>
            <w:vAlign w:val="center"/>
          </w:tcPr>
          <w:p w:rsidR="006B672A" w:rsidRPr="00C04E40" w:rsidRDefault="006B672A" w:rsidP="006B672A">
            <w:pPr>
              <w:adjustRightInd w:val="0"/>
              <w:snapToGrid w:val="0"/>
              <w:spacing w:line="320" w:lineRule="exact"/>
              <w:jc w:val="center"/>
              <w:rPr>
                <w:rFonts w:asciiTheme="minorEastAsia" w:eastAsiaTheme="minorEastAsia" w:hAnsiTheme="minorEastAsia" w:cs="Calibri"/>
                <w:kern w:val="0"/>
                <w:sz w:val="16"/>
                <w:szCs w:val="16"/>
              </w:rPr>
            </w:pPr>
          </w:p>
        </w:tc>
        <w:tc>
          <w:tcPr>
            <w:tcW w:w="451" w:type="pct"/>
            <w:vMerge w:val="restart"/>
            <w:shd w:val="clear" w:color="auto" w:fill="auto"/>
            <w:vAlign w:val="center"/>
          </w:tcPr>
          <w:p w:rsidR="006B672A" w:rsidRPr="00C04E40" w:rsidRDefault="006B672A" w:rsidP="006B672A">
            <w:pPr>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1.抵销上下级政府财政之间发生的往来事项</w:t>
            </w:r>
          </w:p>
        </w:tc>
        <w:tc>
          <w:tcPr>
            <w:tcW w:w="500" w:type="pct"/>
            <w:vMerge w:val="restart"/>
            <w:shd w:val="clear" w:color="auto" w:fill="auto"/>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p>
        </w:tc>
        <w:tc>
          <w:tcPr>
            <w:tcW w:w="500" w:type="pct"/>
            <w:vMerge w:val="restart"/>
            <w:shd w:val="clear" w:color="auto" w:fill="auto"/>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贷：应收及预付款项</w:t>
            </w:r>
          </w:p>
        </w:tc>
        <w:tc>
          <w:tcPr>
            <w:tcW w:w="462" w:type="pct"/>
            <w:vMerge w:val="restart"/>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shd w:val="clear" w:color="auto" w:fill="auto"/>
            <w:vAlign w:val="center"/>
          </w:tcPr>
          <w:p w:rsidR="006B672A" w:rsidRPr="00C04E40" w:rsidRDefault="006B672A" w:rsidP="006B672A">
            <w:pPr>
              <w:adjustRightInd w:val="0"/>
              <w:snapToGrid w:val="0"/>
              <w:spacing w:line="320" w:lineRule="exact"/>
              <w:ind w:firstLineChars="100" w:firstLine="160"/>
              <w:rPr>
                <w:rFonts w:asciiTheme="minorEastAsia" w:eastAsiaTheme="minorEastAsia" w:hAnsiTheme="minorEastAsia" w:cs="Calibri"/>
                <w:kern w:val="0"/>
                <w:sz w:val="16"/>
                <w:szCs w:val="16"/>
              </w:rPr>
            </w:pPr>
          </w:p>
        </w:tc>
        <w:tc>
          <w:tcPr>
            <w:tcW w:w="418" w:type="pct"/>
            <w:vMerge/>
            <w:shd w:val="clear" w:color="auto" w:fill="auto"/>
            <w:vAlign w:val="center"/>
          </w:tcPr>
          <w:p w:rsidR="006B672A" w:rsidRPr="00C04E40" w:rsidRDefault="006B672A" w:rsidP="006B672A">
            <w:pPr>
              <w:adjustRightInd w:val="0"/>
              <w:snapToGrid w:val="0"/>
              <w:spacing w:line="320" w:lineRule="exact"/>
              <w:jc w:val="center"/>
              <w:rPr>
                <w:rFonts w:asciiTheme="minorEastAsia" w:eastAsiaTheme="minorEastAsia" w:hAnsiTheme="minorEastAsia" w:cs="Calibri"/>
                <w:kern w:val="0"/>
                <w:sz w:val="16"/>
                <w:szCs w:val="16"/>
              </w:rPr>
            </w:pPr>
          </w:p>
        </w:tc>
        <w:tc>
          <w:tcPr>
            <w:tcW w:w="450" w:type="pct"/>
            <w:vMerge/>
            <w:shd w:val="clear" w:color="auto" w:fill="auto"/>
            <w:vAlign w:val="center"/>
          </w:tcPr>
          <w:p w:rsidR="006B672A" w:rsidRPr="00C04E40" w:rsidRDefault="006B672A" w:rsidP="006B672A">
            <w:pPr>
              <w:adjustRightInd w:val="0"/>
              <w:snapToGrid w:val="0"/>
              <w:spacing w:line="320" w:lineRule="exact"/>
              <w:jc w:val="center"/>
              <w:rPr>
                <w:rFonts w:asciiTheme="minorEastAsia" w:eastAsiaTheme="minorEastAsia" w:hAnsiTheme="minorEastAsia" w:cs="Calibri"/>
                <w:kern w:val="0"/>
                <w:sz w:val="16"/>
                <w:szCs w:val="16"/>
              </w:rPr>
            </w:pPr>
          </w:p>
        </w:tc>
        <w:tc>
          <w:tcPr>
            <w:tcW w:w="451" w:type="pct"/>
            <w:vMerge/>
            <w:shd w:val="clear" w:color="auto" w:fill="auto"/>
            <w:vAlign w:val="center"/>
          </w:tcPr>
          <w:p w:rsidR="006B672A" w:rsidRPr="00C04E40" w:rsidRDefault="006B672A" w:rsidP="006B672A">
            <w:pPr>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7.抵销非同级政府部门之间的债权债务事项</w:t>
            </w:r>
          </w:p>
        </w:tc>
        <w:tc>
          <w:tcPr>
            <w:tcW w:w="500" w:type="pct"/>
            <w:vMerge/>
            <w:shd w:val="clear" w:color="auto" w:fill="auto"/>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p>
        </w:tc>
        <w:tc>
          <w:tcPr>
            <w:tcW w:w="500" w:type="pct"/>
            <w:vMerge/>
            <w:shd w:val="clear" w:color="auto" w:fill="auto"/>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p>
        </w:tc>
        <w:tc>
          <w:tcPr>
            <w:tcW w:w="462" w:type="pct"/>
            <w:vMerge/>
            <w:vAlign w:val="center"/>
          </w:tcPr>
          <w:p w:rsidR="006B672A" w:rsidRPr="00C04E40" w:rsidRDefault="006B672A" w:rsidP="006B672A">
            <w:pPr>
              <w:adjustRightInd w:val="0"/>
              <w:snapToGrid w:val="0"/>
              <w:spacing w:line="320" w:lineRule="exac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应收利息</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3.抵销上下级政府财政之间发生的转贷款利息</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贷：应收利息</w:t>
            </w: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应收股利</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短期投资</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lastRenderedPageBreak/>
              <w:t>存货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一年内到期的非流动资产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2.抵销上下级政府财政之间发生的转贷款本金</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贷：一年内到期的非流动资产</w:t>
            </w: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非流动资产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长期投资</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应收转贷款</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2.抵销上下级政府财政之间发生的转贷款本金</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贷：应收转贷款</w:t>
            </w: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固定资产净值</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在建工程</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无形资产净值</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政府储备资产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lastRenderedPageBreak/>
              <w:t>公共基础设施净值</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公共基础设施在建工程</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其他资产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受托代理资产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资产合计</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二、负债类</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流动负债</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应付短期政府债券</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短期借款</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val="restart"/>
            <w:shd w:val="clear" w:color="auto" w:fill="auto"/>
            <w:vAlign w:val="center"/>
          </w:tcPr>
          <w:p w:rsidR="006B672A" w:rsidRPr="00C04E40" w:rsidRDefault="006B672A"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lastRenderedPageBreak/>
              <w:t>应付及预收款项</w:t>
            </w:r>
          </w:p>
        </w:tc>
        <w:tc>
          <w:tcPr>
            <w:tcW w:w="418" w:type="pct"/>
            <w:vMerge w:val="restart"/>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vMerge w:val="restart"/>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vMerge w:val="restart"/>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1. 抵销上下级政府财政之间发生的往来事项</w:t>
            </w:r>
          </w:p>
        </w:tc>
        <w:tc>
          <w:tcPr>
            <w:tcW w:w="500" w:type="pct"/>
            <w:vMerge w:val="restart"/>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借：应付及预收款项</w:t>
            </w:r>
          </w:p>
        </w:tc>
        <w:tc>
          <w:tcPr>
            <w:tcW w:w="500" w:type="pct"/>
            <w:vMerge w:val="restart"/>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restart"/>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shd w:val="clear" w:color="auto" w:fill="auto"/>
            <w:vAlign w:val="center"/>
          </w:tcPr>
          <w:p w:rsidR="006B672A" w:rsidRPr="00C04E40" w:rsidRDefault="006B672A"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p>
        </w:tc>
        <w:tc>
          <w:tcPr>
            <w:tcW w:w="418"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7.抵销非同级政府部门之间的债权债务事项</w:t>
            </w:r>
          </w:p>
        </w:tc>
        <w:tc>
          <w:tcPr>
            <w:tcW w:w="500" w:type="pct"/>
            <w:vMerge/>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应付利息</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3.抵销上下级政府财政之间发生的转贷款利息</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借：应付利息</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应付职工薪酬</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应付政府补贴款</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一年内到期的非流动负债</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2.抵销上下级政府财政之间发生的转贷款本金</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w:t>
            </w:r>
            <w:r w:rsidRPr="00C04E40">
              <w:rPr>
                <w:rFonts w:asciiTheme="minorEastAsia" w:eastAsiaTheme="minorEastAsia" w:hAnsiTheme="minorEastAsia" w:cs="Calibri" w:hint="eastAsia"/>
                <w:kern w:val="0"/>
                <w:sz w:val="16"/>
                <w:szCs w:val="16"/>
              </w:rPr>
              <w:t>一年内到期的非流动负债</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非流动负债</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应付长期政府债券</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应付转贷款</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2.抵销上下级政府财政之间发生的转贷款本金</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借：应付转贷款</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lastRenderedPageBreak/>
              <w:t>长期借款</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长期应付款</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其他负债</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受托代理负债</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负债合计</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三、净资产类</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净资产</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Calibri"/>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四、收入类</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税收收入</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lastRenderedPageBreak/>
              <w:t>非税收入</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事业收入</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8.抵销非同级政府部门之间的收入费用</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借：事业收入</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经营收入</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8.抵销非同级政府部门之间的收入费用</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借：经营收入</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投资收益</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val="restart"/>
            <w:shd w:val="clear" w:color="auto" w:fill="auto"/>
            <w:vAlign w:val="center"/>
          </w:tcPr>
          <w:p w:rsidR="006B672A" w:rsidRPr="00C04E40" w:rsidRDefault="006B672A"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政府间转移性收入</w:t>
            </w:r>
          </w:p>
        </w:tc>
        <w:tc>
          <w:tcPr>
            <w:tcW w:w="418" w:type="pct"/>
            <w:vMerge w:val="restart"/>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val="restart"/>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val="restart"/>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4.抵销上下级政府财政之间的补助收支和上解收支</w:t>
            </w:r>
          </w:p>
        </w:tc>
        <w:tc>
          <w:tcPr>
            <w:tcW w:w="500" w:type="pct"/>
            <w:vMerge w:val="restart"/>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借：政府间转移性收入</w:t>
            </w:r>
          </w:p>
        </w:tc>
        <w:tc>
          <w:tcPr>
            <w:tcW w:w="500" w:type="pct"/>
            <w:vMerge w:val="restart"/>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restart"/>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shd w:val="clear" w:color="auto" w:fill="auto"/>
            <w:vAlign w:val="center"/>
          </w:tcPr>
          <w:p w:rsidR="006B672A" w:rsidRPr="00C04E40" w:rsidRDefault="006B672A"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p>
        </w:tc>
        <w:tc>
          <w:tcPr>
            <w:tcW w:w="418"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5.抵销不同政府财政之间的援助收支</w:t>
            </w:r>
          </w:p>
        </w:tc>
        <w:tc>
          <w:tcPr>
            <w:tcW w:w="500" w:type="pct"/>
            <w:vMerge/>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6B672A" w:rsidRPr="00C04E40" w:rsidTr="006B672A">
        <w:trPr>
          <w:trHeight w:val="680"/>
          <w:jc w:val="center"/>
        </w:trPr>
        <w:tc>
          <w:tcPr>
            <w:tcW w:w="1170" w:type="pct"/>
            <w:vMerge/>
            <w:shd w:val="clear" w:color="auto" w:fill="auto"/>
            <w:vAlign w:val="center"/>
          </w:tcPr>
          <w:p w:rsidR="006B672A" w:rsidRPr="00C04E40" w:rsidRDefault="006B672A"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p>
        </w:tc>
        <w:tc>
          <w:tcPr>
            <w:tcW w:w="418"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shd w:val="clear" w:color="auto" w:fill="auto"/>
            <w:vAlign w:val="center"/>
          </w:tcPr>
          <w:p w:rsidR="006B672A" w:rsidRPr="00C04E40" w:rsidRDefault="006B672A"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6B672A" w:rsidRPr="00C04E40" w:rsidRDefault="006B672A"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6.抵销政府部门与非同级政府财政之间</w:t>
            </w:r>
          </w:p>
          <w:p w:rsidR="006B672A" w:rsidRPr="00C04E40" w:rsidRDefault="006B672A" w:rsidP="00762D4E">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发生的</w:t>
            </w:r>
            <w:r w:rsidR="00762D4E" w:rsidRPr="00762D4E">
              <w:rPr>
                <w:rFonts w:asciiTheme="minorEastAsia" w:eastAsiaTheme="minorEastAsia" w:hAnsiTheme="minorEastAsia" w:cs="宋体" w:hint="eastAsia"/>
                <w:color w:val="auto"/>
                <w:kern w:val="0"/>
                <w:sz w:val="16"/>
                <w:szCs w:val="16"/>
              </w:rPr>
              <w:t>收入费用</w:t>
            </w:r>
          </w:p>
        </w:tc>
        <w:tc>
          <w:tcPr>
            <w:tcW w:w="500" w:type="pct"/>
            <w:vMerge/>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shd w:val="clear" w:color="auto" w:fill="auto"/>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ign w:val="center"/>
          </w:tcPr>
          <w:p w:rsidR="006B672A" w:rsidRPr="00C04E40" w:rsidRDefault="006B672A"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其他收入</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8.抵销非同级政府部门之间的收入费用</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借：其他收入</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收入合计</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lastRenderedPageBreak/>
              <w:t>五、费用类</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工资福利费用</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A83F1E" w:rsidRPr="00C04E40" w:rsidTr="00A83F1E">
        <w:trPr>
          <w:trHeight w:val="680"/>
          <w:jc w:val="center"/>
        </w:trPr>
        <w:tc>
          <w:tcPr>
            <w:tcW w:w="1170" w:type="pct"/>
            <w:vMerge w:val="restart"/>
            <w:shd w:val="clear" w:color="auto" w:fill="auto"/>
            <w:vAlign w:val="center"/>
          </w:tcPr>
          <w:p w:rsidR="00A83F1E" w:rsidRPr="00C04E40" w:rsidRDefault="00A83F1E"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商品和服务费用</w:t>
            </w:r>
          </w:p>
        </w:tc>
        <w:tc>
          <w:tcPr>
            <w:tcW w:w="418" w:type="pct"/>
            <w:vMerge w:val="restart"/>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val="restart"/>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val="restart"/>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A83F1E" w:rsidRPr="00C04E40" w:rsidRDefault="00A83F1E" w:rsidP="00762D4E">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6.抵销政府部门与非同级政府财政之间发生的</w:t>
            </w:r>
            <w:r w:rsidR="00762D4E" w:rsidRPr="00762D4E">
              <w:rPr>
                <w:rFonts w:asciiTheme="minorEastAsia" w:eastAsiaTheme="minorEastAsia" w:hAnsiTheme="minorEastAsia" w:cs="宋体" w:hint="eastAsia"/>
                <w:color w:val="auto"/>
                <w:kern w:val="0"/>
                <w:sz w:val="16"/>
                <w:szCs w:val="16"/>
              </w:rPr>
              <w:t>收入费用</w:t>
            </w:r>
          </w:p>
        </w:tc>
        <w:tc>
          <w:tcPr>
            <w:tcW w:w="500" w:type="pct"/>
            <w:vMerge w:val="restart"/>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val="restart"/>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贷：商品和服务费用</w:t>
            </w:r>
          </w:p>
        </w:tc>
        <w:tc>
          <w:tcPr>
            <w:tcW w:w="462" w:type="pct"/>
            <w:vMerge w:val="restart"/>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A83F1E" w:rsidRPr="00C04E40" w:rsidTr="00A83F1E">
        <w:trPr>
          <w:trHeight w:val="680"/>
          <w:jc w:val="center"/>
        </w:trPr>
        <w:tc>
          <w:tcPr>
            <w:tcW w:w="1170" w:type="pct"/>
            <w:vMerge/>
            <w:shd w:val="clear" w:color="auto" w:fill="auto"/>
            <w:vAlign w:val="center"/>
          </w:tcPr>
          <w:p w:rsidR="00A83F1E" w:rsidRPr="00C04E40" w:rsidRDefault="00A83F1E"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p>
        </w:tc>
        <w:tc>
          <w:tcPr>
            <w:tcW w:w="418" w:type="pct"/>
            <w:vMerge/>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A83F1E" w:rsidRPr="00C04E40" w:rsidRDefault="00A83F1E" w:rsidP="00A83F1E">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8.抵销非同级政府部门之间的收入费用</w:t>
            </w:r>
          </w:p>
        </w:tc>
        <w:tc>
          <w:tcPr>
            <w:tcW w:w="500" w:type="pct"/>
            <w:vMerge/>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A83F1E">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对个人和家庭的补助</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对企事业单位的补贴</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A83F1E" w:rsidRPr="00C04E40" w:rsidTr="00A83F1E">
        <w:trPr>
          <w:trHeight w:val="680"/>
          <w:jc w:val="center"/>
        </w:trPr>
        <w:tc>
          <w:tcPr>
            <w:tcW w:w="1170" w:type="pct"/>
            <w:vMerge w:val="restart"/>
            <w:shd w:val="clear" w:color="auto" w:fill="auto"/>
            <w:vAlign w:val="center"/>
          </w:tcPr>
          <w:p w:rsidR="00A83F1E" w:rsidRPr="00C04E40" w:rsidRDefault="00A83F1E"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政府间转移性支出</w:t>
            </w:r>
          </w:p>
        </w:tc>
        <w:tc>
          <w:tcPr>
            <w:tcW w:w="418" w:type="pct"/>
            <w:vMerge w:val="restart"/>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val="restart"/>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val="restart"/>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A83F1E" w:rsidRPr="00C04E40" w:rsidRDefault="00A83F1E"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4.抵销上下级政府财政之间的补助收支和上解收支</w:t>
            </w:r>
          </w:p>
        </w:tc>
        <w:tc>
          <w:tcPr>
            <w:tcW w:w="500" w:type="pct"/>
            <w:vMerge w:val="restart"/>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val="restart"/>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贷：政府间转移性支出</w:t>
            </w:r>
          </w:p>
        </w:tc>
        <w:tc>
          <w:tcPr>
            <w:tcW w:w="462" w:type="pct"/>
            <w:vMerge w:val="restart"/>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A83F1E" w:rsidRPr="00C04E40" w:rsidTr="00A83F1E">
        <w:trPr>
          <w:trHeight w:val="680"/>
          <w:jc w:val="center"/>
        </w:trPr>
        <w:tc>
          <w:tcPr>
            <w:tcW w:w="1170" w:type="pct"/>
            <w:vMerge/>
            <w:shd w:val="clear" w:color="auto" w:fill="auto"/>
            <w:vAlign w:val="center"/>
          </w:tcPr>
          <w:p w:rsidR="00A83F1E" w:rsidRPr="00C04E40" w:rsidRDefault="00A83F1E"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p>
        </w:tc>
        <w:tc>
          <w:tcPr>
            <w:tcW w:w="418" w:type="pct"/>
            <w:vMerge/>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vMerge/>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vMerge/>
            <w:shd w:val="clear" w:color="auto" w:fill="auto"/>
            <w:vAlign w:val="center"/>
          </w:tcPr>
          <w:p w:rsidR="00A83F1E" w:rsidRPr="00C04E40" w:rsidRDefault="00A83F1E"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A83F1E" w:rsidRPr="00C04E40" w:rsidRDefault="00A83F1E" w:rsidP="006B672A">
            <w:pPr>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5.抵销不同政府财政之间的援助收支</w:t>
            </w:r>
          </w:p>
        </w:tc>
        <w:tc>
          <w:tcPr>
            <w:tcW w:w="500" w:type="pct"/>
            <w:vMerge/>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vMerge/>
            <w:shd w:val="clear" w:color="auto" w:fill="auto"/>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Merge/>
            <w:vAlign w:val="center"/>
          </w:tcPr>
          <w:p w:rsidR="00A83F1E" w:rsidRPr="00C04E40" w:rsidRDefault="00A83F1E"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A83F1E">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折旧费用</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lastRenderedPageBreak/>
              <w:t>摊销费用</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财务费用</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经营费用</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8.抵销非同级政府部门之间的收入费用</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贷：经营费用</w:t>
            </w: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3444AD">
            <w:pPr>
              <w:widowControl/>
              <w:adjustRightInd w:val="0"/>
              <w:snapToGrid w:val="0"/>
              <w:spacing w:line="320" w:lineRule="exact"/>
              <w:ind w:firstLineChars="100" w:firstLine="160"/>
              <w:jc w:val="left"/>
              <w:rPr>
                <w:rFonts w:asciiTheme="minorEastAsia" w:eastAsiaTheme="minorEastAsia" w:hAnsiTheme="minorEastAsia" w:cs="Calibri"/>
                <w:kern w:val="0"/>
                <w:sz w:val="16"/>
                <w:szCs w:val="16"/>
              </w:rPr>
            </w:pPr>
            <w:r w:rsidRPr="00C04E40">
              <w:rPr>
                <w:rFonts w:asciiTheme="minorEastAsia" w:eastAsiaTheme="minorEastAsia" w:hAnsiTheme="minorEastAsia" w:cs="Calibri" w:hint="eastAsia"/>
                <w:kern w:val="0"/>
                <w:sz w:val="16"/>
                <w:szCs w:val="16"/>
              </w:rPr>
              <w:t>其他费用</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762D4E">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6.抵销政府部门与非同级政府财政之间发生的</w:t>
            </w:r>
            <w:r w:rsidR="00762D4E" w:rsidRPr="00762D4E">
              <w:rPr>
                <w:rFonts w:asciiTheme="minorEastAsia" w:eastAsiaTheme="minorEastAsia" w:hAnsiTheme="minorEastAsia" w:cs="宋体" w:hint="eastAsia"/>
                <w:color w:val="auto"/>
                <w:kern w:val="0"/>
                <w:sz w:val="16"/>
                <w:szCs w:val="16"/>
              </w:rPr>
              <w:t>收入费用</w:t>
            </w: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r w:rsidRPr="00C04E40">
              <w:rPr>
                <w:rFonts w:asciiTheme="minorEastAsia" w:eastAsiaTheme="minorEastAsia" w:hAnsiTheme="minorEastAsia" w:cs="宋体" w:hint="eastAsia"/>
                <w:color w:val="auto"/>
                <w:kern w:val="0"/>
                <w:sz w:val="16"/>
                <w:szCs w:val="16"/>
              </w:rPr>
              <w:t>贷：其他费用</w:t>
            </w: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Calibri"/>
                <w:b/>
                <w:bCs/>
                <w:kern w:val="0"/>
                <w:sz w:val="16"/>
                <w:szCs w:val="16"/>
              </w:rPr>
            </w:pPr>
            <w:r w:rsidRPr="00C04E40">
              <w:rPr>
                <w:rFonts w:asciiTheme="minorEastAsia" w:eastAsiaTheme="minorEastAsia" w:hAnsiTheme="minorEastAsia" w:cs="Calibri" w:hint="eastAsia"/>
                <w:b/>
                <w:bCs/>
                <w:kern w:val="0"/>
                <w:sz w:val="16"/>
                <w:szCs w:val="16"/>
              </w:rPr>
              <w:t>费用合计</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六、当期盈余</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r w:rsidR="00C04E40" w:rsidRPr="00C04E40" w:rsidTr="006B672A">
        <w:trPr>
          <w:trHeight w:val="680"/>
          <w:jc w:val="center"/>
        </w:trPr>
        <w:tc>
          <w:tcPr>
            <w:tcW w:w="117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b/>
                <w:bCs/>
                <w:kern w:val="0"/>
                <w:sz w:val="16"/>
                <w:szCs w:val="16"/>
              </w:rPr>
            </w:pPr>
            <w:r w:rsidRPr="00C04E40">
              <w:rPr>
                <w:rFonts w:asciiTheme="minorEastAsia" w:eastAsiaTheme="minorEastAsia" w:hAnsiTheme="minorEastAsia" w:cs="宋体" w:hint="eastAsia"/>
                <w:b/>
                <w:bCs/>
                <w:kern w:val="0"/>
                <w:sz w:val="16"/>
                <w:szCs w:val="16"/>
              </w:rPr>
              <w:t>当期盈余</w:t>
            </w:r>
          </w:p>
        </w:tc>
        <w:tc>
          <w:tcPr>
            <w:tcW w:w="418"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0"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451" w:type="pct"/>
            <w:shd w:val="clear" w:color="auto" w:fill="auto"/>
            <w:vAlign w:val="center"/>
          </w:tcPr>
          <w:p w:rsidR="00C04E40" w:rsidRPr="00C04E40" w:rsidRDefault="00C04E40" w:rsidP="006B672A">
            <w:pPr>
              <w:widowControl/>
              <w:adjustRightInd w:val="0"/>
              <w:snapToGrid w:val="0"/>
              <w:spacing w:line="320" w:lineRule="exact"/>
              <w:jc w:val="center"/>
              <w:rPr>
                <w:rFonts w:asciiTheme="minorEastAsia" w:eastAsiaTheme="minorEastAsia" w:hAnsiTheme="minorEastAsia" w:cs="宋体"/>
                <w:color w:val="auto"/>
                <w:kern w:val="0"/>
                <w:sz w:val="16"/>
                <w:szCs w:val="16"/>
              </w:rPr>
            </w:pPr>
          </w:p>
        </w:tc>
        <w:tc>
          <w:tcPr>
            <w:tcW w:w="1049"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500" w:type="pct"/>
            <w:shd w:val="clear" w:color="auto" w:fill="auto"/>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c>
          <w:tcPr>
            <w:tcW w:w="462" w:type="pct"/>
            <w:vAlign w:val="center"/>
          </w:tcPr>
          <w:p w:rsidR="00C04E40" w:rsidRPr="00C04E40" w:rsidRDefault="00C04E40" w:rsidP="006B672A">
            <w:pPr>
              <w:widowControl/>
              <w:adjustRightInd w:val="0"/>
              <w:snapToGrid w:val="0"/>
              <w:spacing w:line="320" w:lineRule="exact"/>
              <w:jc w:val="left"/>
              <w:rPr>
                <w:rFonts w:asciiTheme="minorEastAsia" w:eastAsiaTheme="minorEastAsia" w:hAnsiTheme="minorEastAsia" w:cs="宋体"/>
                <w:color w:val="auto"/>
                <w:kern w:val="0"/>
                <w:sz w:val="16"/>
                <w:szCs w:val="16"/>
              </w:rPr>
            </w:pPr>
          </w:p>
        </w:tc>
      </w:tr>
    </w:tbl>
    <w:p w:rsidR="003420FC" w:rsidRDefault="003420FC" w:rsidP="00687390">
      <w:pPr>
        <w:widowControl/>
        <w:jc w:val="left"/>
        <w:rPr>
          <w:sz w:val="32"/>
          <w:szCs w:val="32"/>
        </w:rPr>
      </w:pPr>
    </w:p>
    <w:p w:rsidR="00A72706" w:rsidRDefault="00A72706">
      <w:pPr>
        <w:widowControl/>
        <w:jc w:val="center"/>
        <w:rPr>
          <w:rFonts w:ascii="方正小标宋_GBK" w:eastAsia="方正小标宋_GBK" w:cs="宋体"/>
          <w:color w:val="auto"/>
          <w:kern w:val="0"/>
          <w:sz w:val="32"/>
          <w:szCs w:val="32"/>
        </w:rPr>
        <w:sectPr w:rsidR="00A72706" w:rsidSect="00687390">
          <w:pgSz w:w="16838" w:h="11906" w:orient="landscape"/>
          <w:pgMar w:top="1797" w:right="1440" w:bottom="1797" w:left="1440" w:header="851" w:footer="992" w:gutter="0"/>
          <w:cols w:space="425"/>
          <w:docGrid w:type="lines" w:linePitch="408"/>
        </w:sectPr>
      </w:pPr>
    </w:p>
    <w:tbl>
      <w:tblPr>
        <w:tblW w:w="5000" w:type="pct"/>
        <w:jc w:val="center"/>
        <w:tblLook w:val="04A0"/>
      </w:tblPr>
      <w:tblGrid>
        <w:gridCol w:w="728"/>
        <w:gridCol w:w="2756"/>
        <w:gridCol w:w="2934"/>
        <w:gridCol w:w="2110"/>
      </w:tblGrid>
      <w:tr w:rsidR="00A72706" w:rsidRPr="00883940" w:rsidTr="003444AD">
        <w:trPr>
          <w:trHeight w:val="567"/>
          <w:jc w:val="center"/>
        </w:trPr>
        <w:tc>
          <w:tcPr>
            <w:tcW w:w="5000" w:type="pct"/>
            <w:gridSpan w:val="4"/>
            <w:tcBorders>
              <w:top w:val="nil"/>
              <w:left w:val="nil"/>
              <w:bottom w:val="single" w:sz="4" w:space="0" w:color="auto"/>
              <w:right w:val="nil"/>
            </w:tcBorders>
            <w:vAlign w:val="center"/>
            <w:hideMark/>
          </w:tcPr>
          <w:p w:rsidR="00A72706" w:rsidRPr="00A83F1E" w:rsidRDefault="00A72706" w:rsidP="00A72706">
            <w:pPr>
              <w:widowControl/>
              <w:rPr>
                <w:rFonts w:hAnsiTheme="minorEastAsia" w:cs="宋体"/>
                <w:color w:val="auto"/>
                <w:kern w:val="0"/>
                <w:szCs w:val="30"/>
              </w:rPr>
            </w:pPr>
            <w:r w:rsidRPr="00A83F1E">
              <w:rPr>
                <w:rFonts w:hAnsiTheme="minorEastAsia" w:cs="宋体" w:hint="eastAsia"/>
                <w:color w:val="auto"/>
                <w:kern w:val="0"/>
                <w:szCs w:val="30"/>
              </w:rPr>
              <w:lastRenderedPageBreak/>
              <w:t>附</w:t>
            </w:r>
            <w:r w:rsidR="00A83F1E" w:rsidRPr="00A83F1E">
              <w:rPr>
                <w:rFonts w:hAnsiTheme="minorEastAsia" w:cs="宋体" w:hint="eastAsia"/>
                <w:color w:val="auto"/>
                <w:kern w:val="0"/>
                <w:szCs w:val="30"/>
              </w:rPr>
              <w:t>2</w:t>
            </w:r>
          </w:p>
          <w:p w:rsidR="00A72706" w:rsidRPr="00A83F1E" w:rsidRDefault="00A72706">
            <w:pPr>
              <w:widowControl/>
              <w:jc w:val="center"/>
              <w:rPr>
                <w:rFonts w:asciiTheme="minorEastAsia" w:eastAsiaTheme="minorEastAsia" w:hAnsiTheme="minorEastAsia" w:cs="宋体"/>
                <w:b/>
                <w:color w:val="auto"/>
                <w:kern w:val="0"/>
                <w:sz w:val="32"/>
                <w:szCs w:val="32"/>
              </w:rPr>
            </w:pPr>
            <w:r w:rsidRPr="00A83F1E">
              <w:rPr>
                <w:rFonts w:asciiTheme="minorEastAsia" w:eastAsiaTheme="minorEastAsia" w:hAnsiTheme="minorEastAsia" w:cs="宋体" w:hint="eastAsia"/>
                <w:b/>
                <w:color w:val="auto"/>
                <w:kern w:val="0"/>
                <w:sz w:val="32"/>
                <w:szCs w:val="32"/>
              </w:rPr>
              <w:t>抵销事项清单</w:t>
            </w:r>
          </w:p>
        </w:tc>
      </w:tr>
      <w:tr w:rsidR="00A72706" w:rsidRPr="00A83F1E" w:rsidTr="003444AD">
        <w:trPr>
          <w:trHeight w:val="567"/>
          <w:jc w:val="center"/>
        </w:trPr>
        <w:tc>
          <w:tcPr>
            <w:tcW w:w="427" w:type="pct"/>
            <w:tcBorders>
              <w:top w:val="nil"/>
              <w:left w:val="single" w:sz="4" w:space="0" w:color="auto"/>
              <w:bottom w:val="single" w:sz="4" w:space="0" w:color="auto"/>
              <w:right w:val="single" w:sz="4" w:space="0" w:color="auto"/>
            </w:tcBorders>
            <w:vAlign w:val="center"/>
            <w:hideMark/>
          </w:tcPr>
          <w:p w:rsidR="00A72706" w:rsidRPr="00A83F1E" w:rsidRDefault="00A72706">
            <w:pPr>
              <w:widowControl/>
              <w:jc w:val="center"/>
              <w:rPr>
                <w:rFonts w:asciiTheme="minorEastAsia" w:eastAsiaTheme="minorEastAsia" w:hAnsiTheme="minorEastAsia" w:cs="宋体"/>
                <w:b/>
                <w:bCs/>
                <w:color w:val="auto"/>
                <w:kern w:val="0"/>
                <w:sz w:val="22"/>
                <w:szCs w:val="22"/>
              </w:rPr>
            </w:pPr>
            <w:r w:rsidRPr="00A83F1E">
              <w:rPr>
                <w:rFonts w:asciiTheme="minorEastAsia" w:eastAsiaTheme="minorEastAsia" w:hAnsiTheme="minorEastAsia" w:cs="宋体" w:hint="eastAsia"/>
                <w:b/>
                <w:bCs/>
                <w:color w:val="auto"/>
                <w:kern w:val="0"/>
                <w:sz w:val="22"/>
                <w:szCs w:val="22"/>
              </w:rPr>
              <w:t>序号</w:t>
            </w:r>
          </w:p>
        </w:tc>
        <w:tc>
          <w:tcPr>
            <w:tcW w:w="1616" w:type="pct"/>
            <w:tcBorders>
              <w:top w:val="nil"/>
              <w:left w:val="nil"/>
              <w:bottom w:val="single" w:sz="4" w:space="0" w:color="auto"/>
              <w:right w:val="single" w:sz="4" w:space="0" w:color="auto"/>
            </w:tcBorders>
            <w:vAlign w:val="center"/>
            <w:hideMark/>
          </w:tcPr>
          <w:p w:rsidR="00A72706" w:rsidRPr="00A83F1E" w:rsidRDefault="00A72706">
            <w:pPr>
              <w:widowControl/>
              <w:jc w:val="center"/>
              <w:rPr>
                <w:rFonts w:asciiTheme="minorEastAsia" w:eastAsiaTheme="minorEastAsia" w:hAnsiTheme="minorEastAsia" w:cs="宋体"/>
                <w:b/>
                <w:bCs/>
                <w:color w:val="auto"/>
                <w:kern w:val="0"/>
                <w:sz w:val="22"/>
                <w:szCs w:val="22"/>
              </w:rPr>
            </w:pPr>
            <w:r w:rsidRPr="00A83F1E">
              <w:rPr>
                <w:rFonts w:asciiTheme="minorEastAsia" w:eastAsiaTheme="minorEastAsia" w:hAnsiTheme="minorEastAsia" w:cs="宋体" w:hint="eastAsia"/>
                <w:b/>
                <w:bCs/>
                <w:color w:val="auto"/>
                <w:kern w:val="0"/>
                <w:sz w:val="22"/>
                <w:szCs w:val="22"/>
              </w:rPr>
              <w:t>事项说明</w:t>
            </w:r>
          </w:p>
        </w:tc>
        <w:tc>
          <w:tcPr>
            <w:tcW w:w="1720" w:type="pct"/>
            <w:tcBorders>
              <w:top w:val="nil"/>
              <w:left w:val="nil"/>
              <w:bottom w:val="single" w:sz="4" w:space="0" w:color="auto"/>
              <w:right w:val="single" w:sz="4" w:space="0" w:color="auto"/>
            </w:tcBorders>
            <w:vAlign w:val="center"/>
            <w:hideMark/>
          </w:tcPr>
          <w:p w:rsidR="00A72706" w:rsidRPr="00A83F1E" w:rsidRDefault="00A72706">
            <w:pPr>
              <w:widowControl/>
              <w:jc w:val="center"/>
              <w:rPr>
                <w:rFonts w:asciiTheme="minorEastAsia" w:eastAsiaTheme="minorEastAsia" w:hAnsiTheme="minorEastAsia" w:cs="宋体"/>
                <w:b/>
                <w:bCs/>
                <w:color w:val="auto"/>
                <w:kern w:val="0"/>
                <w:sz w:val="22"/>
                <w:szCs w:val="22"/>
              </w:rPr>
            </w:pPr>
            <w:r w:rsidRPr="00A83F1E">
              <w:rPr>
                <w:rFonts w:asciiTheme="minorEastAsia" w:eastAsiaTheme="minorEastAsia" w:hAnsiTheme="minorEastAsia" w:cs="宋体" w:hint="eastAsia"/>
                <w:b/>
                <w:bCs/>
                <w:color w:val="auto"/>
                <w:kern w:val="0"/>
                <w:sz w:val="22"/>
                <w:szCs w:val="22"/>
              </w:rPr>
              <w:t>分录</w:t>
            </w:r>
          </w:p>
        </w:tc>
        <w:tc>
          <w:tcPr>
            <w:tcW w:w="1237" w:type="pct"/>
            <w:tcBorders>
              <w:top w:val="nil"/>
              <w:left w:val="nil"/>
              <w:bottom w:val="single" w:sz="4" w:space="0" w:color="auto"/>
              <w:right w:val="single" w:sz="4" w:space="0" w:color="auto"/>
            </w:tcBorders>
            <w:vAlign w:val="center"/>
            <w:hideMark/>
          </w:tcPr>
          <w:p w:rsidR="00A72706" w:rsidRPr="00A83F1E" w:rsidRDefault="00A72706">
            <w:pPr>
              <w:widowControl/>
              <w:jc w:val="center"/>
              <w:rPr>
                <w:rFonts w:asciiTheme="minorEastAsia" w:eastAsiaTheme="minorEastAsia" w:hAnsiTheme="minorEastAsia" w:cs="宋体"/>
                <w:b/>
                <w:bCs/>
                <w:color w:val="auto"/>
                <w:kern w:val="0"/>
                <w:sz w:val="22"/>
                <w:szCs w:val="22"/>
              </w:rPr>
            </w:pPr>
            <w:r w:rsidRPr="00A83F1E">
              <w:rPr>
                <w:rFonts w:asciiTheme="minorEastAsia" w:eastAsiaTheme="minorEastAsia" w:hAnsiTheme="minorEastAsia" w:cs="宋体" w:hint="eastAsia"/>
                <w:b/>
                <w:bCs/>
                <w:color w:val="auto"/>
                <w:kern w:val="0"/>
                <w:sz w:val="22"/>
                <w:szCs w:val="22"/>
              </w:rPr>
              <w:t>事项分类</w:t>
            </w:r>
          </w:p>
        </w:tc>
      </w:tr>
      <w:tr w:rsidR="00A72706" w:rsidRPr="00A83F1E" w:rsidTr="003444AD">
        <w:trPr>
          <w:trHeight w:val="1134"/>
          <w:jc w:val="center"/>
        </w:trPr>
        <w:tc>
          <w:tcPr>
            <w:tcW w:w="427" w:type="pct"/>
            <w:tcBorders>
              <w:top w:val="nil"/>
              <w:left w:val="single" w:sz="4" w:space="0" w:color="auto"/>
              <w:bottom w:val="single" w:sz="4" w:space="0" w:color="auto"/>
              <w:right w:val="single" w:sz="4" w:space="0" w:color="auto"/>
            </w:tcBorders>
            <w:vAlign w:val="center"/>
            <w:hideMark/>
          </w:tcPr>
          <w:p w:rsidR="00A72706" w:rsidRPr="00A83F1E" w:rsidRDefault="00A7270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1</w:t>
            </w:r>
          </w:p>
        </w:tc>
        <w:tc>
          <w:tcPr>
            <w:tcW w:w="1616" w:type="pct"/>
            <w:tcBorders>
              <w:top w:val="nil"/>
              <w:left w:val="nil"/>
              <w:bottom w:val="single" w:sz="4" w:space="0" w:color="auto"/>
              <w:right w:val="single" w:sz="4" w:space="0" w:color="auto"/>
            </w:tcBorders>
            <w:vAlign w:val="center"/>
            <w:hideMark/>
          </w:tcPr>
          <w:p w:rsidR="00AB4264" w:rsidRDefault="00DD1C1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w:t>
            </w:r>
            <w:r w:rsidR="00A72706" w:rsidRPr="00A83F1E">
              <w:rPr>
                <w:rFonts w:asciiTheme="minorEastAsia" w:eastAsiaTheme="minorEastAsia" w:hAnsiTheme="minorEastAsia" w:cs="宋体" w:hint="eastAsia"/>
                <w:color w:val="auto"/>
                <w:kern w:val="0"/>
                <w:sz w:val="22"/>
                <w:szCs w:val="22"/>
              </w:rPr>
              <w:t>上下级政府财政之间发生的往来事项</w:t>
            </w:r>
          </w:p>
        </w:tc>
        <w:tc>
          <w:tcPr>
            <w:tcW w:w="1720" w:type="pct"/>
            <w:tcBorders>
              <w:top w:val="nil"/>
              <w:left w:val="nil"/>
              <w:bottom w:val="single" w:sz="4" w:space="0" w:color="auto"/>
              <w:right w:val="single" w:sz="4" w:space="0" w:color="auto"/>
            </w:tcBorders>
            <w:vAlign w:val="center"/>
            <w:hideMark/>
          </w:tcPr>
          <w:p w:rsidR="00AB4264" w:rsidRDefault="00A7270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借：应付及预收款项</w:t>
            </w:r>
          </w:p>
          <w:p w:rsidR="00AB4264" w:rsidRDefault="00A7270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贷：应收及预付款项</w:t>
            </w:r>
          </w:p>
        </w:tc>
        <w:tc>
          <w:tcPr>
            <w:tcW w:w="1237" w:type="pct"/>
            <w:tcBorders>
              <w:top w:val="nil"/>
              <w:left w:val="nil"/>
              <w:bottom w:val="single" w:sz="4" w:space="0" w:color="auto"/>
              <w:right w:val="single" w:sz="4" w:space="0" w:color="auto"/>
            </w:tcBorders>
            <w:vAlign w:val="center"/>
            <w:hideMark/>
          </w:tcPr>
          <w:p w:rsidR="00AB4264" w:rsidRDefault="00A7270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不同</w:t>
            </w:r>
            <w:r w:rsidRPr="00A83F1E">
              <w:rPr>
                <w:rFonts w:asciiTheme="minorEastAsia" w:eastAsiaTheme="minorEastAsia" w:hAnsiTheme="minorEastAsia" w:cs="宋体"/>
                <w:color w:val="auto"/>
                <w:kern w:val="0"/>
                <w:sz w:val="22"/>
                <w:szCs w:val="22"/>
              </w:rPr>
              <w:t>政府</w:t>
            </w:r>
            <w:r w:rsidRPr="00A83F1E">
              <w:rPr>
                <w:rFonts w:asciiTheme="minorEastAsia" w:eastAsiaTheme="minorEastAsia" w:hAnsiTheme="minorEastAsia" w:cs="宋体" w:hint="eastAsia"/>
                <w:color w:val="auto"/>
                <w:kern w:val="0"/>
                <w:sz w:val="22"/>
                <w:szCs w:val="22"/>
              </w:rPr>
              <w:t>财政之间抵销事项</w:t>
            </w:r>
          </w:p>
        </w:tc>
      </w:tr>
      <w:tr w:rsidR="00802DC0" w:rsidRPr="00A83F1E" w:rsidTr="003444AD">
        <w:trPr>
          <w:trHeight w:val="1701"/>
          <w:jc w:val="center"/>
        </w:trPr>
        <w:tc>
          <w:tcPr>
            <w:tcW w:w="427" w:type="pct"/>
            <w:tcBorders>
              <w:top w:val="nil"/>
              <w:left w:val="single" w:sz="4" w:space="0" w:color="auto"/>
              <w:bottom w:val="single" w:sz="4" w:space="0" w:color="auto"/>
              <w:right w:val="single" w:sz="4" w:space="0" w:color="auto"/>
            </w:tcBorders>
            <w:vAlign w:val="center"/>
            <w:hideMark/>
          </w:tcPr>
          <w:p w:rsidR="00802DC0" w:rsidRPr="00A83F1E" w:rsidRDefault="00802DC0"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2</w:t>
            </w:r>
          </w:p>
        </w:tc>
        <w:tc>
          <w:tcPr>
            <w:tcW w:w="1616"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抵销上下级政府财政之间发生的转贷款本金</w:t>
            </w:r>
          </w:p>
        </w:tc>
        <w:tc>
          <w:tcPr>
            <w:tcW w:w="1720" w:type="pct"/>
            <w:tcBorders>
              <w:top w:val="nil"/>
              <w:left w:val="nil"/>
              <w:bottom w:val="single" w:sz="4" w:space="0" w:color="auto"/>
              <w:right w:val="single" w:sz="4" w:space="0" w:color="auto"/>
            </w:tcBorders>
            <w:vAlign w:val="center"/>
            <w:hideMark/>
          </w:tcPr>
          <w:p w:rsidR="009173A7" w:rsidRDefault="00802DC0" w:rsidP="009855DA">
            <w:pPr>
              <w:widowControl/>
              <w:adjustRightInd w:val="0"/>
              <w:snapToGrid w:val="0"/>
              <w:spacing w:beforeLines="30"/>
              <w:ind w:left="440" w:hangingChars="200" w:hanging="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借：应付转贷款/一年内到期的非流动负债</w:t>
            </w:r>
          </w:p>
          <w:p w:rsidR="00315C25" w:rsidRDefault="00802DC0" w:rsidP="009855DA">
            <w:pPr>
              <w:widowControl/>
              <w:adjustRightInd w:val="0"/>
              <w:snapToGrid w:val="0"/>
              <w:spacing w:beforeLines="30"/>
              <w:ind w:left="660" w:hangingChars="300" w:hanging="66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贷：应收转贷款/一年内到期的非流动资产</w:t>
            </w:r>
          </w:p>
        </w:tc>
        <w:tc>
          <w:tcPr>
            <w:tcW w:w="1237" w:type="pct"/>
            <w:tcBorders>
              <w:top w:val="nil"/>
              <w:left w:val="nil"/>
              <w:bottom w:val="single" w:sz="4" w:space="0" w:color="auto"/>
              <w:right w:val="single" w:sz="4" w:space="0" w:color="auto"/>
            </w:tcBorders>
            <w:vAlign w:val="center"/>
            <w:hideMark/>
          </w:tcPr>
          <w:p w:rsidR="00802DC0" w:rsidRDefault="00802DC0" w:rsidP="00802DC0">
            <w:pPr>
              <w:jc w:val="center"/>
            </w:pPr>
            <w:r w:rsidRPr="0017090F">
              <w:rPr>
                <w:rFonts w:asciiTheme="minorEastAsia" w:eastAsiaTheme="minorEastAsia" w:hAnsiTheme="minorEastAsia" w:cs="宋体" w:hint="eastAsia"/>
                <w:color w:val="auto"/>
                <w:kern w:val="0"/>
                <w:sz w:val="22"/>
                <w:szCs w:val="22"/>
              </w:rPr>
              <w:t>不同</w:t>
            </w:r>
            <w:r w:rsidRPr="0017090F">
              <w:rPr>
                <w:rFonts w:asciiTheme="minorEastAsia" w:eastAsiaTheme="minorEastAsia" w:hAnsiTheme="minorEastAsia" w:cs="宋体"/>
                <w:color w:val="auto"/>
                <w:kern w:val="0"/>
                <w:sz w:val="22"/>
                <w:szCs w:val="22"/>
              </w:rPr>
              <w:t>政府</w:t>
            </w:r>
            <w:r w:rsidRPr="0017090F">
              <w:rPr>
                <w:rFonts w:asciiTheme="minorEastAsia" w:eastAsiaTheme="minorEastAsia" w:hAnsiTheme="minorEastAsia" w:cs="宋体" w:hint="eastAsia"/>
                <w:color w:val="auto"/>
                <w:kern w:val="0"/>
                <w:sz w:val="22"/>
                <w:szCs w:val="22"/>
              </w:rPr>
              <w:t>财政之间抵销事项</w:t>
            </w:r>
          </w:p>
        </w:tc>
      </w:tr>
      <w:tr w:rsidR="00802DC0" w:rsidRPr="00A83F1E" w:rsidTr="003444AD">
        <w:trPr>
          <w:trHeight w:val="1134"/>
          <w:jc w:val="center"/>
        </w:trPr>
        <w:tc>
          <w:tcPr>
            <w:tcW w:w="427" w:type="pct"/>
            <w:tcBorders>
              <w:top w:val="nil"/>
              <w:left w:val="single" w:sz="4" w:space="0" w:color="auto"/>
              <w:bottom w:val="single" w:sz="4" w:space="0" w:color="auto"/>
              <w:right w:val="single" w:sz="4" w:space="0" w:color="auto"/>
            </w:tcBorders>
            <w:vAlign w:val="center"/>
            <w:hideMark/>
          </w:tcPr>
          <w:p w:rsidR="00802DC0" w:rsidRPr="00A83F1E" w:rsidRDefault="00802DC0"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3</w:t>
            </w:r>
          </w:p>
        </w:tc>
        <w:tc>
          <w:tcPr>
            <w:tcW w:w="1616"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抵销上下级政府财政之间发生的转贷款利息</w:t>
            </w:r>
          </w:p>
        </w:tc>
        <w:tc>
          <w:tcPr>
            <w:tcW w:w="1720"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借：应付利息</w:t>
            </w:r>
          </w:p>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贷：应收利息</w:t>
            </w:r>
          </w:p>
        </w:tc>
        <w:tc>
          <w:tcPr>
            <w:tcW w:w="1237" w:type="pct"/>
            <w:tcBorders>
              <w:top w:val="nil"/>
              <w:left w:val="nil"/>
              <w:bottom w:val="single" w:sz="4" w:space="0" w:color="auto"/>
              <w:right w:val="single" w:sz="4" w:space="0" w:color="auto"/>
            </w:tcBorders>
            <w:vAlign w:val="center"/>
            <w:hideMark/>
          </w:tcPr>
          <w:p w:rsidR="00802DC0" w:rsidRDefault="00802DC0" w:rsidP="00802DC0">
            <w:pPr>
              <w:jc w:val="center"/>
            </w:pPr>
            <w:r w:rsidRPr="0017090F">
              <w:rPr>
                <w:rFonts w:asciiTheme="minorEastAsia" w:eastAsiaTheme="minorEastAsia" w:hAnsiTheme="minorEastAsia" w:cs="宋体" w:hint="eastAsia"/>
                <w:color w:val="auto"/>
                <w:kern w:val="0"/>
                <w:sz w:val="22"/>
                <w:szCs w:val="22"/>
              </w:rPr>
              <w:t>不同</w:t>
            </w:r>
            <w:r w:rsidRPr="0017090F">
              <w:rPr>
                <w:rFonts w:asciiTheme="minorEastAsia" w:eastAsiaTheme="minorEastAsia" w:hAnsiTheme="minorEastAsia" w:cs="宋体"/>
                <w:color w:val="auto"/>
                <w:kern w:val="0"/>
                <w:sz w:val="22"/>
                <w:szCs w:val="22"/>
              </w:rPr>
              <w:t>政府</w:t>
            </w:r>
            <w:r w:rsidRPr="0017090F">
              <w:rPr>
                <w:rFonts w:asciiTheme="minorEastAsia" w:eastAsiaTheme="minorEastAsia" w:hAnsiTheme="minorEastAsia" w:cs="宋体" w:hint="eastAsia"/>
                <w:color w:val="auto"/>
                <w:kern w:val="0"/>
                <w:sz w:val="22"/>
                <w:szCs w:val="22"/>
              </w:rPr>
              <w:t>财政之间抵销事项</w:t>
            </w:r>
          </w:p>
        </w:tc>
      </w:tr>
      <w:tr w:rsidR="00802DC0" w:rsidRPr="00A83F1E" w:rsidTr="003444AD">
        <w:trPr>
          <w:trHeight w:val="1134"/>
          <w:jc w:val="center"/>
        </w:trPr>
        <w:tc>
          <w:tcPr>
            <w:tcW w:w="427" w:type="pct"/>
            <w:tcBorders>
              <w:top w:val="nil"/>
              <w:left w:val="single" w:sz="4" w:space="0" w:color="auto"/>
              <w:bottom w:val="single" w:sz="4" w:space="0" w:color="auto"/>
              <w:right w:val="single" w:sz="4" w:space="0" w:color="auto"/>
            </w:tcBorders>
            <w:vAlign w:val="center"/>
            <w:hideMark/>
          </w:tcPr>
          <w:p w:rsidR="00802DC0" w:rsidRPr="00A83F1E" w:rsidRDefault="00802DC0"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4</w:t>
            </w:r>
          </w:p>
        </w:tc>
        <w:tc>
          <w:tcPr>
            <w:tcW w:w="1616"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抵销上下级政府财政之间发生的补助收支和上解收支</w:t>
            </w:r>
          </w:p>
        </w:tc>
        <w:tc>
          <w:tcPr>
            <w:tcW w:w="1720"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借：政府间转移性收入</w:t>
            </w:r>
          </w:p>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贷：政府间转移性支出</w:t>
            </w:r>
          </w:p>
        </w:tc>
        <w:tc>
          <w:tcPr>
            <w:tcW w:w="1237" w:type="pct"/>
            <w:tcBorders>
              <w:top w:val="nil"/>
              <w:left w:val="nil"/>
              <w:bottom w:val="single" w:sz="4" w:space="0" w:color="auto"/>
              <w:right w:val="single" w:sz="4" w:space="0" w:color="auto"/>
            </w:tcBorders>
            <w:vAlign w:val="center"/>
            <w:hideMark/>
          </w:tcPr>
          <w:p w:rsidR="00802DC0" w:rsidRDefault="00802DC0" w:rsidP="00802DC0">
            <w:pPr>
              <w:jc w:val="center"/>
            </w:pPr>
            <w:r w:rsidRPr="0017090F">
              <w:rPr>
                <w:rFonts w:asciiTheme="minorEastAsia" w:eastAsiaTheme="minorEastAsia" w:hAnsiTheme="minorEastAsia" w:cs="宋体" w:hint="eastAsia"/>
                <w:color w:val="auto"/>
                <w:kern w:val="0"/>
                <w:sz w:val="22"/>
                <w:szCs w:val="22"/>
              </w:rPr>
              <w:t>不同</w:t>
            </w:r>
            <w:r w:rsidRPr="0017090F">
              <w:rPr>
                <w:rFonts w:asciiTheme="minorEastAsia" w:eastAsiaTheme="minorEastAsia" w:hAnsiTheme="minorEastAsia" w:cs="宋体"/>
                <w:color w:val="auto"/>
                <w:kern w:val="0"/>
                <w:sz w:val="22"/>
                <w:szCs w:val="22"/>
              </w:rPr>
              <w:t>政府</w:t>
            </w:r>
            <w:r w:rsidRPr="0017090F">
              <w:rPr>
                <w:rFonts w:asciiTheme="minorEastAsia" w:eastAsiaTheme="minorEastAsia" w:hAnsiTheme="minorEastAsia" w:cs="宋体" w:hint="eastAsia"/>
                <w:color w:val="auto"/>
                <w:kern w:val="0"/>
                <w:sz w:val="22"/>
                <w:szCs w:val="22"/>
              </w:rPr>
              <w:t>财政之间抵销事项</w:t>
            </w:r>
          </w:p>
        </w:tc>
      </w:tr>
      <w:tr w:rsidR="00802DC0" w:rsidRPr="00A83F1E" w:rsidTr="003444AD">
        <w:trPr>
          <w:trHeight w:val="1134"/>
          <w:jc w:val="center"/>
        </w:trPr>
        <w:tc>
          <w:tcPr>
            <w:tcW w:w="427" w:type="pct"/>
            <w:tcBorders>
              <w:top w:val="nil"/>
              <w:left w:val="single" w:sz="4" w:space="0" w:color="auto"/>
              <w:bottom w:val="single" w:sz="4" w:space="0" w:color="auto"/>
              <w:right w:val="single" w:sz="4" w:space="0" w:color="auto"/>
            </w:tcBorders>
            <w:vAlign w:val="center"/>
            <w:hideMark/>
          </w:tcPr>
          <w:p w:rsidR="00802DC0" w:rsidRPr="00A83F1E" w:rsidRDefault="00802DC0"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5</w:t>
            </w:r>
          </w:p>
        </w:tc>
        <w:tc>
          <w:tcPr>
            <w:tcW w:w="1616"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抵销不同政府财政之间发生的援助收支</w:t>
            </w:r>
          </w:p>
        </w:tc>
        <w:tc>
          <w:tcPr>
            <w:tcW w:w="1720" w:type="pct"/>
            <w:tcBorders>
              <w:top w:val="nil"/>
              <w:left w:val="nil"/>
              <w:bottom w:val="single" w:sz="4" w:space="0" w:color="auto"/>
              <w:right w:val="single" w:sz="4" w:space="0" w:color="auto"/>
            </w:tcBorders>
            <w:vAlign w:val="center"/>
            <w:hideMark/>
          </w:tcPr>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借：政府间转移性收入</w:t>
            </w:r>
          </w:p>
          <w:p w:rsidR="00AB4264" w:rsidRDefault="00802DC0"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贷：政府间转移性支出</w:t>
            </w:r>
          </w:p>
        </w:tc>
        <w:tc>
          <w:tcPr>
            <w:tcW w:w="1237" w:type="pct"/>
            <w:tcBorders>
              <w:top w:val="nil"/>
              <w:left w:val="nil"/>
              <w:bottom w:val="single" w:sz="4" w:space="0" w:color="auto"/>
              <w:right w:val="single" w:sz="4" w:space="0" w:color="auto"/>
            </w:tcBorders>
            <w:vAlign w:val="center"/>
            <w:hideMark/>
          </w:tcPr>
          <w:p w:rsidR="00802DC0" w:rsidRDefault="00802DC0" w:rsidP="00802DC0">
            <w:pPr>
              <w:jc w:val="center"/>
            </w:pPr>
            <w:r w:rsidRPr="0017090F">
              <w:rPr>
                <w:rFonts w:asciiTheme="minorEastAsia" w:eastAsiaTheme="minorEastAsia" w:hAnsiTheme="minorEastAsia" w:cs="宋体" w:hint="eastAsia"/>
                <w:color w:val="auto"/>
                <w:kern w:val="0"/>
                <w:sz w:val="22"/>
                <w:szCs w:val="22"/>
              </w:rPr>
              <w:t>不同</w:t>
            </w:r>
            <w:r w:rsidRPr="0017090F">
              <w:rPr>
                <w:rFonts w:asciiTheme="minorEastAsia" w:eastAsiaTheme="minorEastAsia" w:hAnsiTheme="minorEastAsia" w:cs="宋体"/>
                <w:color w:val="auto"/>
                <w:kern w:val="0"/>
                <w:sz w:val="22"/>
                <w:szCs w:val="22"/>
              </w:rPr>
              <w:t>政府</w:t>
            </w:r>
            <w:r w:rsidRPr="0017090F">
              <w:rPr>
                <w:rFonts w:asciiTheme="minorEastAsia" w:eastAsiaTheme="minorEastAsia" w:hAnsiTheme="minorEastAsia" w:cs="宋体" w:hint="eastAsia"/>
                <w:color w:val="auto"/>
                <w:kern w:val="0"/>
                <w:sz w:val="22"/>
                <w:szCs w:val="22"/>
              </w:rPr>
              <w:t>财政之间抵销事项</w:t>
            </w:r>
          </w:p>
        </w:tc>
      </w:tr>
      <w:tr w:rsidR="00A72706" w:rsidRPr="00A83F1E" w:rsidTr="003444AD">
        <w:trPr>
          <w:trHeight w:val="1361"/>
          <w:jc w:val="center"/>
        </w:trPr>
        <w:tc>
          <w:tcPr>
            <w:tcW w:w="427" w:type="pct"/>
            <w:tcBorders>
              <w:top w:val="nil"/>
              <w:left w:val="single" w:sz="4" w:space="0" w:color="auto"/>
              <w:bottom w:val="single" w:sz="4" w:space="0" w:color="auto"/>
              <w:right w:val="single" w:sz="4" w:space="0" w:color="auto"/>
            </w:tcBorders>
            <w:vAlign w:val="center"/>
            <w:hideMark/>
          </w:tcPr>
          <w:p w:rsidR="00A72706" w:rsidRPr="00A83F1E" w:rsidRDefault="00A7270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6</w:t>
            </w:r>
          </w:p>
        </w:tc>
        <w:tc>
          <w:tcPr>
            <w:tcW w:w="1616" w:type="pct"/>
            <w:tcBorders>
              <w:top w:val="nil"/>
              <w:left w:val="nil"/>
              <w:bottom w:val="single" w:sz="4" w:space="0" w:color="auto"/>
              <w:right w:val="single" w:sz="4" w:space="0" w:color="auto"/>
            </w:tcBorders>
            <w:vAlign w:val="center"/>
            <w:hideMark/>
          </w:tcPr>
          <w:p w:rsidR="00AB4264" w:rsidRDefault="00DD1C1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w:t>
            </w:r>
            <w:r w:rsidR="001F7B56" w:rsidRPr="00A83F1E">
              <w:rPr>
                <w:rFonts w:asciiTheme="minorEastAsia" w:eastAsiaTheme="minorEastAsia" w:hAnsiTheme="minorEastAsia" w:cs="宋体" w:hint="eastAsia"/>
                <w:color w:val="auto"/>
                <w:kern w:val="0"/>
                <w:sz w:val="22"/>
                <w:szCs w:val="22"/>
              </w:rPr>
              <w:t>政府部门与</w:t>
            </w:r>
            <w:r w:rsidR="00A72706" w:rsidRPr="00A83F1E">
              <w:rPr>
                <w:rFonts w:asciiTheme="minorEastAsia" w:eastAsiaTheme="minorEastAsia" w:hAnsiTheme="minorEastAsia" w:cs="宋体" w:hint="eastAsia"/>
                <w:color w:val="auto"/>
                <w:kern w:val="0"/>
                <w:sz w:val="22"/>
                <w:szCs w:val="22"/>
              </w:rPr>
              <w:t>非同级财政之间发生</w:t>
            </w:r>
            <w:r w:rsidR="001F7B56" w:rsidRPr="00A83F1E">
              <w:rPr>
                <w:rFonts w:asciiTheme="minorEastAsia" w:eastAsiaTheme="minorEastAsia" w:hAnsiTheme="minorEastAsia" w:cs="宋体" w:hint="eastAsia"/>
                <w:color w:val="auto"/>
                <w:kern w:val="0"/>
                <w:sz w:val="22"/>
                <w:szCs w:val="22"/>
              </w:rPr>
              <w:t>的</w:t>
            </w:r>
            <w:r w:rsidR="00762D4E">
              <w:rPr>
                <w:rFonts w:asciiTheme="minorEastAsia" w:eastAsiaTheme="minorEastAsia" w:hAnsiTheme="minorEastAsia" w:cs="宋体" w:hint="eastAsia"/>
                <w:color w:val="auto"/>
                <w:kern w:val="0"/>
                <w:sz w:val="22"/>
                <w:szCs w:val="22"/>
              </w:rPr>
              <w:t>收入费用事项</w:t>
            </w:r>
          </w:p>
        </w:tc>
        <w:tc>
          <w:tcPr>
            <w:tcW w:w="1720" w:type="pct"/>
            <w:tcBorders>
              <w:top w:val="nil"/>
              <w:left w:val="nil"/>
              <w:bottom w:val="single" w:sz="4" w:space="0" w:color="auto"/>
              <w:right w:val="single" w:sz="4" w:space="0" w:color="auto"/>
            </w:tcBorders>
            <w:vAlign w:val="center"/>
            <w:hideMark/>
          </w:tcPr>
          <w:p w:rsidR="00AB4264" w:rsidRDefault="00A7270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借：政府间转移性收入</w:t>
            </w:r>
          </w:p>
          <w:p w:rsidR="009173A7" w:rsidRDefault="00A72706" w:rsidP="009855DA">
            <w:pPr>
              <w:widowControl/>
              <w:adjustRightInd w:val="0"/>
              <w:snapToGrid w:val="0"/>
              <w:spacing w:beforeLines="30"/>
              <w:ind w:left="660" w:hangingChars="300" w:hanging="66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贷：商品与服务费用</w:t>
            </w:r>
            <w:r w:rsidR="001F7B56" w:rsidRPr="00A83F1E">
              <w:rPr>
                <w:rFonts w:asciiTheme="minorEastAsia" w:eastAsiaTheme="minorEastAsia" w:hAnsiTheme="minorEastAsia" w:cs="宋体" w:hint="eastAsia"/>
                <w:color w:val="auto"/>
                <w:kern w:val="0"/>
                <w:sz w:val="22"/>
                <w:szCs w:val="22"/>
              </w:rPr>
              <w:t>/</w:t>
            </w:r>
            <w:r w:rsidRPr="00A83F1E">
              <w:rPr>
                <w:rFonts w:asciiTheme="minorEastAsia" w:eastAsiaTheme="minorEastAsia" w:hAnsiTheme="minorEastAsia" w:cs="宋体" w:hint="eastAsia"/>
                <w:color w:val="auto"/>
                <w:kern w:val="0"/>
                <w:sz w:val="22"/>
                <w:szCs w:val="22"/>
              </w:rPr>
              <w:t>其他费用</w:t>
            </w:r>
          </w:p>
        </w:tc>
        <w:tc>
          <w:tcPr>
            <w:tcW w:w="1237" w:type="pct"/>
            <w:tcBorders>
              <w:top w:val="nil"/>
              <w:left w:val="nil"/>
              <w:bottom w:val="single" w:sz="4" w:space="0" w:color="auto"/>
              <w:right w:val="single" w:sz="4" w:space="0" w:color="auto"/>
            </w:tcBorders>
            <w:vAlign w:val="center"/>
            <w:hideMark/>
          </w:tcPr>
          <w:p w:rsidR="00AB4264" w:rsidRDefault="001F7B5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政府</w:t>
            </w:r>
            <w:r w:rsidR="00A72706" w:rsidRPr="00A83F1E">
              <w:rPr>
                <w:rFonts w:asciiTheme="minorEastAsia" w:eastAsiaTheme="minorEastAsia" w:hAnsiTheme="minorEastAsia" w:cs="宋体" w:hint="eastAsia"/>
                <w:color w:val="auto"/>
                <w:kern w:val="0"/>
                <w:sz w:val="22"/>
                <w:szCs w:val="22"/>
              </w:rPr>
              <w:t>部门</w:t>
            </w:r>
            <w:r w:rsidRPr="00A83F1E">
              <w:rPr>
                <w:rFonts w:asciiTheme="minorEastAsia" w:eastAsiaTheme="minorEastAsia" w:hAnsiTheme="minorEastAsia" w:cs="宋体" w:hint="eastAsia"/>
                <w:color w:val="auto"/>
                <w:kern w:val="0"/>
                <w:sz w:val="22"/>
                <w:szCs w:val="22"/>
              </w:rPr>
              <w:t>与非同级政府财政之</w:t>
            </w:r>
            <w:r w:rsidR="00A72706" w:rsidRPr="00A83F1E">
              <w:rPr>
                <w:rFonts w:asciiTheme="minorEastAsia" w:eastAsiaTheme="minorEastAsia" w:hAnsiTheme="minorEastAsia" w:cs="宋体" w:hint="eastAsia"/>
                <w:color w:val="auto"/>
                <w:kern w:val="0"/>
                <w:sz w:val="22"/>
                <w:szCs w:val="22"/>
              </w:rPr>
              <w:t>间抵销事项</w:t>
            </w:r>
          </w:p>
        </w:tc>
      </w:tr>
      <w:tr w:rsidR="00A72706" w:rsidRPr="00A83F1E" w:rsidTr="001133BB">
        <w:trPr>
          <w:trHeight w:val="1134"/>
          <w:jc w:val="center"/>
        </w:trPr>
        <w:tc>
          <w:tcPr>
            <w:tcW w:w="427" w:type="pct"/>
            <w:tcBorders>
              <w:top w:val="nil"/>
              <w:left w:val="single" w:sz="4" w:space="0" w:color="auto"/>
              <w:bottom w:val="single" w:sz="4" w:space="0" w:color="auto"/>
              <w:right w:val="single" w:sz="4" w:space="0" w:color="auto"/>
            </w:tcBorders>
            <w:vAlign w:val="center"/>
            <w:hideMark/>
          </w:tcPr>
          <w:p w:rsidR="00A72706" w:rsidRPr="00A83F1E" w:rsidRDefault="00A7270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7</w:t>
            </w:r>
          </w:p>
        </w:tc>
        <w:tc>
          <w:tcPr>
            <w:tcW w:w="1616" w:type="pct"/>
            <w:tcBorders>
              <w:top w:val="nil"/>
              <w:left w:val="nil"/>
              <w:bottom w:val="single" w:sz="4" w:space="0" w:color="auto"/>
              <w:right w:val="single" w:sz="4" w:space="0" w:color="auto"/>
            </w:tcBorders>
            <w:vAlign w:val="center"/>
            <w:hideMark/>
          </w:tcPr>
          <w:p w:rsidR="00AB4264" w:rsidRDefault="00DD1C1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w:t>
            </w:r>
            <w:r w:rsidR="00A72706" w:rsidRPr="00A83F1E">
              <w:rPr>
                <w:rFonts w:asciiTheme="minorEastAsia" w:eastAsiaTheme="minorEastAsia" w:hAnsiTheme="minorEastAsia" w:cs="宋体" w:hint="eastAsia"/>
                <w:color w:val="auto"/>
                <w:kern w:val="0"/>
                <w:sz w:val="22"/>
                <w:szCs w:val="22"/>
              </w:rPr>
              <w:t>非同级政府部门之间的债权债务事项</w:t>
            </w:r>
          </w:p>
        </w:tc>
        <w:tc>
          <w:tcPr>
            <w:tcW w:w="1720" w:type="pct"/>
            <w:tcBorders>
              <w:top w:val="nil"/>
              <w:left w:val="nil"/>
              <w:bottom w:val="single" w:sz="4" w:space="0" w:color="auto"/>
              <w:right w:val="single" w:sz="4" w:space="0" w:color="auto"/>
            </w:tcBorders>
            <w:vAlign w:val="center"/>
            <w:hideMark/>
          </w:tcPr>
          <w:p w:rsidR="00AB4264" w:rsidRDefault="00A7270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借：应付及预收款项</w:t>
            </w:r>
          </w:p>
          <w:p w:rsidR="00AB4264" w:rsidRDefault="00A72706" w:rsidP="009855DA">
            <w:pPr>
              <w:widowControl/>
              <w:adjustRightInd w:val="0"/>
              <w:snapToGrid w:val="0"/>
              <w:spacing w:beforeLines="30"/>
              <w:ind w:firstLine="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 xml:space="preserve">  贷：应收及预付款项</w:t>
            </w:r>
          </w:p>
        </w:tc>
        <w:tc>
          <w:tcPr>
            <w:tcW w:w="1237" w:type="pct"/>
            <w:tcBorders>
              <w:top w:val="nil"/>
              <w:left w:val="nil"/>
              <w:bottom w:val="single" w:sz="4" w:space="0" w:color="auto"/>
              <w:right w:val="single" w:sz="4" w:space="0" w:color="auto"/>
            </w:tcBorders>
            <w:vAlign w:val="center"/>
            <w:hideMark/>
          </w:tcPr>
          <w:p w:rsidR="00AB4264" w:rsidRDefault="001F7B5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非同级政府</w:t>
            </w:r>
            <w:r w:rsidR="00A72706" w:rsidRPr="00A83F1E">
              <w:rPr>
                <w:rFonts w:asciiTheme="minorEastAsia" w:eastAsiaTheme="minorEastAsia" w:hAnsiTheme="minorEastAsia" w:cs="宋体" w:hint="eastAsia"/>
                <w:color w:val="auto"/>
                <w:kern w:val="0"/>
                <w:sz w:val="22"/>
                <w:szCs w:val="22"/>
              </w:rPr>
              <w:t>部门之间抵销事项</w:t>
            </w:r>
          </w:p>
        </w:tc>
      </w:tr>
      <w:tr w:rsidR="00A72706" w:rsidRPr="00A83F1E" w:rsidTr="001133BB">
        <w:trPr>
          <w:trHeight w:val="1701"/>
          <w:jc w:val="center"/>
        </w:trPr>
        <w:tc>
          <w:tcPr>
            <w:tcW w:w="427" w:type="pct"/>
            <w:tcBorders>
              <w:top w:val="single" w:sz="4" w:space="0" w:color="auto"/>
              <w:left w:val="single" w:sz="4" w:space="0" w:color="auto"/>
              <w:bottom w:val="single" w:sz="4" w:space="0" w:color="auto"/>
              <w:right w:val="single" w:sz="4" w:space="0" w:color="auto"/>
            </w:tcBorders>
            <w:vAlign w:val="center"/>
            <w:hideMark/>
          </w:tcPr>
          <w:p w:rsidR="00A72706" w:rsidRPr="00A83F1E" w:rsidRDefault="00A7270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8</w:t>
            </w:r>
          </w:p>
        </w:tc>
        <w:tc>
          <w:tcPr>
            <w:tcW w:w="1616" w:type="pct"/>
            <w:tcBorders>
              <w:top w:val="single" w:sz="4" w:space="0" w:color="auto"/>
              <w:left w:val="nil"/>
              <w:bottom w:val="single" w:sz="4" w:space="0" w:color="auto"/>
              <w:right w:val="single" w:sz="4" w:space="0" w:color="auto"/>
            </w:tcBorders>
            <w:vAlign w:val="center"/>
            <w:hideMark/>
          </w:tcPr>
          <w:p w:rsidR="00315C25" w:rsidRDefault="00DD1C16" w:rsidP="009855DA">
            <w:pPr>
              <w:widowControl/>
              <w:adjustRightInd w:val="0"/>
              <w:snapToGrid w:val="0"/>
              <w:spacing w:beforeLines="3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抵销</w:t>
            </w:r>
            <w:r w:rsidR="00A72706" w:rsidRPr="00A83F1E">
              <w:rPr>
                <w:rFonts w:asciiTheme="minorEastAsia" w:eastAsiaTheme="minorEastAsia" w:hAnsiTheme="minorEastAsia" w:cs="宋体" w:hint="eastAsia"/>
                <w:color w:val="auto"/>
                <w:kern w:val="0"/>
                <w:sz w:val="22"/>
                <w:szCs w:val="22"/>
              </w:rPr>
              <w:t>非同级政府</w:t>
            </w:r>
            <w:bookmarkStart w:id="11" w:name="_GoBack"/>
            <w:bookmarkEnd w:id="11"/>
            <w:r w:rsidR="00A72706" w:rsidRPr="00A83F1E">
              <w:rPr>
                <w:rFonts w:asciiTheme="minorEastAsia" w:eastAsiaTheme="minorEastAsia" w:hAnsiTheme="minorEastAsia" w:cs="宋体" w:hint="eastAsia"/>
                <w:color w:val="auto"/>
                <w:kern w:val="0"/>
                <w:sz w:val="22"/>
                <w:szCs w:val="22"/>
              </w:rPr>
              <w:t>部门之间的收入费用事项</w:t>
            </w:r>
          </w:p>
        </w:tc>
        <w:tc>
          <w:tcPr>
            <w:tcW w:w="1720" w:type="pct"/>
            <w:tcBorders>
              <w:top w:val="single" w:sz="4" w:space="0" w:color="auto"/>
              <w:left w:val="nil"/>
              <w:bottom w:val="single" w:sz="4" w:space="0" w:color="auto"/>
              <w:right w:val="single" w:sz="4" w:space="0" w:color="auto"/>
            </w:tcBorders>
            <w:vAlign w:val="center"/>
            <w:hideMark/>
          </w:tcPr>
          <w:p w:rsidR="00AB4264" w:rsidRDefault="00A72706" w:rsidP="009855DA">
            <w:pPr>
              <w:widowControl/>
              <w:adjustRightInd w:val="0"/>
              <w:snapToGrid w:val="0"/>
              <w:spacing w:beforeLines="30"/>
              <w:ind w:left="440" w:hangingChars="200" w:hanging="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借：事业收入</w:t>
            </w:r>
            <w:r w:rsidR="001F7B56" w:rsidRPr="00A83F1E">
              <w:rPr>
                <w:rFonts w:asciiTheme="minorEastAsia" w:eastAsiaTheme="minorEastAsia" w:hAnsiTheme="minorEastAsia" w:cs="宋体" w:hint="eastAsia"/>
                <w:color w:val="auto"/>
                <w:kern w:val="0"/>
                <w:sz w:val="22"/>
                <w:szCs w:val="22"/>
              </w:rPr>
              <w:t>/</w:t>
            </w:r>
            <w:r w:rsidRPr="00A83F1E">
              <w:rPr>
                <w:rFonts w:asciiTheme="minorEastAsia" w:eastAsiaTheme="minorEastAsia" w:hAnsiTheme="minorEastAsia" w:cs="宋体" w:hint="eastAsia"/>
                <w:color w:val="auto"/>
                <w:kern w:val="0"/>
                <w:sz w:val="22"/>
                <w:szCs w:val="22"/>
              </w:rPr>
              <w:t>经营收入</w:t>
            </w:r>
            <w:r w:rsidR="00DD1C16" w:rsidRPr="00A83F1E">
              <w:rPr>
                <w:rFonts w:asciiTheme="minorEastAsia" w:eastAsiaTheme="minorEastAsia" w:hAnsiTheme="minorEastAsia" w:cs="宋体" w:hint="eastAsia"/>
                <w:color w:val="auto"/>
                <w:kern w:val="0"/>
                <w:sz w:val="22"/>
                <w:szCs w:val="22"/>
              </w:rPr>
              <w:t>/其他收入</w:t>
            </w:r>
          </w:p>
          <w:p w:rsidR="00AB4264" w:rsidRDefault="00A72706" w:rsidP="009855DA">
            <w:pPr>
              <w:widowControl/>
              <w:adjustRightInd w:val="0"/>
              <w:snapToGrid w:val="0"/>
              <w:spacing w:beforeLines="30"/>
              <w:ind w:leftChars="74" w:left="662" w:hangingChars="200" w:hanging="440"/>
              <w:jc w:val="left"/>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贷：商品与服务费用</w:t>
            </w:r>
            <w:r w:rsidR="00DD1C16" w:rsidRPr="00A83F1E">
              <w:rPr>
                <w:rFonts w:asciiTheme="minorEastAsia" w:eastAsiaTheme="minorEastAsia" w:hAnsiTheme="minorEastAsia" w:cs="宋体" w:hint="eastAsia"/>
                <w:color w:val="auto"/>
                <w:kern w:val="0"/>
                <w:sz w:val="22"/>
                <w:szCs w:val="22"/>
              </w:rPr>
              <w:t>/</w:t>
            </w:r>
            <w:r w:rsidRPr="00A83F1E">
              <w:rPr>
                <w:rFonts w:asciiTheme="minorEastAsia" w:eastAsiaTheme="minorEastAsia" w:hAnsiTheme="minorEastAsia" w:cs="宋体" w:hint="eastAsia"/>
                <w:color w:val="auto"/>
                <w:kern w:val="0"/>
                <w:sz w:val="22"/>
                <w:szCs w:val="22"/>
              </w:rPr>
              <w:t>经营费用</w:t>
            </w:r>
          </w:p>
        </w:tc>
        <w:tc>
          <w:tcPr>
            <w:tcW w:w="1237" w:type="pct"/>
            <w:tcBorders>
              <w:top w:val="single" w:sz="4" w:space="0" w:color="auto"/>
              <w:left w:val="nil"/>
              <w:bottom w:val="single" w:sz="4" w:space="0" w:color="auto"/>
              <w:right w:val="single" w:sz="4" w:space="0" w:color="auto"/>
            </w:tcBorders>
            <w:vAlign w:val="center"/>
            <w:hideMark/>
          </w:tcPr>
          <w:p w:rsidR="00AB4264" w:rsidRDefault="001F7B56" w:rsidP="009855DA">
            <w:pPr>
              <w:widowControl/>
              <w:adjustRightInd w:val="0"/>
              <w:snapToGrid w:val="0"/>
              <w:spacing w:beforeLines="30"/>
              <w:jc w:val="center"/>
              <w:rPr>
                <w:rFonts w:asciiTheme="minorEastAsia" w:eastAsiaTheme="minorEastAsia" w:hAnsiTheme="minorEastAsia" w:cs="宋体"/>
                <w:color w:val="auto"/>
                <w:kern w:val="0"/>
                <w:sz w:val="22"/>
                <w:szCs w:val="22"/>
              </w:rPr>
            </w:pPr>
            <w:r w:rsidRPr="00A83F1E">
              <w:rPr>
                <w:rFonts w:asciiTheme="minorEastAsia" w:eastAsiaTheme="minorEastAsia" w:hAnsiTheme="minorEastAsia" w:cs="宋体" w:hint="eastAsia"/>
                <w:color w:val="auto"/>
                <w:kern w:val="0"/>
                <w:sz w:val="22"/>
                <w:szCs w:val="22"/>
              </w:rPr>
              <w:t>非同级政府</w:t>
            </w:r>
            <w:r w:rsidR="00A72706" w:rsidRPr="00A83F1E">
              <w:rPr>
                <w:rFonts w:asciiTheme="minorEastAsia" w:eastAsiaTheme="minorEastAsia" w:hAnsiTheme="minorEastAsia" w:cs="宋体" w:hint="eastAsia"/>
                <w:color w:val="auto"/>
                <w:kern w:val="0"/>
                <w:sz w:val="22"/>
                <w:szCs w:val="22"/>
              </w:rPr>
              <w:t>部门之间抵销事项</w:t>
            </w:r>
          </w:p>
        </w:tc>
      </w:tr>
      <w:tr w:rsidR="001133BB" w:rsidRPr="00A83F1E" w:rsidTr="001133BB">
        <w:trPr>
          <w:trHeight w:val="454"/>
          <w:jc w:val="center"/>
        </w:trPr>
        <w:tc>
          <w:tcPr>
            <w:tcW w:w="1" w:type="pct"/>
            <w:gridSpan w:val="4"/>
            <w:tcBorders>
              <w:top w:val="single" w:sz="4" w:space="0" w:color="auto"/>
            </w:tcBorders>
            <w:vAlign w:val="center"/>
            <w:hideMark/>
          </w:tcPr>
          <w:p w:rsidR="001133BB" w:rsidRPr="00A83F1E" w:rsidRDefault="001133BB" w:rsidP="001133BB">
            <w:pPr>
              <w:rPr>
                <w:rFonts w:asciiTheme="minorEastAsia" w:eastAsiaTheme="minorEastAsia" w:hAnsiTheme="minorEastAsia" w:cs="宋体"/>
                <w:color w:val="auto"/>
                <w:kern w:val="0"/>
                <w:sz w:val="22"/>
                <w:szCs w:val="22"/>
              </w:rPr>
            </w:pPr>
            <w:r>
              <w:rPr>
                <w:rFonts w:ascii="宋体" w:eastAsia="宋体" w:hint="eastAsia"/>
                <w:kern w:val="0"/>
                <w:sz w:val="22"/>
                <w:szCs w:val="22"/>
              </w:rPr>
              <w:t>注：上述清单中未涵盖的抵销事项，可根据实际情况自行增设抵销分录进行抵销。</w:t>
            </w:r>
          </w:p>
        </w:tc>
      </w:tr>
    </w:tbl>
    <w:p w:rsidR="00A72706" w:rsidRPr="00A83F1E" w:rsidRDefault="00A72706" w:rsidP="009A05C3">
      <w:pPr>
        <w:widowControl/>
        <w:jc w:val="left"/>
        <w:rPr>
          <w:sz w:val="22"/>
          <w:szCs w:val="22"/>
        </w:rPr>
      </w:pPr>
    </w:p>
    <w:sectPr w:rsidR="00A72706" w:rsidRPr="00A83F1E" w:rsidSect="00A72706">
      <w:pgSz w:w="11906" w:h="16838"/>
      <w:pgMar w:top="1440" w:right="1797" w:bottom="1440" w:left="1797" w:header="851" w:footer="992" w:gutter="0"/>
      <w:cols w:space="425"/>
      <w:docGrid w:type="lines"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4A7" w:rsidRDefault="006564A7" w:rsidP="003420FC">
      <w:r>
        <w:separator/>
      </w:r>
    </w:p>
  </w:endnote>
  <w:endnote w:type="continuationSeparator" w:id="1">
    <w:p w:rsidR="006564A7" w:rsidRDefault="006564A7" w:rsidP="003420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altName w:val="Arial Unicode MS"/>
    <w:charset w:val="86"/>
    <w:family w:val="modern"/>
    <w:pitch w:val="fixed"/>
    <w:sig w:usb0="00000000"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498"/>
      <w:docPartObj>
        <w:docPartGallery w:val="Page Numbers (Bottom of Page)"/>
        <w:docPartUnique/>
      </w:docPartObj>
    </w:sdtPr>
    <w:sdtEndPr>
      <w:rPr>
        <w:rFonts w:ascii="仿宋_GB2312" w:eastAsia="仿宋_GB2312" w:hint="eastAsia"/>
        <w:sz w:val="22"/>
        <w:szCs w:val="22"/>
      </w:rPr>
    </w:sdtEndPr>
    <w:sdtContent>
      <w:p w:rsidR="00687390" w:rsidRPr="00B617CE" w:rsidRDefault="00ED16A8" w:rsidP="006030A1">
        <w:pPr>
          <w:pStyle w:val="a9"/>
          <w:jc w:val="center"/>
          <w:rPr>
            <w:rFonts w:ascii="仿宋_GB2312" w:eastAsia="仿宋_GB2312"/>
            <w:sz w:val="22"/>
            <w:szCs w:val="22"/>
          </w:rPr>
        </w:pPr>
        <w:r w:rsidRPr="00B617CE">
          <w:rPr>
            <w:rFonts w:ascii="仿宋_GB2312" w:eastAsia="仿宋_GB2312" w:hint="eastAsia"/>
            <w:sz w:val="22"/>
            <w:szCs w:val="22"/>
          </w:rPr>
          <w:fldChar w:fldCharType="begin"/>
        </w:r>
        <w:r w:rsidR="000E47ED" w:rsidRPr="00B617CE">
          <w:rPr>
            <w:rFonts w:ascii="仿宋_GB2312" w:eastAsia="仿宋_GB2312" w:hint="eastAsia"/>
            <w:sz w:val="22"/>
            <w:szCs w:val="22"/>
          </w:rPr>
          <w:instrText xml:space="preserve"> PAGE   \* MERGEFORMAT </w:instrText>
        </w:r>
        <w:r w:rsidRPr="00B617CE">
          <w:rPr>
            <w:rFonts w:ascii="仿宋_GB2312" w:eastAsia="仿宋_GB2312" w:hint="eastAsia"/>
            <w:sz w:val="22"/>
            <w:szCs w:val="22"/>
          </w:rPr>
          <w:fldChar w:fldCharType="separate"/>
        </w:r>
        <w:r w:rsidR="009855DA" w:rsidRPr="009855DA">
          <w:rPr>
            <w:rFonts w:ascii="仿宋_GB2312" w:eastAsia="仿宋_GB2312"/>
            <w:noProof/>
            <w:sz w:val="22"/>
            <w:szCs w:val="22"/>
            <w:lang w:val="zh-CN"/>
          </w:rPr>
          <w:t>1</w:t>
        </w:r>
        <w:r w:rsidRPr="00B617CE">
          <w:rPr>
            <w:rFonts w:ascii="仿宋_GB2312" w:eastAsia="仿宋_GB2312" w:hint="eastAsia"/>
            <w:sz w:val="22"/>
            <w:szCs w:val="22"/>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4A7" w:rsidRDefault="006564A7" w:rsidP="003420FC">
      <w:r>
        <w:separator/>
      </w:r>
    </w:p>
  </w:footnote>
  <w:footnote w:type="continuationSeparator" w:id="1">
    <w:p w:rsidR="006564A7" w:rsidRDefault="006564A7" w:rsidP="003420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06" w:rsidRDefault="00A72706" w:rsidP="00A72706">
    <w:pPr>
      <w:pStyle w:val="aa"/>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06" w:rsidRDefault="00A72706" w:rsidP="00A72706">
    <w:pPr>
      <w:pStyle w:val="aa"/>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50"/>
  <w:drawingGridVerticalSpacing w:val="204"/>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36FD"/>
    <w:rsid w:val="0001281A"/>
    <w:rsid w:val="00023F54"/>
    <w:rsid w:val="00033B9C"/>
    <w:rsid w:val="0004076A"/>
    <w:rsid w:val="00062BF4"/>
    <w:rsid w:val="000641E6"/>
    <w:rsid w:val="0007070E"/>
    <w:rsid w:val="000809B4"/>
    <w:rsid w:val="00083ED7"/>
    <w:rsid w:val="000A35A7"/>
    <w:rsid w:val="000C74A8"/>
    <w:rsid w:val="000D5164"/>
    <w:rsid w:val="000E47ED"/>
    <w:rsid w:val="00103A8E"/>
    <w:rsid w:val="00106CEE"/>
    <w:rsid w:val="001133BB"/>
    <w:rsid w:val="001248A6"/>
    <w:rsid w:val="00143AB9"/>
    <w:rsid w:val="00143DF2"/>
    <w:rsid w:val="0014550A"/>
    <w:rsid w:val="00167D58"/>
    <w:rsid w:val="00181CF5"/>
    <w:rsid w:val="001A126B"/>
    <w:rsid w:val="001A24BA"/>
    <w:rsid w:val="001A3ACB"/>
    <w:rsid w:val="001A403A"/>
    <w:rsid w:val="001B01BF"/>
    <w:rsid w:val="001B2755"/>
    <w:rsid w:val="001B776D"/>
    <w:rsid w:val="001C1D16"/>
    <w:rsid w:val="001C7C39"/>
    <w:rsid w:val="001E28EC"/>
    <w:rsid w:val="001F7B56"/>
    <w:rsid w:val="001F7C59"/>
    <w:rsid w:val="00200C83"/>
    <w:rsid w:val="00200CC8"/>
    <w:rsid w:val="00222AFD"/>
    <w:rsid w:val="002430AA"/>
    <w:rsid w:val="00253C26"/>
    <w:rsid w:val="002725A4"/>
    <w:rsid w:val="00274136"/>
    <w:rsid w:val="002912D4"/>
    <w:rsid w:val="00291DA2"/>
    <w:rsid w:val="002A711D"/>
    <w:rsid w:val="002B3E8F"/>
    <w:rsid w:val="002C425D"/>
    <w:rsid w:val="002F007B"/>
    <w:rsid w:val="002F4A5D"/>
    <w:rsid w:val="00315C25"/>
    <w:rsid w:val="00332CBE"/>
    <w:rsid w:val="003420FC"/>
    <w:rsid w:val="00342197"/>
    <w:rsid w:val="003444AD"/>
    <w:rsid w:val="00360971"/>
    <w:rsid w:val="0037765B"/>
    <w:rsid w:val="00387DBE"/>
    <w:rsid w:val="0039518B"/>
    <w:rsid w:val="00397BDF"/>
    <w:rsid w:val="003A4BB5"/>
    <w:rsid w:val="003A5E9A"/>
    <w:rsid w:val="003A786D"/>
    <w:rsid w:val="003B5110"/>
    <w:rsid w:val="003C3255"/>
    <w:rsid w:val="003C71D6"/>
    <w:rsid w:val="003D0E3E"/>
    <w:rsid w:val="003D3E02"/>
    <w:rsid w:val="003E0BCD"/>
    <w:rsid w:val="003E7708"/>
    <w:rsid w:val="00400F2C"/>
    <w:rsid w:val="00404584"/>
    <w:rsid w:val="00425C6F"/>
    <w:rsid w:val="0044395D"/>
    <w:rsid w:val="00456337"/>
    <w:rsid w:val="004962F5"/>
    <w:rsid w:val="004A295C"/>
    <w:rsid w:val="004B1462"/>
    <w:rsid w:val="004C6606"/>
    <w:rsid w:val="004D2395"/>
    <w:rsid w:val="004D7152"/>
    <w:rsid w:val="00515287"/>
    <w:rsid w:val="00515D4D"/>
    <w:rsid w:val="0052712F"/>
    <w:rsid w:val="005319DA"/>
    <w:rsid w:val="00532199"/>
    <w:rsid w:val="00550A56"/>
    <w:rsid w:val="00554E71"/>
    <w:rsid w:val="00556A78"/>
    <w:rsid w:val="005672AA"/>
    <w:rsid w:val="0058551E"/>
    <w:rsid w:val="00585B21"/>
    <w:rsid w:val="005A2831"/>
    <w:rsid w:val="005B3C4C"/>
    <w:rsid w:val="005C2D8F"/>
    <w:rsid w:val="005F1AAA"/>
    <w:rsid w:val="005F4D74"/>
    <w:rsid w:val="006030A1"/>
    <w:rsid w:val="00607644"/>
    <w:rsid w:val="00623CE8"/>
    <w:rsid w:val="00631356"/>
    <w:rsid w:val="00631CE7"/>
    <w:rsid w:val="00645ABE"/>
    <w:rsid w:val="006564A7"/>
    <w:rsid w:val="006679D1"/>
    <w:rsid w:val="00683C00"/>
    <w:rsid w:val="00687390"/>
    <w:rsid w:val="006B3E18"/>
    <w:rsid w:val="006B672A"/>
    <w:rsid w:val="006C1E1B"/>
    <w:rsid w:val="006C697F"/>
    <w:rsid w:val="006E4306"/>
    <w:rsid w:val="006F0E77"/>
    <w:rsid w:val="00707C80"/>
    <w:rsid w:val="00714C84"/>
    <w:rsid w:val="00730350"/>
    <w:rsid w:val="007568B1"/>
    <w:rsid w:val="00757428"/>
    <w:rsid w:val="00761523"/>
    <w:rsid w:val="00762D4E"/>
    <w:rsid w:val="00763A64"/>
    <w:rsid w:val="00781F6A"/>
    <w:rsid w:val="00792AD0"/>
    <w:rsid w:val="007A3030"/>
    <w:rsid w:val="007B6CA9"/>
    <w:rsid w:val="007B708F"/>
    <w:rsid w:val="007D27D7"/>
    <w:rsid w:val="007E0370"/>
    <w:rsid w:val="007E0CE7"/>
    <w:rsid w:val="007F1524"/>
    <w:rsid w:val="00802DC0"/>
    <w:rsid w:val="00803C89"/>
    <w:rsid w:val="00806485"/>
    <w:rsid w:val="00816A42"/>
    <w:rsid w:val="008357F7"/>
    <w:rsid w:val="00842359"/>
    <w:rsid w:val="00843070"/>
    <w:rsid w:val="008726EB"/>
    <w:rsid w:val="00883940"/>
    <w:rsid w:val="00886C62"/>
    <w:rsid w:val="00887D6B"/>
    <w:rsid w:val="008936A4"/>
    <w:rsid w:val="008937D1"/>
    <w:rsid w:val="008A07D1"/>
    <w:rsid w:val="008D2B89"/>
    <w:rsid w:val="008D5262"/>
    <w:rsid w:val="008E131C"/>
    <w:rsid w:val="008E37E2"/>
    <w:rsid w:val="00916A4D"/>
    <w:rsid w:val="009173A7"/>
    <w:rsid w:val="00943D1E"/>
    <w:rsid w:val="009855DA"/>
    <w:rsid w:val="009A0230"/>
    <w:rsid w:val="009A05C3"/>
    <w:rsid w:val="009C31A0"/>
    <w:rsid w:val="009F2434"/>
    <w:rsid w:val="009F2C59"/>
    <w:rsid w:val="00A03547"/>
    <w:rsid w:val="00A13F57"/>
    <w:rsid w:val="00A15A57"/>
    <w:rsid w:val="00A26C8E"/>
    <w:rsid w:val="00A279C3"/>
    <w:rsid w:val="00A52379"/>
    <w:rsid w:val="00A57ACE"/>
    <w:rsid w:val="00A66288"/>
    <w:rsid w:val="00A67BE8"/>
    <w:rsid w:val="00A72706"/>
    <w:rsid w:val="00A83F1E"/>
    <w:rsid w:val="00AA0792"/>
    <w:rsid w:val="00AB4264"/>
    <w:rsid w:val="00AC5092"/>
    <w:rsid w:val="00AD20D8"/>
    <w:rsid w:val="00AD5F98"/>
    <w:rsid w:val="00AF74A8"/>
    <w:rsid w:val="00B00ECA"/>
    <w:rsid w:val="00B017A2"/>
    <w:rsid w:val="00B12A0C"/>
    <w:rsid w:val="00B40EA2"/>
    <w:rsid w:val="00B43E9E"/>
    <w:rsid w:val="00B54D92"/>
    <w:rsid w:val="00B617CE"/>
    <w:rsid w:val="00B747C6"/>
    <w:rsid w:val="00B74BF2"/>
    <w:rsid w:val="00B82626"/>
    <w:rsid w:val="00BA4808"/>
    <w:rsid w:val="00BB0D72"/>
    <w:rsid w:val="00BC0B2A"/>
    <w:rsid w:val="00BC4E3E"/>
    <w:rsid w:val="00BC695C"/>
    <w:rsid w:val="00BC7D0D"/>
    <w:rsid w:val="00BD2647"/>
    <w:rsid w:val="00BE0670"/>
    <w:rsid w:val="00BE1956"/>
    <w:rsid w:val="00BE2C66"/>
    <w:rsid w:val="00BE7E32"/>
    <w:rsid w:val="00C04E40"/>
    <w:rsid w:val="00C20B96"/>
    <w:rsid w:val="00C24A00"/>
    <w:rsid w:val="00C26DF9"/>
    <w:rsid w:val="00C3093C"/>
    <w:rsid w:val="00C31716"/>
    <w:rsid w:val="00C349BC"/>
    <w:rsid w:val="00C52E7D"/>
    <w:rsid w:val="00C65559"/>
    <w:rsid w:val="00C76E5B"/>
    <w:rsid w:val="00C91B14"/>
    <w:rsid w:val="00C925FB"/>
    <w:rsid w:val="00CA73B7"/>
    <w:rsid w:val="00CB4C15"/>
    <w:rsid w:val="00CC1597"/>
    <w:rsid w:val="00CD1B86"/>
    <w:rsid w:val="00CD2FEC"/>
    <w:rsid w:val="00CE36FD"/>
    <w:rsid w:val="00D025E1"/>
    <w:rsid w:val="00D0395E"/>
    <w:rsid w:val="00D21468"/>
    <w:rsid w:val="00D217B8"/>
    <w:rsid w:val="00D23F9A"/>
    <w:rsid w:val="00D308A9"/>
    <w:rsid w:val="00D40FEC"/>
    <w:rsid w:val="00D72AB3"/>
    <w:rsid w:val="00D84C82"/>
    <w:rsid w:val="00DC2BD2"/>
    <w:rsid w:val="00DD1C16"/>
    <w:rsid w:val="00DD2D6A"/>
    <w:rsid w:val="00DD4A20"/>
    <w:rsid w:val="00DF13AC"/>
    <w:rsid w:val="00E11888"/>
    <w:rsid w:val="00E53088"/>
    <w:rsid w:val="00E6443F"/>
    <w:rsid w:val="00E670EA"/>
    <w:rsid w:val="00E70BFC"/>
    <w:rsid w:val="00E82FE0"/>
    <w:rsid w:val="00E86111"/>
    <w:rsid w:val="00EB0BCE"/>
    <w:rsid w:val="00EB17BA"/>
    <w:rsid w:val="00EC7202"/>
    <w:rsid w:val="00ED16A8"/>
    <w:rsid w:val="00ED18B5"/>
    <w:rsid w:val="00ED7E07"/>
    <w:rsid w:val="00EE7ADF"/>
    <w:rsid w:val="00F00609"/>
    <w:rsid w:val="00F05B6A"/>
    <w:rsid w:val="00F134D5"/>
    <w:rsid w:val="00F626FC"/>
    <w:rsid w:val="00F64F41"/>
    <w:rsid w:val="00F66D2D"/>
    <w:rsid w:val="00F77BD4"/>
    <w:rsid w:val="00F837BF"/>
    <w:rsid w:val="00F83821"/>
    <w:rsid w:val="00F86600"/>
    <w:rsid w:val="00F905B1"/>
    <w:rsid w:val="00FA7A62"/>
    <w:rsid w:val="00FD3123"/>
    <w:rsid w:val="00FE1DC8"/>
    <w:rsid w:val="00FF6CE5"/>
    <w:rsid w:val="02890476"/>
    <w:rsid w:val="229C0769"/>
    <w:rsid w:val="5C6B3336"/>
    <w:rsid w:val="79536D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qFormat="1"/>
    <w:lsdException w:name="toc 4" w:qFormat="1"/>
    <w:lsdException w:name="toc 5" w:qFormat="1"/>
    <w:lsdException w:name="toc 6" w:qFormat="1"/>
    <w:lsdException w:name="toc 7" w:qFormat="1"/>
    <w:lsdException w:name="toc 8" w:qFormat="1"/>
    <w:lsdException w:name="toc 9" w:qFormat="1"/>
    <w:lsdException w:name="footnote text" w:semiHidden="0" w:unhideWhenUsed="0" w:qFormat="1"/>
    <w:lsdException w:name="annotation text" w:semiHidden="0" w:uiPriority="0" w:qFormat="1"/>
    <w:lsdException w:name="header" w:semiHidden="0" w:qFormat="1"/>
    <w:lsdException w:name="footer" w:semiHidden="0" w:qFormat="1"/>
    <w:lsdException w:name="caption" w:uiPriority="35" w:qFormat="1"/>
    <w:lsdException w:name="footnote reference" w:semiHidden="0" w:unhideWhenUsed="0" w:qFormat="1"/>
    <w:lsdException w:name="annotation reference" w:uiPriority="0" w:qFormat="1"/>
    <w:lsdException w:name="page number" w:semiHidden="0" w:uiPriority="0" w:unhideWhenUsed="0" w:qFormat="1"/>
    <w:lsdException w:name="endnote reference" w:qFormat="1"/>
    <w:lsdException w:name="endnote text" w:semiHidden="0" w:qFormat="1"/>
    <w:lsdException w:name="Title" w:semiHidden="0" w:unhideWhenUsed="0" w:qFormat="1"/>
    <w:lsdException w:name="Default Paragraph Font" w:uiPriority="1" w:qFormat="1"/>
    <w:lsdException w:name="Body Text Indent" w:semiHidden="0" w:uiPriority="0" w:unhideWhenUsed="0" w:qFormat="1"/>
    <w:lsdException w:name="Subtitle" w:semiHidden="0"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Document Map" w:semiHidden="0" w:qFormat="1"/>
    <w:lsdException w:name="Normal (Web)" w:uiPriority="0" w:qFormat="1"/>
    <w:lsdException w:name="Normal Table" w:qFormat="1"/>
    <w:lsdException w:name="annotation subject"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0FC"/>
    <w:pPr>
      <w:widowControl w:val="0"/>
      <w:jc w:val="both"/>
    </w:pPr>
    <w:rPr>
      <w:rFonts w:ascii="仿宋_GB2312" w:eastAsia="仿宋_GB2312" w:hAnsi="宋体" w:cs="Times New Roman"/>
      <w:color w:val="000000"/>
      <w:kern w:val="16"/>
      <w:sz w:val="30"/>
    </w:rPr>
  </w:style>
  <w:style w:type="paragraph" w:styleId="1">
    <w:name w:val="heading 1"/>
    <w:basedOn w:val="a"/>
    <w:next w:val="a"/>
    <w:link w:val="1Char"/>
    <w:uiPriority w:val="99"/>
    <w:qFormat/>
    <w:rsid w:val="003420FC"/>
    <w:pPr>
      <w:keepNext/>
      <w:keepLines/>
      <w:spacing w:before="340" w:after="330" w:line="576" w:lineRule="auto"/>
      <w:jc w:val="center"/>
      <w:outlineLvl w:val="0"/>
    </w:pPr>
    <w:rPr>
      <w:rFonts w:eastAsia="华文中宋"/>
      <w:b/>
      <w:kern w:val="44"/>
      <w:sz w:val="36"/>
    </w:rPr>
  </w:style>
  <w:style w:type="paragraph" w:styleId="2">
    <w:name w:val="heading 2"/>
    <w:basedOn w:val="a"/>
    <w:next w:val="a"/>
    <w:link w:val="2Char"/>
    <w:uiPriority w:val="99"/>
    <w:qFormat/>
    <w:rsid w:val="003420FC"/>
    <w:pPr>
      <w:keepNext/>
      <w:keepLines/>
      <w:spacing w:beforeLines="100" w:afterLines="100" w:line="360" w:lineRule="auto"/>
      <w:ind w:firstLineChars="200" w:firstLine="200"/>
      <w:jc w:val="center"/>
      <w:outlineLvl w:val="1"/>
    </w:pPr>
    <w:rPr>
      <w:rFonts w:ascii="Times New Roman" w:eastAsia="黑体" w:hAnsi="Times New Roman" w:cs="黑体"/>
      <w:bCs/>
      <w:color w:val="auto"/>
      <w:szCs w:val="30"/>
    </w:rPr>
  </w:style>
  <w:style w:type="paragraph" w:styleId="3">
    <w:name w:val="heading 3"/>
    <w:basedOn w:val="a"/>
    <w:next w:val="a"/>
    <w:link w:val="3Char"/>
    <w:uiPriority w:val="99"/>
    <w:qFormat/>
    <w:rsid w:val="003420FC"/>
    <w:pPr>
      <w:keepNext/>
      <w:keepLines/>
      <w:spacing w:before="260" w:after="260" w:line="415" w:lineRule="auto"/>
      <w:ind w:firstLineChars="200" w:firstLine="200"/>
      <w:outlineLvl w:val="2"/>
    </w:pPr>
    <w:rPr>
      <w:b/>
      <w:bCs/>
      <w:sz w:val="32"/>
      <w:szCs w:val="32"/>
    </w:rPr>
  </w:style>
  <w:style w:type="paragraph" w:styleId="4">
    <w:name w:val="heading 4"/>
    <w:basedOn w:val="a"/>
    <w:next w:val="a"/>
    <w:link w:val="4Char"/>
    <w:uiPriority w:val="9"/>
    <w:qFormat/>
    <w:rsid w:val="003420FC"/>
    <w:pPr>
      <w:keepLines/>
      <w:spacing w:before="280" w:after="290" w:line="377" w:lineRule="auto"/>
      <w:ind w:firstLineChars="200" w:firstLine="200"/>
      <w:jc w:val="center"/>
      <w:outlineLvl w:val="3"/>
    </w:pPr>
    <w:rPr>
      <w:rFonts w:ascii="Cambria" w:eastAsia="宋体" w:hAnsi="Cambria"/>
      <w:b/>
      <w:bCs/>
      <w:sz w:val="28"/>
      <w:szCs w:val="28"/>
    </w:rPr>
  </w:style>
  <w:style w:type="paragraph" w:styleId="5">
    <w:name w:val="heading 5"/>
    <w:basedOn w:val="a"/>
    <w:next w:val="a"/>
    <w:link w:val="5Char"/>
    <w:qFormat/>
    <w:rsid w:val="003420FC"/>
    <w:pPr>
      <w:keepNext/>
      <w:keepLines/>
      <w:spacing w:before="120" w:after="120"/>
      <w:ind w:left="1276"/>
      <w:outlineLvl w:val="4"/>
    </w:pPr>
    <w:rPr>
      <w:b/>
    </w:rPr>
  </w:style>
  <w:style w:type="paragraph" w:styleId="6">
    <w:name w:val="heading 6"/>
    <w:basedOn w:val="a"/>
    <w:next w:val="a"/>
    <w:link w:val="6Char"/>
    <w:qFormat/>
    <w:rsid w:val="003420FC"/>
    <w:pPr>
      <w:keepNext/>
      <w:keepLines/>
      <w:spacing w:before="240" w:after="64" w:line="319" w:lineRule="auto"/>
      <w:ind w:left="1276"/>
      <w:outlineLvl w:val="5"/>
    </w:pPr>
    <w:rPr>
      <w:rFonts w:ascii="Arial" w:hAnsi="Arial"/>
      <w:b/>
    </w:rPr>
  </w:style>
  <w:style w:type="paragraph" w:styleId="7">
    <w:name w:val="heading 7"/>
    <w:basedOn w:val="a"/>
    <w:next w:val="a"/>
    <w:link w:val="7Char"/>
    <w:qFormat/>
    <w:rsid w:val="003420FC"/>
    <w:pPr>
      <w:keepNext/>
      <w:keepLines/>
      <w:spacing w:before="240" w:after="64" w:line="319" w:lineRule="auto"/>
      <w:ind w:left="1276"/>
      <w:outlineLvl w:val="6"/>
    </w:pPr>
    <w:rPr>
      <w:b/>
    </w:rPr>
  </w:style>
  <w:style w:type="paragraph" w:styleId="8">
    <w:name w:val="heading 8"/>
    <w:basedOn w:val="a"/>
    <w:next w:val="a"/>
    <w:link w:val="8Char"/>
    <w:qFormat/>
    <w:rsid w:val="003420FC"/>
    <w:pPr>
      <w:widowControl/>
      <w:overflowPunct w:val="0"/>
      <w:autoSpaceDE w:val="0"/>
      <w:autoSpaceDN w:val="0"/>
      <w:adjustRightInd w:val="0"/>
      <w:spacing w:before="240" w:after="60" w:line="360" w:lineRule="auto"/>
      <w:ind w:left="1276"/>
      <w:textAlignment w:val="baseline"/>
      <w:outlineLvl w:val="7"/>
    </w:pPr>
    <w:rPr>
      <w:rFonts w:ascii="Arial" w:hAnsi="Arial"/>
      <w:i/>
      <w:kern w:val="0"/>
      <w:sz w:val="24"/>
    </w:rPr>
  </w:style>
  <w:style w:type="paragraph" w:styleId="9">
    <w:name w:val="heading 9"/>
    <w:basedOn w:val="a"/>
    <w:next w:val="a"/>
    <w:link w:val="9Char"/>
    <w:qFormat/>
    <w:rsid w:val="003420FC"/>
    <w:pPr>
      <w:widowControl/>
      <w:overflowPunct w:val="0"/>
      <w:autoSpaceDE w:val="0"/>
      <w:autoSpaceDN w:val="0"/>
      <w:adjustRightInd w:val="0"/>
      <w:spacing w:before="240" w:after="60" w:line="360" w:lineRule="auto"/>
      <w:ind w:left="1276"/>
      <w:textAlignment w:val="baseline"/>
      <w:outlineLvl w:val="8"/>
    </w:pPr>
    <w:rPr>
      <w:rFonts w:ascii="Arial" w:hAnsi="Arial"/>
      <w:i/>
      <w:kern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sid w:val="003420FC"/>
    <w:rPr>
      <w:b/>
    </w:rPr>
  </w:style>
  <w:style w:type="paragraph" w:styleId="a4">
    <w:name w:val="annotation text"/>
    <w:basedOn w:val="a"/>
    <w:link w:val="Char0"/>
    <w:unhideWhenUsed/>
    <w:qFormat/>
    <w:rsid w:val="003420FC"/>
    <w:pPr>
      <w:jc w:val="left"/>
    </w:pPr>
  </w:style>
  <w:style w:type="paragraph" w:styleId="a5">
    <w:name w:val="Document Map"/>
    <w:basedOn w:val="a"/>
    <w:link w:val="Char1"/>
    <w:uiPriority w:val="99"/>
    <w:unhideWhenUsed/>
    <w:qFormat/>
    <w:rsid w:val="003420FC"/>
    <w:rPr>
      <w:rFonts w:ascii="宋体" w:eastAsia="宋体"/>
      <w:sz w:val="18"/>
      <w:szCs w:val="18"/>
    </w:rPr>
  </w:style>
  <w:style w:type="paragraph" w:styleId="a6">
    <w:name w:val="Body Text Indent"/>
    <w:basedOn w:val="a"/>
    <w:link w:val="Char2"/>
    <w:qFormat/>
    <w:rsid w:val="003420FC"/>
    <w:pPr>
      <w:ind w:firstLineChars="200" w:firstLine="600"/>
    </w:pPr>
    <w:rPr>
      <w:rFonts w:hAnsi="Calibri"/>
      <w:color w:val="auto"/>
      <w:kern w:val="0"/>
    </w:rPr>
  </w:style>
  <w:style w:type="paragraph" w:styleId="30">
    <w:name w:val="toc 3"/>
    <w:basedOn w:val="a"/>
    <w:next w:val="a"/>
    <w:uiPriority w:val="39"/>
    <w:unhideWhenUsed/>
    <w:qFormat/>
    <w:rsid w:val="003420FC"/>
    <w:pPr>
      <w:ind w:left="600"/>
      <w:jc w:val="left"/>
    </w:pPr>
    <w:rPr>
      <w:rFonts w:ascii="Calibri" w:hAnsi="Calibri"/>
      <w:i/>
      <w:iCs/>
      <w:sz w:val="20"/>
    </w:rPr>
  </w:style>
  <w:style w:type="paragraph" w:styleId="a7">
    <w:name w:val="endnote text"/>
    <w:basedOn w:val="a"/>
    <w:link w:val="Char3"/>
    <w:uiPriority w:val="99"/>
    <w:unhideWhenUsed/>
    <w:qFormat/>
    <w:rsid w:val="003420FC"/>
    <w:pPr>
      <w:snapToGrid w:val="0"/>
      <w:jc w:val="left"/>
    </w:pPr>
  </w:style>
  <w:style w:type="paragraph" w:styleId="a8">
    <w:name w:val="Balloon Text"/>
    <w:basedOn w:val="a"/>
    <w:link w:val="Char4"/>
    <w:uiPriority w:val="99"/>
    <w:unhideWhenUsed/>
    <w:qFormat/>
    <w:rsid w:val="003420FC"/>
    <w:rPr>
      <w:sz w:val="18"/>
      <w:szCs w:val="18"/>
    </w:rPr>
  </w:style>
  <w:style w:type="paragraph" w:styleId="a9">
    <w:name w:val="footer"/>
    <w:basedOn w:val="a"/>
    <w:link w:val="Char5"/>
    <w:uiPriority w:val="99"/>
    <w:unhideWhenUsed/>
    <w:qFormat/>
    <w:rsid w:val="003420FC"/>
    <w:pPr>
      <w:tabs>
        <w:tab w:val="center" w:pos="4153"/>
        <w:tab w:val="right" w:pos="8306"/>
      </w:tabs>
      <w:snapToGrid w:val="0"/>
      <w:jc w:val="left"/>
    </w:pPr>
    <w:rPr>
      <w:rFonts w:asciiTheme="minorHAnsi" w:eastAsiaTheme="minorEastAsia" w:hAnsiTheme="minorHAnsi" w:cstheme="minorBidi"/>
      <w:color w:val="auto"/>
      <w:kern w:val="2"/>
      <w:sz w:val="18"/>
      <w:szCs w:val="18"/>
    </w:rPr>
  </w:style>
  <w:style w:type="paragraph" w:styleId="aa">
    <w:name w:val="header"/>
    <w:basedOn w:val="a"/>
    <w:link w:val="Char6"/>
    <w:uiPriority w:val="99"/>
    <w:unhideWhenUsed/>
    <w:qFormat/>
    <w:rsid w:val="003420FC"/>
    <w:pPr>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paragraph" w:styleId="10">
    <w:name w:val="toc 1"/>
    <w:basedOn w:val="a"/>
    <w:next w:val="a"/>
    <w:uiPriority w:val="39"/>
    <w:qFormat/>
    <w:rsid w:val="003420FC"/>
    <w:pPr>
      <w:spacing w:before="120" w:after="120"/>
      <w:jc w:val="left"/>
    </w:pPr>
    <w:rPr>
      <w:rFonts w:ascii="Calibri" w:hAnsi="Calibri"/>
      <w:b/>
      <w:bCs/>
      <w:caps/>
      <w:sz w:val="20"/>
    </w:rPr>
  </w:style>
  <w:style w:type="paragraph" w:styleId="ab">
    <w:name w:val="Subtitle"/>
    <w:basedOn w:val="a"/>
    <w:next w:val="a"/>
    <w:link w:val="Char7"/>
    <w:uiPriority w:val="99"/>
    <w:qFormat/>
    <w:rsid w:val="003420FC"/>
    <w:pPr>
      <w:spacing w:before="240" w:after="60" w:line="312" w:lineRule="auto"/>
      <w:jc w:val="center"/>
      <w:outlineLvl w:val="1"/>
    </w:pPr>
    <w:rPr>
      <w:rFonts w:ascii="Cambria" w:eastAsia="宋体" w:hAnsi="Cambria"/>
      <w:b/>
      <w:bCs/>
      <w:kern w:val="28"/>
      <w:sz w:val="32"/>
      <w:szCs w:val="32"/>
    </w:rPr>
  </w:style>
  <w:style w:type="paragraph" w:styleId="ac">
    <w:name w:val="footnote text"/>
    <w:basedOn w:val="a"/>
    <w:link w:val="Char8"/>
    <w:uiPriority w:val="99"/>
    <w:qFormat/>
    <w:rsid w:val="003420FC"/>
    <w:pPr>
      <w:snapToGrid w:val="0"/>
      <w:jc w:val="left"/>
    </w:pPr>
    <w:rPr>
      <w:sz w:val="18"/>
    </w:rPr>
  </w:style>
  <w:style w:type="paragraph" w:styleId="20">
    <w:name w:val="toc 2"/>
    <w:basedOn w:val="a"/>
    <w:next w:val="a"/>
    <w:uiPriority w:val="39"/>
    <w:qFormat/>
    <w:rsid w:val="003420FC"/>
    <w:pPr>
      <w:ind w:left="300"/>
      <w:jc w:val="left"/>
    </w:pPr>
    <w:rPr>
      <w:rFonts w:ascii="Calibri" w:hAnsi="Calibri"/>
      <w:smallCaps/>
      <w:sz w:val="20"/>
    </w:rPr>
  </w:style>
  <w:style w:type="paragraph" w:styleId="ad">
    <w:name w:val="Title"/>
    <w:basedOn w:val="a"/>
    <w:next w:val="a"/>
    <w:link w:val="Char9"/>
    <w:uiPriority w:val="99"/>
    <w:qFormat/>
    <w:rsid w:val="003420FC"/>
    <w:pPr>
      <w:spacing w:before="240" w:after="60"/>
      <w:jc w:val="center"/>
      <w:outlineLvl w:val="0"/>
    </w:pPr>
    <w:rPr>
      <w:rFonts w:ascii="Cambria" w:eastAsia="宋体" w:hAnsi="Cambria"/>
      <w:b/>
      <w:bCs/>
      <w:sz w:val="32"/>
      <w:szCs w:val="32"/>
    </w:rPr>
  </w:style>
  <w:style w:type="character" w:styleId="ae">
    <w:name w:val="page number"/>
    <w:qFormat/>
    <w:rsid w:val="003420FC"/>
    <w:rPr>
      <w:rFonts w:eastAsia="宋体" w:cs="Times New Roman"/>
      <w:kern w:val="2"/>
      <w:sz w:val="24"/>
      <w:lang w:val="en-US" w:eastAsia="zh-CN"/>
    </w:rPr>
  </w:style>
  <w:style w:type="character" w:styleId="af">
    <w:name w:val="Hyperlink"/>
    <w:uiPriority w:val="99"/>
    <w:qFormat/>
    <w:rsid w:val="003420FC"/>
    <w:rPr>
      <w:rFonts w:eastAsia="宋体"/>
      <w:color w:val="0000FF"/>
      <w:kern w:val="2"/>
      <w:sz w:val="24"/>
      <w:u w:val="single"/>
      <w:lang w:val="en-US" w:eastAsia="zh-CN"/>
    </w:rPr>
  </w:style>
  <w:style w:type="character" w:styleId="af0">
    <w:name w:val="footnote reference"/>
    <w:uiPriority w:val="99"/>
    <w:qFormat/>
    <w:rsid w:val="003420FC"/>
    <w:rPr>
      <w:rFonts w:eastAsia="宋体"/>
      <w:kern w:val="2"/>
      <w:sz w:val="24"/>
      <w:vertAlign w:val="superscript"/>
      <w:lang w:val="en-US" w:eastAsia="zh-CN"/>
    </w:rPr>
  </w:style>
  <w:style w:type="character" w:customStyle="1" w:styleId="Char6">
    <w:name w:val="页眉 Char"/>
    <w:basedOn w:val="a0"/>
    <w:link w:val="aa"/>
    <w:uiPriority w:val="99"/>
    <w:semiHidden/>
    <w:qFormat/>
    <w:rsid w:val="003420FC"/>
    <w:rPr>
      <w:sz w:val="18"/>
      <w:szCs w:val="18"/>
    </w:rPr>
  </w:style>
  <w:style w:type="character" w:customStyle="1" w:styleId="Char5">
    <w:name w:val="页脚 Char"/>
    <w:basedOn w:val="a0"/>
    <w:link w:val="a9"/>
    <w:uiPriority w:val="99"/>
    <w:qFormat/>
    <w:rsid w:val="003420FC"/>
    <w:rPr>
      <w:sz w:val="18"/>
      <w:szCs w:val="18"/>
    </w:rPr>
  </w:style>
  <w:style w:type="character" w:customStyle="1" w:styleId="1Char">
    <w:name w:val="标题 1 Char"/>
    <w:basedOn w:val="a0"/>
    <w:link w:val="1"/>
    <w:uiPriority w:val="99"/>
    <w:qFormat/>
    <w:rsid w:val="003420FC"/>
    <w:rPr>
      <w:rFonts w:ascii="仿宋_GB2312" w:eastAsia="华文中宋" w:hAnsi="宋体" w:cs="Times New Roman"/>
      <w:b/>
      <w:color w:val="000000"/>
      <w:kern w:val="44"/>
      <w:sz w:val="36"/>
      <w:szCs w:val="20"/>
    </w:rPr>
  </w:style>
  <w:style w:type="character" w:customStyle="1" w:styleId="2Char">
    <w:name w:val="标题 2 Char"/>
    <w:basedOn w:val="a0"/>
    <w:link w:val="2"/>
    <w:uiPriority w:val="99"/>
    <w:qFormat/>
    <w:rsid w:val="003420FC"/>
    <w:rPr>
      <w:rFonts w:ascii="Times New Roman" w:eastAsia="黑体" w:hAnsi="Times New Roman" w:cs="黑体"/>
      <w:bCs/>
      <w:kern w:val="16"/>
      <w:sz w:val="30"/>
      <w:szCs w:val="30"/>
    </w:rPr>
  </w:style>
  <w:style w:type="character" w:customStyle="1" w:styleId="3Char">
    <w:name w:val="标题 3 Char"/>
    <w:basedOn w:val="a0"/>
    <w:link w:val="3"/>
    <w:uiPriority w:val="99"/>
    <w:qFormat/>
    <w:rsid w:val="003420FC"/>
    <w:rPr>
      <w:rFonts w:ascii="仿宋_GB2312" w:eastAsia="仿宋_GB2312" w:hAnsi="宋体" w:cs="Times New Roman"/>
      <w:b/>
      <w:bCs/>
      <w:color w:val="000000"/>
      <w:kern w:val="16"/>
      <w:sz w:val="32"/>
      <w:szCs w:val="32"/>
    </w:rPr>
  </w:style>
  <w:style w:type="character" w:customStyle="1" w:styleId="4Char">
    <w:name w:val="标题 4 Char"/>
    <w:basedOn w:val="a0"/>
    <w:link w:val="4"/>
    <w:uiPriority w:val="9"/>
    <w:qFormat/>
    <w:rsid w:val="003420FC"/>
    <w:rPr>
      <w:rFonts w:ascii="Cambria" w:eastAsia="宋体" w:hAnsi="Cambria" w:cs="Times New Roman"/>
      <w:b/>
      <w:bCs/>
      <w:color w:val="000000"/>
      <w:kern w:val="16"/>
      <w:sz w:val="28"/>
      <w:szCs w:val="28"/>
    </w:rPr>
  </w:style>
  <w:style w:type="character" w:customStyle="1" w:styleId="5Char">
    <w:name w:val="标题 5 Char"/>
    <w:basedOn w:val="a0"/>
    <w:link w:val="5"/>
    <w:qFormat/>
    <w:rsid w:val="003420FC"/>
    <w:rPr>
      <w:rFonts w:ascii="仿宋_GB2312" w:eastAsia="仿宋_GB2312" w:hAnsi="宋体" w:cs="Times New Roman"/>
      <w:b/>
      <w:color w:val="000000"/>
      <w:kern w:val="16"/>
      <w:sz w:val="30"/>
      <w:szCs w:val="20"/>
    </w:rPr>
  </w:style>
  <w:style w:type="character" w:customStyle="1" w:styleId="6Char">
    <w:name w:val="标题 6 Char"/>
    <w:basedOn w:val="a0"/>
    <w:link w:val="6"/>
    <w:qFormat/>
    <w:rsid w:val="003420FC"/>
    <w:rPr>
      <w:rFonts w:ascii="Arial" w:eastAsia="仿宋_GB2312" w:hAnsi="Arial" w:cs="Times New Roman"/>
      <w:b/>
      <w:color w:val="000000"/>
      <w:kern w:val="16"/>
      <w:sz w:val="30"/>
      <w:szCs w:val="20"/>
    </w:rPr>
  </w:style>
  <w:style w:type="character" w:customStyle="1" w:styleId="7Char">
    <w:name w:val="标题 7 Char"/>
    <w:basedOn w:val="a0"/>
    <w:link w:val="7"/>
    <w:qFormat/>
    <w:rsid w:val="003420FC"/>
    <w:rPr>
      <w:rFonts w:ascii="仿宋_GB2312" w:eastAsia="仿宋_GB2312" w:hAnsi="宋体" w:cs="Times New Roman"/>
      <w:b/>
      <w:color w:val="000000"/>
      <w:kern w:val="16"/>
      <w:sz w:val="30"/>
      <w:szCs w:val="20"/>
    </w:rPr>
  </w:style>
  <w:style w:type="character" w:customStyle="1" w:styleId="8Char">
    <w:name w:val="标题 8 Char"/>
    <w:basedOn w:val="a0"/>
    <w:link w:val="8"/>
    <w:qFormat/>
    <w:rsid w:val="003420FC"/>
    <w:rPr>
      <w:rFonts w:ascii="Arial" w:eastAsia="仿宋_GB2312" w:hAnsi="Arial" w:cs="Times New Roman"/>
      <w:i/>
      <w:color w:val="000000"/>
      <w:kern w:val="0"/>
      <w:sz w:val="24"/>
      <w:szCs w:val="20"/>
    </w:rPr>
  </w:style>
  <w:style w:type="character" w:customStyle="1" w:styleId="9Char">
    <w:name w:val="标题 9 Char"/>
    <w:basedOn w:val="a0"/>
    <w:link w:val="9"/>
    <w:qFormat/>
    <w:rsid w:val="003420FC"/>
    <w:rPr>
      <w:rFonts w:ascii="Arial" w:eastAsia="仿宋_GB2312" w:hAnsi="Arial" w:cs="Times New Roman"/>
      <w:i/>
      <w:color w:val="000000"/>
      <w:kern w:val="0"/>
      <w:sz w:val="18"/>
      <w:szCs w:val="20"/>
    </w:rPr>
  </w:style>
  <w:style w:type="character" w:customStyle="1" w:styleId="Char0">
    <w:name w:val="批注文字 Char"/>
    <w:basedOn w:val="a0"/>
    <w:link w:val="a4"/>
    <w:qFormat/>
    <w:rsid w:val="003420FC"/>
    <w:rPr>
      <w:rFonts w:ascii="仿宋_GB2312" w:eastAsia="仿宋_GB2312" w:hAnsi="宋体" w:cs="Times New Roman"/>
      <w:color w:val="000000"/>
      <w:kern w:val="16"/>
      <w:sz w:val="30"/>
      <w:szCs w:val="20"/>
    </w:rPr>
  </w:style>
  <w:style w:type="character" w:customStyle="1" w:styleId="Char">
    <w:name w:val="批注主题 Char"/>
    <w:basedOn w:val="Char0"/>
    <w:link w:val="a3"/>
    <w:qFormat/>
    <w:rsid w:val="003420FC"/>
    <w:rPr>
      <w:rFonts w:ascii="仿宋_GB2312" w:eastAsia="仿宋_GB2312" w:hAnsi="宋体" w:cs="Times New Roman"/>
      <w:b/>
      <w:color w:val="000000"/>
      <w:kern w:val="16"/>
      <w:sz w:val="30"/>
      <w:szCs w:val="20"/>
    </w:rPr>
  </w:style>
  <w:style w:type="character" w:customStyle="1" w:styleId="Char1">
    <w:name w:val="文档结构图 Char"/>
    <w:basedOn w:val="a0"/>
    <w:link w:val="a5"/>
    <w:uiPriority w:val="99"/>
    <w:qFormat/>
    <w:rsid w:val="003420FC"/>
    <w:rPr>
      <w:rFonts w:ascii="宋体" w:eastAsia="宋体" w:hAnsi="宋体" w:cs="Times New Roman"/>
      <w:color w:val="000000"/>
      <w:kern w:val="16"/>
      <w:sz w:val="18"/>
      <w:szCs w:val="18"/>
    </w:rPr>
  </w:style>
  <w:style w:type="character" w:customStyle="1" w:styleId="Char2">
    <w:name w:val="正文文本缩进 Char"/>
    <w:basedOn w:val="a0"/>
    <w:link w:val="a6"/>
    <w:qFormat/>
    <w:rsid w:val="003420FC"/>
    <w:rPr>
      <w:rFonts w:ascii="仿宋_GB2312" w:eastAsia="仿宋_GB2312" w:hAnsi="Calibri" w:cs="Times New Roman"/>
      <w:kern w:val="0"/>
      <w:sz w:val="30"/>
      <w:szCs w:val="20"/>
    </w:rPr>
  </w:style>
  <w:style w:type="character" w:customStyle="1" w:styleId="Char3">
    <w:name w:val="尾注文本 Char"/>
    <w:basedOn w:val="a0"/>
    <w:link w:val="a7"/>
    <w:uiPriority w:val="99"/>
    <w:qFormat/>
    <w:rsid w:val="003420FC"/>
    <w:rPr>
      <w:rFonts w:ascii="仿宋_GB2312" w:eastAsia="仿宋_GB2312" w:hAnsi="宋体" w:cs="Times New Roman"/>
      <w:color w:val="000000"/>
      <w:kern w:val="16"/>
      <w:sz w:val="30"/>
      <w:szCs w:val="20"/>
    </w:rPr>
  </w:style>
  <w:style w:type="character" w:customStyle="1" w:styleId="Char4">
    <w:name w:val="批注框文本 Char"/>
    <w:basedOn w:val="a0"/>
    <w:link w:val="a8"/>
    <w:uiPriority w:val="99"/>
    <w:qFormat/>
    <w:rsid w:val="003420FC"/>
    <w:rPr>
      <w:rFonts w:ascii="仿宋_GB2312" w:eastAsia="仿宋_GB2312" w:hAnsi="宋体" w:cs="Times New Roman"/>
      <w:color w:val="000000"/>
      <w:kern w:val="16"/>
      <w:sz w:val="18"/>
      <w:szCs w:val="18"/>
    </w:rPr>
  </w:style>
  <w:style w:type="character" w:customStyle="1" w:styleId="Char7">
    <w:name w:val="副标题 Char"/>
    <w:basedOn w:val="a0"/>
    <w:link w:val="ab"/>
    <w:uiPriority w:val="99"/>
    <w:qFormat/>
    <w:rsid w:val="003420FC"/>
    <w:rPr>
      <w:rFonts w:ascii="Cambria" w:eastAsia="宋体" w:hAnsi="Cambria" w:cs="Times New Roman"/>
      <w:b/>
      <w:bCs/>
      <w:color w:val="000000"/>
      <w:kern w:val="28"/>
      <w:sz w:val="32"/>
      <w:szCs w:val="32"/>
    </w:rPr>
  </w:style>
  <w:style w:type="character" w:customStyle="1" w:styleId="Char8">
    <w:name w:val="脚注文本 Char"/>
    <w:basedOn w:val="a0"/>
    <w:link w:val="ac"/>
    <w:uiPriority w:val="99"/>
    <w:qFormat/>
    <w:rsid w:val="003420FC"/>
    <w:rPr>
      <w:rFonts w:ascii="仿宋_GB2312" w:eastAsia="仿宋_GB2312" w:hAnsi="宋体" w:cs="Times New Roman"/>
      <w:color w:val="000000"/>
      <w:kern w:val="16"/>
      <w:sz w:val="18"/>
      <w:szCs w:val="20"/>
    </w:rPr>
  </w:style>
  <w:style w:type="character" w:customStyle="1" w:styleId="Char9">
    <w:name w:val="标题 Char"/>
    <w:basedOn w:val="a0"/>
    <w:link w:val="ad"/>
    <w:uiPriority w:val="99"/>
    <w:qFormat/>
    <w:rsid w:val="003420FC"/>
    <w:rPr>
      <w:rFonts w:ascii="Cambria" w:eastAsia="宋体" w:hAnsi="Cambria" w:cs="Times New Roman"/>
      <w:b/>
      <w:bCs/>
      <w:color w:val="000000"/>
      <w:kern w:val="16"/>
      <w:sz w:val="32"/>
      <w:szCs w:val="32"/>
    </w:rPr>
  </w:style>
  <w:style w:type="paragraph" w:customStyle="1" w:styleId="11">
    <w:name w:val="无间隔1"/>
    <w:link w:val="Chara"/>
    <w:uiPriority w:val="99"/>
    <w:qFormat/>
    <w:rsid w:val="003420FC"/>
    <w:rPr>
      <w:rFonts w:ascii="Calibri" w:eastAsia="宋体" w:hAnsi="Calibri" w:cs="Times New Roman"/>
      <w:sz w:val="22"/>
      <w:szCs w:val="22"/>
    </w:rPr>
  </w:style>
  <w:style w:type="character" w:customStyle="1" w:styleId="Chara">
    <w:name w:val="无间隔 Char"/>
    <w:link w:val="11"/>
    <w:uiPriority w:val="99"/>
    <w:qFormat/>
    <w:locked/>
    <w:rsid w:val="003420FC"/>
    <w:rPr>
      <w:rFonts w:ascii="Calibri" w:eastAsia="宋体" w:hAnsi="Calibri" w:cs="Times New Roman"/>
      <w:kern w:val="0"/>
      <w:sz w:val="22"/>
    </w:rPr>
  </w:style>
  <w:style w:type="paragraph" w:customStyle="1" w:styleId="12">
    <w:name w:val="列出段落1"/>
    <w:basedOn w:val="a"/>
    <w:uiPriority w:val="34"/>
    <w:qFormat/>
    <w:rsid w:val="003420FC"/>
    <w:pPr>
      <w:ind w:firstLineChars="200" w:firstLine="420"/>
    </w:pPr>
  </w:style>
  <w:style w:type="paragraph" w:customStyle="1" w:styleId="13">
    <w:name w:val="列出段落1"/>
    <w:basedOn w:val="a"/>
    <w:uiPriority w:val="99"/>
    <w:qFormat/>
    <w:rsid w:val="003420FC"/>
    <w:pPr>
      <w:ind w:firstLineChars="200" w:firstLine="420"/>
    </w:pPr>
    <w:rPr>
      <w:rFonts w:ascii="Calibri" w:eastAsia="宋体" w:hAnsi="Calibri" w:cs="Calibri"/>
      <w:color w:val="auto"/>
      <w:kern w:val="2"/>
      <w:sz w:val="21"/>
      <w:szCs w:val="21"/>
    </w:rPr>
  </w:style>
  <w:style w:type="paragraph" w:customStyle="1" w:styleId="TOC1">
    <w:name w:val="TOC 标题1"/>
    <w:basedOn w:val="1"/>
    <w:next w:val="a"/>
    <w:uiPriority w:val="39"/>
    <w:unhideWhenUsed/>
    <w:qFormat/>
    <w:rsid w:val="003420FC"/>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f1">
    <w:name w:val="List Paragraph"/>
    <w:basedOn w:val="a"/>
    <w:uiPriority w:val="99"/>
    <w:unhideWhenUsed/>
    <w:rsid w:val="001A126B"/>
    <w:pPr>
      <w:ind w:firstLineChars="200" w:firstLine="420"/>
    </w:pPr>
  </w:style>
</w:styles>
</file>

<file path=word/webSettings.xml><?xml version="1.0" encoding="utf-8"?>
<w:webSettings xmlns:r="http://schemas.openxmlformats.org/officeDocument/2006/relationships" xmlns:w="http://schemas.openxmlformats.org/wordprocessingml/2006/main">
  <w:divs>
    <w:div w:id="1225214591">
      <w:bodyDiv w:val="1"/>
      <w:marLeft w:val="0"/>
      <w:marRight w:val="0"/>
      <w:marTop w:val="0"/>
      <w:marBottom w:val="0"/>
      <w:divBdr>
        <w:top w:val="none" w:sz="0" w:space="0" w:color="auto"/>
        <w:left w:val="none" w:sz="0" w:space="0" w:color="auto"/>
        <w:bottom w:val="none" w:sz="0" w:space="0" w:color="auto"/>
        <w:right w:val="none" w:sz="0" w:space="0" w:color="auto"/>
      </w:divBdr>
    </w:div>
    <w:div w:id="1265573837">
      <w:bodyDiv w:val="1"/>
      <w:marLeft w:val="0"/>
      <w:marRight w:val="0"/>
      <w:marTop w:val="0"/>
      <w:marBottom w:val="0"/>
      <w:divBdr>
        <w:top w:val="none" w:sz="0" w:space="0" w:color="auto"/>
        <w:left w:val="none" w:sz="0" w:space="0" w:color="auto"/>
        <w:bottom w:val="none" w:sz="0" w:space="0" w:color="auto"/>
        <w:right w:val="none" w:sz="0" w:space="0" w:color="auto"/>
      </w:divBdr>
    </w:div>
    <w:div w:id="194159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E18D839-E516-4619-8C7B-B70B618DDC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787</Words>
  <Characters>4489</Characters>
  <Application>Microsoft Office Word</Application>
  <DocSecurity>0</DocSecurity>
  <Lines>37</Lines>
  <Paragraphs>10</Paragraphs>
  <ScaleCrop>false</ScaleCrop>
  <Company>Hewlett-Packard Company</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Lenovo</dc:creator>
  <cp:lastModifiedBy>陈璐璐</cp:lastModifiedBy>
  <cp:revision>12</cp:revision>
  <cp:lastPrinted>2018-06-04T00:19:00Z</cp:lastPrinted>
  <dcterms:created xsi:type="dcterms:W3CDTF">2018-05-08T06:18:00Z</dcterms:created>
  <dcterms:modified xsi:type="dcterms:W3CDTF">2018-06-04T05:55:00Z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