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F4E79"/>
            <w:tcBorders>
              <w:top w:sz="8" w:val="single" w:color="1F4E79"/>
              <w:left w:sz="8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FFFFFF"/>
                <w:sz w:val="36"/>
              </w:rPr>
              <w:t>当前系统完整专业描述</w:t>
            </w:r>
          </w:p>
          <w:p>
            <w:r>
              <w:rPr>
                <w:rFonts w:ascii="Calibri" w:hAnsi="Calibri" w:eastAsia="PingFang SC"/>
                <w:color w:val="FFFFFF"/>
                <w:sz w:val="22"/>
              </w:rPr>
              <w:t>A股全市场因子量化研究与生产控制系统</w:t>
            </w:r>
          </w:p>
        </w:tc>
        <w:tc>
          <w:tcPr>
            <w:tcW w:type="dxa" w:w="4939"/>
            <w:shd w:fill="E8EEF5"/>
            <w:tcBorders>
              <w:top w:sz="8" w:val="single" w:color="B8C7D9"/>
              <w:left w:sz="8" w:val="single" w:color="B8C7D9"/>
              <w:bottom w:sz="8" w:val="single" w:color="B8C7D9"/>
              <w:right w:sz="8" w:val="single" w:color="B8C7D9"/>
            </w:tcBorders>
          </w:tcPr>
          <w:p>
            <w:r/>
          </w:p>
          <w:p>
            <w:pPr>
              <w:spacing w:after="20"/>
            </w:pPr>
            <w:r>
              <w:rPr>
                <w:rFonts w:ascii="Calibri" w:hAnsi="Calibri" w:eastAsia="PingFang SC"/>
                <w:b/>
                <w:color w:val="374151"/>
                <w:sz w:val="19"/>
              </w:rPr>
              <w:t xml:space="preserve">生成日期: </w:t>
            </w:r>
            <w:r>
              <w:rPr>
                <w:rFonts w:ascii="Calibri" w:hAnsi="Calibri" w:eastAsia="PingFang SC"/>
                <w:color w:val="374151"/>
                <w:sz w:val="19"/>
              </w:rPr>
              <w:t>2026-06-25</w:t>
            </w:r>
          </w:p>
          <w:p>
            <w:pPr>
              <w:spacing w:after="20"/>
            </w:pPr>
            <w:r>
              <w:rPr>
                <w:rFonts w:ascii="Calibri" w:hAnsi="Calibri" w:eastAsia="PingFang SC"/>
                <w:b/>
                <w:color w:val="374151"/>
                <w:sz w:val="19"/>
              </w:rPr>
              <w:t xml:space="preserve">仓库路径: </w:t>
            </w:r>
            <w:r>
              <w:rPr>
                <w:rFonts w:ascii="Calibri" w:hAnsi="Calibri" w:eastAsia="PingFang SC"/>
                <w:color w:val="374151"/>
                <w:sz w:val="19"/>
              </w:rPr>
              <w:t>/Users/kiki/astcok</w:t>
            </w:r>
          </w:p>
          <w:p>
            <w:pPr>
              <w:spacing w:after="20"/>
            </w:pPr>
            <w:r>
              <w:rPr>
                <w:rFonts w:ascii="Calibri" w:hAnsi="Calibri" w:eastAsia="PingFang SC"/>
                <w:b/>
                <w:color w:val="374151"/>
                <w:sz w:val="19"/>
              </w:rPr>
              <w:t xml:space="preserve">输出格式: </w:t>
            </w:r>
            <w:r>
              <w:rPr>
                <w:rFonts w:ascii="Calibri" w:hAnsi="Calibri" w:eastAsia="PingFang SC"/>
                <w:color w:val="374151"/>
                <w:sz w:val="19"/>
              </w:rPr>
              <w:t>Word 文档 .docx</w:t>
            </w:r>
          </w:p>
          <w:p>
            <w:pPr>
              <w:spacing w:after="20"/>
            </w:pPr>
            <w:r>
              <w:rPr>
                <w:rFonts w:ascii="Calibri" w:hAnsi="Calibri" w:eastAsia="PingFang SC"/>
                <w:b/>
                <w:color w:val="374151"/>
                <w:sz w:val="19"/>
              </w:rPr>
              <w:t xml:space="preserve">场景分类: </w:t>
            </w:r>
            <w:r>
              <w:rPr>
                <w:rFonts w:ascii="Calibri" w:hAnsi="Calibri" w:eastAsia="PingFang SC"/>
                <w:color w:val="374151"/>
                <w:sz w:val="19"/>
              </w:rPr>
              <w:t>Producer：面向决策、研发、运维与复盘闭环</w:t>
            </w:r>
          </w:p>
        </w:tc>
      </w:tr>
    </w:tbl>
    <w:p/>
    <w:p>
      <w:pPr>
        <w:jc w:val="center"/>
      </w:pPr>
      <w:r>
        <w:rPr>
          <w:rFonts w:ascii="Calibri" w:hAnsi="Calibri" w:eastAsia="PingFang SC"/>
          <w:b/>
          <w:color w:val="1F2937"/>
          <w:sz w:val="44"/>
        </w:rPr>
        <w:t>A股全市场因子量化研究系统</w:t>
        <w:br/>
        <w:t>完整专业说明书</w:t>
      </w:r>
    </w:p>
    <w:p>
      <w:pPr>
        <w:jc w:val="center"/>
      </w:pPr>
      <w:r>
        <w:rPr>
          <w:rFonts w:ascii="Calibri" w:hAnsi="Calibri" w:eastAsia="PingFang SC"/>
          <w:color w:val="4B5563"/>
          <w:sz w:val="24"/>
        </w:rPr>
        <w:t>专业、可审计、通俗解释版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4E79"/>
                <w:sz w:val="21"/>
              </w:rPr>
              <w:t>最重要的诚实结论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PingFang SC"/>
                <w:color w:val="1F2937"/>
                <w:sz w:val="19"/>
              </w:rPr>
              <w:t>截至本仓当前文件状态，系统不是一个已经确认存在可实战 standalone alpha 的自动交易机，而是一个相当严苛的量化研究、审计、台账、生产就绪与前端可视化平台。注册表当前没有“在册”版本；最低 DSR p 值来自 small-cap-size/v2.0，约为 0.086，仍未达到 0.05 的 standalone 准入线。生产部署清单仍指向 illiquidity/v3.1，但注册表已将其置为“参考”，且 spec_hash 与部署清单不一致；正确的生产行为应当是 fail-closed，而不是继续把旧 LIVE 字符串当事实。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目录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一、执行摘要：这套系统到底是什么，以及当前不能误解成什么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二、阅读范围、方法与事实源优先级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三、总体架构：从数据湖到生产就绪的单向链路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四、数据湖与数据口径：为什么它把 PIT、复权和成交额看得这么重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五、统一回测引擎：成本、T+1、持仓和指标如何被机械执行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六、因子、策略与可执行规格：研究想法如何变成可复现对象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七、自动研究工厂：LLM 只能提案，不能裁决 alpha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八、四阶段晋级与 9-Gate：反 p-hacking 的核心制度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九、注册表、治理、holdout 与部署身份：系统如何避免自己骗自己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十、组合、风控、容量与执行：从单因子到真实账户约束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十一、API、服务层和 Web 前端：把事实呈现出来，但不改变事实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十二、当前仓库状态、真实风险与建议闭环</w:t>
      </w:r>
    </w:p>
    <w:p>
      <w:pPr>
        <w:pStyle w:val="ListBullet"/>
        <w:spacing w:after="120" w:line="300" w:lineRule="auto"/>
      </w:pPr>
      <w:r>
        <w:rPr>
          <w:rFonts w:ascii="Calibri" w:hAnsi="Calibri" w:eastAsia="PingFang SC"/>
        </w:rPr>
        <w:t>十三、面向用户反馈闭环的运营方式与术语表</w:t>
      </w: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一、执行摘要</w:t>
      </w:r>
    </w:p>
    <w:p>
      <w:pPr>
        <w:spacing w:after="120" w:line="300" w:lineRule="auto"/>
      </w:pPr>
      <w:r>
        <w:rPr>
          <w:rFonts w:ascii="Calibri" w:hAnsi="Calibri" w:eastAsia="PingFang SC"/>
        </w:rPr>
        <w:t>本次请求属于 Producer 场景。这里的“生产者”不是指正在写代码的人，而是指需要把系统能力、风险、受众和反馈机制讲清楚的人。报告的目标读者有四类：第一是系统所有者，需要知道现在能不能上线、哪里不能误判；第二是量化研究员，需要知道从因子想法到策略入册要经过哪些关口；第三是工程维护者，需要知道各层依赖、事实源和生产入口在哪里；第四是前端或运营使用者，需要知道页面显示哪些是真实后端读取，哪些仍可能是展示性兜底或 mock。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这套系统的核心定位是“A股全市场日频因子量化研究与生产控制系统”。它不是单一策略脚本，也不是一个只看夏普率的回测页面。它把数据湖、因子库、统一回测引擎、策略规格、自动研究工厂、九门禁审计、注册表、部署清单、生产就绪检查、模拟盘和 Web 控制台组合成一个研究操作系统。通俗地说，它试图把“我觉得这个因子不错”变成“这个因子在真实数据口径、真实成本、多重检验、样本外、容量、衰减和部署身份全部可追溯后，是否仍然值得进入下一步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当前最不能忽略的事实是：系统已经具备比较完整的防自欺能力，但当前仓库状态下没有可直接宣称为实战 standalone alpha 的策略。`factor_research/strategy_versions.json` 当前包含 25 个 family、44 个版本，状态分布大致是 21 个“参考”、15 个“候选”、7 个“退役”、1 个“已证伪”，没有“在册”版本。最低 DSR p 值是 `small-cap-size/v2.0` 的约 0.086，仍高于 0.05；`illiquidity/v3.1` 也已是“参考”，DSR p 值约 0.176。这说明系统正在执行“宁可拒绝，也不把不显著结果包装成 live alpha”的原则。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生产链路存在一个必须明确指出的配置事实：`factor_research/deployments/production.json` 仍然声明 active，并把 equity_alpha 指向 `illiquidity/v3.1`，manifest 中的 spec_hash 前缀是 `4f667d...`；但注册表中 `illiquidity/v3.1` 的 executable spec_hash 前缀是 `c9b026...`，状态又是“参考”。`reports/decay_status.json` 也记录了“部署与注册身份漂移”。因此，生产系统若按 `runtime/deployment.py` 和 `runtime/production_readiness.py` 的设计运行，应当因部署身份不一致、治理不通过或衰减红灯而 fail-closed。任何页面或旧注释仍写“current LIVE”都只能视为历史遗留文本，不能当作当前事实。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系统的专业性主要体现在三个方面。第一，它把数据口径视为一等公民：复权价、未复权价、成交额单位、公告日可见性、宏观数据可见时间、盘后资金数据 shift、ST 与上市状态等都被写进数据加载和守卫。第二，它把回测执行统一到 `core.engine.BacktestEngine`，避免每个策略各写一套成本、T+1 和净值逻辑。第三，它把准入权交给台账和 9-Gate，而不是交给 LLM、页面、人工口号或单次漂亮回测。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从产品角度看，这套系统最强的内容钩子不是“某个策略收益很高”，而是“它愿意把没有通过诚实统计检验的结果挡在门外”。对于量化研究系统来说，这种钩子更有价值：用户真正需要的不是更多看似高收益的曲线，而是能追溯每个结论从数据、假设、因子、回测、样本外、容量、注册到部署的证据链。系统当前的核心价值，是提供一套可复盘、可失败、可阻断的研究生产线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从闭环角度看，系统已经有较多反馈入口：研究候选的 trial ledger、holdout ledger、strategy registry 的 evidence、9-Gate 摘要、decay status、paper account、production readiness、reports/research、Web 的实验工作台和 AgentPanel。真正需要补强的是把这些反馈统一成“用户能一眼看到的当前真相”：哪些策略只是参考，哪些候选等待复核，哪些因数据或部署身份 fail-closed，哪些前端卡片还只是展示层兜底。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当前事实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专业含义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通俗解释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注册表无“在册”版本；大多数为参考或候选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当前不存在被系统正式承认的可部署 alpha 池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系统不是没做事，而是把不够硬的策略拦住了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production manifest 仍指向 illiquidity/v3.1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部署清单和注册事实源不同步，必须 fail-closed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旧门牌还挂着，但钥匙和住户资料对不上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最低 DSR p≈0.086，高于 0.05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多重检验后未达到 standalone 显著性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看起来像 alpha，但还没过“别自欺”的统计门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数据湖 manifest 最新 data_vintage last_date=2026-06-24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数据层近期有更新痕迹，但生产信号仍需看 readiness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数据到了不等于可以交易，还要看治理、衰减、纸面盘和部署身份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二、阅读范围、方法与事实源优先级</w:t>
      </w:r>
    </w:p>
    <w:p>
      <w:pPr>
        <w:spacing w:after="120" w:line="300" w:lineRule="auto"/>
      </w:pPr>
      <w:r>
        <w:rPr>
          <w:rFonts w:ascii="Calibri" w:hAnsi="Calibri" w:eastAsia="PingFang SC"/>
        </w:rPr>
        <w:t>本报告依据本地仓库 `/Users/kiki/astcok` 的源码、配置、状态文档、注册台账、部署清单和运行报告整理。阅读方式不是把所有 scratch 文件都当作同等权威，而是先遵守仓库自己的项目宪法：接手先读 `AGENTS.md`、`CLAUDE.md`、`STATUS.md`，再沿着系统主链路阅读 `factor_research`、`web`、`strategy_registry.py`、`runtime`、`workflow`、`core`、`lake`、`factory`、`portfolio`、`api`、`services` 等目录。仓库中有大量历史研究产物、CSV、临时脚本和已归档计划，若它们与当前台账或状态文档冲突，应以当前台账、部署校验和 STATUS 的最新结论为准。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事实源的优先级可以理解为四层。第一层是项目宪法和当前状态：`CLAUDE.md` 规定研究口径、禁止偷看、禁止 LLM 裁决 alpha、统一回测引擎和唯一台账入口；`STATUS.md` 记录最新决策和已发现问题。第二层是机器可执行事实：`strategy_versions.json`、`deployments/production.json`、`data_lake/_manifest.json`、`reports/decay_status.json`、paper/account、runtime readiness。第三层是核心代码：数据加载、引擎、9-Gate、注册、晋级、部署、生产信号。第四层是前端页面和展示文案，它们应当读取事实，但不能反过来定义事实。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本仓当前存在多 agent 并发工作痕迹，工作树里有不少未跟踪或已修改文件。报告只描述系统，不修改研究代码，不做 git 操作，不把运行产物纳入版本控制。对“完整代码”的处理原则是：覆盖所有权威层和主链路，记录关键模块职责、边界、约束与当前状态；对 `scratch`、探索性 CSV、历史报告和归档文档，只在它们揭示系统演进或风险时引用，不把它们当作当前生产真相。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通俗地说，这份说明书不是“所有文件逐行翻译”，而是“把代码里的系统设计和当前事实讲成一份能用于交接、决策、复盘和后续开发的专业说明”。如果把仓库看成一座工厂，本报告重点说明原料入口、质检规则、生产线、仓库台账、出货闸门、仪表盘和当前库存状态，而不是逐个描述每一颗螺丝的制造批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事实源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代表文件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如何使用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项目宪法与状态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CLAUDE.md、STATUS.md、AGENTS.md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决定研究铁律、当前结论、冲突处理方式；冲突时优先级最高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机器台账与清单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factor_research/strategy_versions.json、deployments/production.json、data_lake/_manifest.json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决定策略状态、部署身份、数据版本；是后端和 readiness 的事实输入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核心执行代码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lake、core、engine、workflow、runtime、portfolio、strategy_registry.py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定义数据、回测、准入、生产和治理的机械行为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服务与前端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api、services、web/app、web/lib/api.ts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负责把事实提供给用户和触发受保护动作，但不应改变研究口径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历史研究产物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reports/research、docs/archive、scratch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提供背景和证据，但如果与当前台账冲突，需要标注为历史或探索性内容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三、总体架构</w:t>
      </w:r>
    </w:p>
    <w:p>
      <w:pPr>
        <w:spacing w:after="120" w:line="300" w:lineRule="auto"/>
      </w:pPr>
      <w:r>
        <w:rPr>
          <w:rFonts w:ascii="Calibri" w:hAnsi="Calibri" w:eastAsia="PingFang SC"/>
        </w:rPr>
        <w:t>系统的主架构是一条单向依赖链：`data_lake → factors → core.engine → strategies/factory/workflow → registry → production`。这条链很重要，因为量化系统最容易出问题的地方就是“结果反向污染输入”。例如，策略层不应反过来改数据湖口径，前端不应在页面里修正回测成本，生产脚本不应绕过注册表直接认定某个旧策略为 LIVE。仓库的 `check_layer_deps.py` 就是为了守住这条边界。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数据湖是底座，负责把价格、未复权价格、基本面、资金、宏观、交易日历、代码元数据和数据指纹变成可复用面板。因子层在数据湖之上构造横截面信号，例如小盘、流动性、基本面、动量、质量、微结构、资金流、股东行为等。核心引擎负责把信号变成可比的日频净值、换手、成本、回撤和风险指标。策略层把因子、择时、筛选、权重、组合约束包装成可执行规格。工作流和 9-Gate 决定一个候选是否有资格进入台账。注册表记录版本、证据和状态。生产层只从已部署且身份校验通过的规格生成信号。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这种设计的现实意义是把“研究自由”和“生产纪律”分开。研究阶段可以生成很多假设，可以失败，可以写报告，可以进入候选池；但生产阶段必须看到同一套证据链：数据版本、spec_hash、注册状态、9-Gate 裁决、衰减状态、模拟盘状态、交易日状态和数据问题 triage。任何一个关键证据缺失，生产就绪检查都应阻断。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Web 前端在架构里处于最上层，职责是呈现、审计、触发受保护动作和让用户形成反馈。它使用 Next.js、React、TypeScript、Tailwind，通过 `web/lib/api.ts` 调 FastAPI。`web/CLAUDE.md` 明确说前端不得改变研究口径，Agent 右栏只能提案，不能执行调仓或下单。因此页面即使做得再像驾驶舱，也只是观察和操作界面，不是 alpha 真伪的裁判。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关键目录/文件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核心责任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不能越界做什么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数据湖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factor_research/lake、scripts/data、data_lake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加载、修复、校验价格/基本面/资金/宏观等可见数据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不能为了策略达标修改历史样本或单位口径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因子层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factor_research/factors、factory/fundamental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把数据转换成横截面或时序信号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不能直接写注册表或决定入册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统一引擎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core/engine.py、engine/metrics.py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执行 T+1、成本、换手、风险指标和净值计算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不能被各策略私自复制出不同口径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策略/规格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strategies、core/strategy_spec.py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把因子、择时、筛选、执行规则封装为可复现 spec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不能绕过 spec_hash 或改变执行填单语义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工厂/工作流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factory、workflow/promote.py、phase1-4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生成、验证、晋级候选，形成证据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不能把 LLM 输出直接当 alpha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审计/治理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core/analysis/nine_gates.py、governance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多重检验、样本外、holdout、trial ledger、状态机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不能事后移动边界或手填 trial 数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注册表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strategy_registry.py、strategy_versions.json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唯一记录策略版本、状态、证据和 executable spec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不能被页面或临时脚本随意替代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生产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runtime、run_daily.py、paper_engine.py、execution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读取部署清单和已验证规格，生成信号和模拟执行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不能在 deployment 不一致时继续出正式信号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服务与前端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api、services、web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提供 DTO、接口、页面、Agent 提案和用户操作入口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不能在展示层改成本、回测、准入或交易口径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EEF5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4E79"/>
                <w:sz w:val="21"/>
              </w:rPr>
              <w:t>通俗解释</w:t>
            </w:r>
          </w:p>
          <w:p>
            <w:pPr>
              <w:spacing w:after="40" w:line="288" w:lineRule="auto"/>
            </w:pPr>
            <w:r>
              <w:rPr>
                <w:rFonts w:ascii="Calibri" w:hAnsi="Calibri" w:eastAsia="PingFang SC"/>
                <w:color w:val="1F2937"/>
                <w:sz w:val="19"/>
              </w:rPr>
              <w:t>这套系统像一条带质检的生产线：数据是原料，因子是半成品，回测引擎是统一测试台，9-Gate 是质检部，注册表是仓库台账，部署清单是出货单，生产就绪是出厂闸门，Web 是控制室。现在的问题不是控制室不漂亮，而是出货单和仓库台账对不上，所以闸门应当关闭。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四、数据湖与数据口径</w:t>
      </w:r>
    </w:p>
    <w:p>
      <w:pPr>
        <w:spacing w:after="120" w:line="300" w:lineRule="auto"/>
      </w:pPr>
      <w:r>
        <w:rPr>
          <w:rFonts w:ascii="Calibri" w:hAnsi="Calibri" w:eastAsia="PingFang SC"/>
        </w:rPr>
        <w:t>A股日频量化的第一性问题不是公式，而是数据可见性和价格口径。系统把数据湖放在最底层，说明作者已经意识到：如果价格、成交额、复权、公告日、停牌、ST、上市日、资金数据可见时间处理不严，后面所有回测都可能只是漂亮幻觉。`lake/load_lake.py` 是主要加载入口，`lake/schema.py` 描述字段契约，`lake/invariants.py` 做写入前后的不变量检查，`lake/fingerprint.py` 给数据版本生成轻量指纹。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`load_prices()` 负责读取复权日线，优先使用 `data_lake/price/daily_all.parquet`，否则读取逐股票 parquet。加载后会经过 `apply_quarantine()` 和 `repair_ohlc()`，并统一理解 `volume=股`、`amount=元`。这非常关键，因为 A股历史数据源常见“成交量是手还是股”“成交额是千元还是元”的混乱，如果金额单位错一百倍，流动性因子、容量估算和交易成本都会被系统性扭曲。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`load_raw_close()` 则读取未复权价格。未复权价格在估值、成交额校验和订单规模计算中更接近真实交易语境。系统明确区分复权价和原始价，避免把用于收益计算的复权价拿去推导真实成交额，或者把真实成交价拿去做连续收益序列。对策略来说，这种分离看似繁琐，但它是实盘可信度的前提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`load_fundamental_panel()` 的重点是 PIT，也就是 point-in-time。它不是简单按财报期末日期把基本面贴到股票上，而是使用 `avail_date` 或公告日，把财务指标在真正可见后再 forward-fill 到交易日。通俗地说，系统不允许今天的研究员拿到未来才公告的利润表去买昨天的股票。`CLAUDE.md` 也反复强调真实口径不可动，`shift(1)`、T+1、公告日都不能为了达标而改。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`load_capital_panel()` 对资金类数据做 shift，因为融资融券、北向持仓等很多数据是盘后公布的。如果把盘后才知道的信息用于当天收盘前决策，就是轻微但致命的偷看。相反，`load_daily_basic_panel()` 对 `daily_basic` 采用同日对齐，因为它属于盘后由当日价格和成交推导出的 EOD 数据，其用途和可见时间不同。系统把这些细节写进不同 loader，而不是让策略作者临时决定。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`load_tushare_panel()` 通过 `TUSHARE_DATASETS` schema 判断某个数据集应该按交易日、公告日还是其他日期字段对齐。宏观数据则通过 `align_macro()` 区分月度和日度可见性，月度宏观默认到 M+2 月初才可见。这说明数据湖不是简单缓存 API 数据，而是在努力建立“什么时候知道什么”的时间轴。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`lake/invariants.py` 是数据质量守卫的集中地。`validate_price_amount_units()` 检查 `amount≈volume*raw_close`，并带有板块差异意识；`assert_price_panel_sane()` 会检查最近若干天横截面的异常跳变比例，防止全市场出现假崩盘或价格单位灾难。这里的设计思路是：数据错误不能等到策略回测异常才发现，应该在进入湖或从湖读取时尽早爆炸。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`scripts/data/update_lake.py` 是增量更新入口之一，会抓取 Tushare 日线、写逐股票 parquet、compact 到 daily_all、更新 manifest，并在写入前做价格单位检查。`lake/sources/tushare.py` 使用不依赖额外 SDK 的 HTTP 客户端，从环境变量或 gitignored 文件读取 token，并且单线程节流、硬 quota fail-fast。这符合生产数据任务的风格：宁愿慢一点、失败明确一点，也不要静默混入半截数据。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`scripts/ops/scheduled_daily_update.py` 是更偏生产的日更调度入口。它包含 lock file、China time gate、交易日历重建、价格/原始价/ETF/基本面/Tushare 增量更新、报告 NLP、信号、因子健康、纸面前向、paper trade、报告和告警等步骤。`STATUS.md` 里记录过日更卡在陈旧锁和旧解释器类型注解问题上，修复后数据补到 2026-06-22；这说明系统不仅有设计，也经历了真实运行故障。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当前 `factor_research/data_lake/_manifest.json` 显示 `_updated=2026-06-25T04:30:52`，`data_vintage.last_date=2026-06-24`，shape 为 `[3998, 5207]`，fingerprint 为 `3783d552311a`。这说明数据湖近期有可识别的数据版本。但数据新不等于生产可交易，生产还要过部署身份、治理、衰减、paper 和数据 issue triage。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数据对象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处理方式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为什么重要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复权日线 price_daily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用于连续收益和回测，加载后修复 OHLC 并应用 quarantine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收益序列必须连续且防止异常价格污染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未复权价 raw_close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用于成交额校验、估值和订单规模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交易成本和容量不能用复权价虚构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基本面 fundamental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按公告日/avail_date 后向可见，再映射到交易日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防止财报偷看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资金与北向 capital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盘后数据 shift(1)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防止当天决策使用盘后信息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daily_basic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EOD 同日对齐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价格派生数据与公告类数据可见性不同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宏观数据 macro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月度 M+2 可见，日度 forward-fill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宏观发布时间滞后必须进入模型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数据指纹 fingerprint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按面板形状、日期和抽样内容生成版本标识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使回测、部署、反馈可以绑定到数据版本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五、统一回测引擎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`core/engine.py` 是系统最重要的中枢之一。它的存在意义是把所有策略放到同一个交易假设和成本模型下比较，避免每个策略脚本自己写一套“看起来差不多”的回测逻辑。量化系统里，回测引擎不统一就等于尺子不统一，策略排名会被实现细节而不是 alpha 决定。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`CostModel` 默认买入成本 0.00225、卖出成本 0.00275、融资成本 0.065；`BacktestConfig` 控制起始窗口、默认杠杆 1.25 等参数；`PricePanel` 组织价格和原始价格；`Signal` 是策略输入的统一格式，支持 `decision_weights`、legacy `weights`、`factor`、`factor_builder`、timing、exposure cap 和 `execution_timing`。这套抽象把策略研究的自由度限制在“信号如何来”，而不是“交易规则能不能随手改”。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执行时间目前核心是 `T_PLUS_1_CLOSE`。`_map_decisions_to_fill_dates()` 只支持这一执行语义，意味着今天生成的决策要映射到下一交易日收盘成交。`core/strategy_spec.py` 也允许 `T_PLUS_1_CLOSE` 和 `T_PLUS_1_OPEN` 两个枚举，但注释明确生产和回测正在统一到 T+1 close；改变 fill 会改变 spec_hash。这种做法让执行假设成为策略身份的一部分，而不是一个可以悄悄换掉的参数。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回测循环的核心行为是：按日计算 close-to-close return，维护当前权重，应用 timing exposure 和 exposure cap，计算买卖换手，扣除买卖成本和融资成本，最后生成净收益、换手、成本、异常信息和指标。由于持仓、成本、杠杆、再平衡都在同一引擎里处理，策略之间的差异更接近“因子和规则差异”，而不是“代码写法差异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`engine/metrics.py` 负责指标。`compute_hit()` 对 standalone 策略采用很硬的阈值：年化收益大于 15%、最大回撤小于 20%。此外还有 Sortino、VaR、CVaR、skew、kurtosis、tail ratio、信息比率、beta、up/down capture、winner concentration 等机构指标。系统不是只看 Sharpe，因为真实组合可能死在尾部、集中度、市场 beta、下行捕获或持仓赢家过度集中上。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`core/strategy_spec.py` 的 `ExecutableStrategySpec` 把 family、version、universe、data、factor、selection、timing、policy、execution 等信息固化成不可变规格，并通过 canonical JSON 生成 sha256 `spec_hash`。`validate()` 会要求 `factor.shift&gt;=1`、fill 枚举合法、cost_model 必填、top_n/rebalance 正数。这个设计解决了一个常见生产问题：同名策略到底是哪一版参数、哪一种执行假设、哪一套成本。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通俗地说，统一引擎像同一个体检中心。每个策略都可以有自己的运动习惯和饮食结构，但体检项目、称重方法、血压计和判定阈值必须统一。否则一个策略用税前收益，一个策略用税后收益，一个策略当天成交，一个策略次日成交，比较结果就没有意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组件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功能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生产意义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CostModel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买卖成本、融资成本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把摩擦成本从口号变成每次换手的机械扣减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BacktestConfig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回测窗口、杠杆、执行配置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让参数显式存在，便于复现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Signal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统一承载因子、权重、择时、exposure cap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避免策略脚本各自定义输入语义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T_PLUS_1_CLOSE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决策日到成交日映射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防止同日偷看与不现实成交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BacktestResult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returns、turnover、cost、metrics、anomalies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让后续 9-Gate、报告和前端读取同一结果结构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ExecutableStrategySpec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不可变策略规格与 spec_hash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把策略身份、执行假设和证据绑定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六、因子、策略与可执行规格</w:t>
      </w:r>
    </w:p>
    <w:p>
      <w:pPr>
        <w:spacing w:after="120" w:line="300" w:lineRule="auto"/>
      </w:pPr>
      <w:r>
        <w:rPr>
          <w:rFonts w:ascii="Calibri" w:hAnsi="Calibri" w:eastAsia="PingFang SC"/>
        </w:rPr>
        <w:t>因子层是研究想法进入系统的第一站。仓库里有小盘、流动性、基本面、动量、质量、价值、微结构、资金流、股东行为、OHLC、gap reversal、market stress、Alpha DSL 等方向。系统的核心态度不是“多就是好”，而是要识别哪些信号是真正的新信息，哪些只是同一信息源换皮。`STATUS.md` 已经明确指出小盘、非流动、size-earnings 等有很强冗余，很多候选只是微盘/流动性信息的不同投影。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`factors/small_cap.py` 里的 small-cap factor 使用 `-log(amount rolling window mean)` 并做横截面标准化，本质上把低成交额、低流动性、小市值倾向转换成可排序信号。timing 逻辑使用小盘指数和移动均线，但必须 shift，防止当天收盘后才知道的趋势影响当天决策。这个因子方向过去看起来最接近可用，但在 DSR 和成本检验后仍未达到 standalone 门槛。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`strategies/small_cap.py` 是小盘策略的 canonical 实现之一。它通过 `BacktestEngine` 回测，默认 size_window 60、timing_ma 16、top_n 25、rebalance 20、leverage 1.25、exclude_star True。加载价格时会处理 raw_close 尾部缺失、amount 修复和科创板差异。`build_rebalance_weights()` 负责按因子排序选股、可选 veto、等权持仓。这个文件体现了系统的策略实现风格：策略自己定义信号和选择规则，但交易和成本交给统一引擎。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`strategies/catalog.py` 是可执行策略组件目录，包含 `amihud_illiquidity`、`small_cap_amount` 等 factor builder，`pure_trend_band`、`ma_trend` 等 timing builder，以及 `none`、`salience_covariance` 等 policy builder。未知类型会直接抛错，不做静默 fallback。这对生产很重要，因为静默 fallback 往往会让一个本该失败的 spec 悄悄退化成默认策略，最终生成看似合理但身份错误的信号。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`strategies/executable.py` 把 `ExecutableStrategySpec` 映射为实际可运行的 signal。这样做的关键不是代码优雅，而是生产可复现：部署清单只需要引用 family/version/spec_hash，加载器就能从注册表取 spec body，验证 hash，再构造策略。若 spec_hash 不一致，部署失败，而不是继续跑一个名字相同但实质不同的策略。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`factors/fundamental.py` 提供基本面因子，如净利润同比、收入同比、ROE、毛利率、BP proxy、EP proxy、CFO quality 等。它依赖 PIT fundamental cache，并且在估值类指标里使用 raw close。基本面方向比纯量价方向更容易引入公告日偷看，因此这里的价值不只是因子公式，而是公式背后的可见性管道。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`portfolio/strategy_runners.py` 维护研究目录和组合 runner，包括 small-cap、illiquidity、size-low-vol、国债 ETF 511010 MA60、黄金 ETF 518880 MA60、size-earnings 等。需要诚实地区分：这是研究与组合构建的目录，不是生产唯一事实源。生产 `run_daily.py` 应优先读取 `DeploymentManifest` 并校验注册身份；研究 runner 的 fallback 对探索有用，但不能被误当作“当前实盘一定在跑这些腿”。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系统中多次出现 illiquidity/Amihud 类策略，历史上它曾是主线 alpha，但当前台账已把 `illiquidity/v3.1` 降为参考。这里最容易误解：过去的报告里可能写 “LIVE”，旧配置注释也可能写 “current LIVE production config”，但系统最新事实是它不能再作为可部署 standalone alpha。报告必须把历史语境和当前事实拆开，否则会产生严重操作风险。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策略/因子方向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系统内角色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当前应如何理解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small-cap-size/v2.0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最接近有效的参考候选之一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年化和回撤看起来不错，但 DSR p≈0.086，未过 standalone 门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illiquidity/v3.1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历史主线、当前部署清单仍引用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注册表为“参考”，DSR 未过，部署 hash 漂移，应 fail-closed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hedged/diversifier 方向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过去用于组合分散和对冲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当前多已退役或参考，不能把低相关自动等同于可部署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国债/黄金 ETF 防御腿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跨资产防守与组合波动管理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研究报告显示曾有边际价值，但仍需当前台账和部署身份确认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基础面/行业/本体方向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扩展 alpha 搜索空间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需要独立 PIT、行业级审计和新 trial ledger 覆盖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七、自动研究工厂与 LLM 边界</w:t>
      </w:r>
    </w:p>
    <w:p>
      <w:pPr>
        <w:spacing w:after="120" w:line="300" w:lineRule="auto"/>
      </w:pPr>
      <w:r>
        <w:rPr>
          <w:rFonts w:ascii="Calibri" w:hAnsi="Calibri" w:eastAsia="PingFang SC"/>
        </w:rPr>
        <w:t>`factory/autoresearch` 是系统的自动研究工厂。它的核心对象是 Candidate，带有 AST、provenance、fingerprint、validation 状态和人工复核状态。候选状态包括 GENERATED、L0/L1/L2/L3 PASSED、SHELVED、DISCARDED、PROMOTED_TO_REVIEW、APPROVED、PROMOTING、PROMOTED_SHADOW、PROMOTE_FAILED、REJECTED_BY_HUMAN、RETIRED 等。这说明系统把“候选生命周期”当成正式对象，而不是把一次脚本输出当作临时结果。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LLM 在这里被严格限制为“提案者”。`services/actions/autoresearch_llm.py` 会把白名单 DSL、近期候选结局和 prompt 发给模型，但模型只能返回 JSON AST；随后必须经过 validate、泄露守卫、fingerprint 去重和真实验证线。未配置 LLM 时接口明确返回错误，不静默降级。`CLAUDE.md` 也强调 LLM 不能判断 alpha 真伪，不能替代统计审计。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验证线分为 L0-L3。`factory/lines/line2_validation/l0_ic_scan.py` 做 IC 初筛，`l1_quick_bt.py` 做快速回测，`l2_multi_regime.py` 看多 regime 表现，`l3_walk_forward.py` 做 walk-forward，`veto_triage.py` 处理否决器。每一级都不是为了保证候选最终能入册，而是为了尽早淘汰成本过高、信息泄露、样本外不稳或和已有 book 冗余的东西。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`metasearch`、information map、factor MI audit、unused signal tracer 等模块揭示了系统对“算力浪费”和“换皮因子”的警惕。`STATUS.md` 里明确说 21 个候选只有 13 个独立信息簇，约 38% 算力白算；最大冗余簇来自 `small_cap_factor` 多窗口互相 MI&gt;2.0。这类结论比单次策略收益更有价值，因为它把研究资源从重复探索转向新信息源。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人工复核工作台和 review queue 的存在说明系统没有把自动化等同于自动上线。候选可以进入复核，可以 approve/reject，但 approve 仍然不等于写 LIVE 台账；唯一入册通道仍是 workflow/promote 和 strategy_registry。通俗地说，LLM 可以提交论文题目，自动工厂可以做初审，人工可以同意继续研究，但毕业证必须由 9-Gate 和注册表发。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阶段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代表模块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它回答的问题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生成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generator、agent_loop、LLM actions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有没有可表达、可验证、未重复的候选想法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去重与守卫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fingerprint、guards、novelty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是不是换皮、泄露或非法 AST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L0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l0_ic_scan.py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横截面 IC 是否有最低统计信号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L1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l1_quick_bt.py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快速真实成本回测是否立刻死亡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L2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l2_multi_regime.py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不同市场环境是否都不是纯偶然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L3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l3_walk_forward.py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滚动样本外是否还能保持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复核/晋级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review_queue、workflow/promote.py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是否值得进入正式 phase1-4 和 9-Gate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八、四阶段晋级与 9-Gate</w:t>
      </w:r>
    </w:p>
    <w:p>
      <w:pPr>
        <w:spacing w:after="120" w:line="300" w:lineRule="auto"/>
      </w:pPr>
      <w:r>
        <w:rPr>
          <w:rFonts w:ascii="Calibri" w:hAnsi="Calibri" w:eastAsia="PingFang SC"/>
        </w:rPr>
        <w:t>`workflow/promote.py` 是从研究工厂到注册表的桥。它把 hypothesis/spec intake、phase1、phase2、phase3、phase4、可选 9-Gate 和 marginal ACTIVE/SHADOW 连接起来。重要的是，晋级不是一次回测成功就结束，而是一系列可失败、可留痕、可复跑的步骤。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`phase1_synthetic.py` 做合成数据和机制层面的反偷看检查，包括 timing shift、财务对齐、amount raw formula、warmup、退市覆盖等。它的目的不是证明策略赚钱，而是证明策略没有犯低级时序错误。很多量化灾难其实不是 alpha 不存在，而是代码把未来数据放进了今天。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`phase2_backtest.py` 把样本切成 IS、OOS 和 stress：典型范围是 IS 2018-2022、OOS 动态 2023 到 holdout 前、stress 2010-2017。它还做成本敏感性和与已注册策略的相关性检查，且数据必须 cut 到 holdout boundary 之前。这个阶段回答“在诚实成本和不偷看 holdout 的前提下，它是否还像一个策略”。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`phase3_wf.py` 做 3 年 train、1 年 test 的 walk-forward，并要求最少窗口数。walk-forward 的意义是模拟研究员在历史每个时点只用过去数据调参，再看未来一年表现。它比一次性全样本回测更接近真实研究过程，但仍不是最终胜利，因为多个候选、多次调参还要进入 DSR 和 PBO。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`phase4_register.py` 是正式登记前的收口：它保存 lessons、reproducibility meta，包括 git commit、Python deps、数据快照和 engine；如果前面 phase 失败，默认阻断，除非显式 force。若有 holdout_id，它还会触发 holdout gate。它最终通过 `strategy_registry.register()` 写台账，且 hit 候选不会自动升为“在册 standalone”，因为 DSR 通常还需要独立 9-Gate 回填。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`core/analysis/nine_gates.py` 是审计核心。Gate 0 检查数据缺失、inf、outlier 和偷看扰动；Gate 1 检查经济假设是否足够具体、可证伪；Gate 2 做单因子 Rank IC、Newey-West ICIR、衰减、单调性；Gate 3 做 size/industry 中性化；Gate 4 做 DSR/PSR 多重检验；Gate 5 用统一引擎做组合回测；Gate 6 做成本和容量；Gate 7 做样本外与压力测试；Gate 7A 做 purged/embargoed CV；Gate 8 生成实盘监控阈值。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Gate 4 的 DSR 是当前系统最关键的反自欺机关。普通 Sharpe 容易被多次试错放大：试了 100 个策略，总会有几个看起来漂亮。DSR 会把 trial 数、偏度、峰度、样本长度等因素考虑进去，要求策略在“你到底试了多少次”的背景下仍显著。当前 small-cap-size/v2.0 的 p≈0.086，就是典型的“看起来不错，但还差一口气”的例子。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`core/analysis/nine_gate_policy.py` 把 9-Gate 的最终裁决集中起来：只有 `passed_all is True` 才算 PASSED approved；缺失或非布尔是 PENDING fail-closed；`FAILED_TO_RUN` 是 RUN_FAILED；`passed_all=False` 是 FAILED。这个集中裁决避免某个页面或服务只看 DSR、只看 Sharpe、只看某个 gate 就误判通过。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`NineGatesReport.summarize()` 会持久化通过状态、DSR、DSR p、PSR、trial 数、walk-forward、CV、capacity、risk metrics、IC、neutralized ICIR、cost/capacity、bull/bear、live monitoring 等摘要。系统后续把这些摘要写入注册表和前端，而不是只把 Markdown 报告留在人眼阅读层。这是从“研究报告”走向“机器可治理”的关键。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门禁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检查内容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失败代表什么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0 数据审计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NaN、Inf、极端值、扰动反偷看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数据或时序基础不可信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1 假设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经济机制、可证伪性、非空 thesis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只是公式搜索，没有可解释机制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2 单因子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Rank IC、NW-ICIR、单调性、衰减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因子本身没有稳定横截面预测力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3 中性化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Size/industry 后残差信号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收益可能只是风格或行业暴露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4 多重检验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DSR、PSR、trial 数惩罚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漂亮结果可能是多次试错偶然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5 组合回测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统一引擎、真实成本、风险指标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落到组合层不可交易或风险失衡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6 成本容量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成本压力、sqrt impact、AUM 曲线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小资金好看但放大后消失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7 OOS/压力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walk-forward、regime、delay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样本外或压力期失效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7A CV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purged/embargoed rolling origin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交叉验证不稳或存在泄露风险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Gate 8 监控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live IC、风格漂移、衰减阈值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即使入册也缺少上线后退出规则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九、注册表、治理、holdout 与部署身份</w:t>
      </w:r>
    </w:p>
    <w:p>
      <w:pPr>
        <w:spacing w:after="120" w:line="300" w:lineRule="auto"/>
      </w:pPr>
      <w:r>
        <w:rPr>
          <w:rFonts w:ascii="Calibri" w:hAnsi="Calibri" w:eastAsia="PingFang SC"/>
        </w:rPr>
        <w:t>`strategy_registry.py` 是策略台账的唯一写入口。它采用 family/version 两级结构，`register_family()` 负责母策略，`register()` 负责版本。注册时会用 `engine.metrics.compute_hit()` 重算 hit，不接受外部手填 hit 作为事实。status 为“在册”的 standalone 必须满足 hit 且 `nine_gate.dsr_p &lt; 0.05`；diversifier 则必须提供组合边际 rationale，例如负相关或组合夏普增量。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这套双轨准入制度很重要。Standalone 是“单体策略自己足够强”，要求硬收益、回撤和 DSR；diversifier 是“单体可能不强，但对组合有真实边际价值”，它不靠单体 DSR，而靠组合增量和 rationale。这样可以避免两个极端：一方面不把低收益对冲腿按 standalone 错杀，另一方面也不让一个未通过 DSR 的高收益候选借“组合有用”之名混入实盘。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`demote_dsr_insignificant_standalone()` 会把存量中 DSR 不显著或缺失的 standalone 从“在册”降为“参考”，保留历史绩效、配置和 nine_gate，但移出有效 alpha 池。`STATUS.md` 记录了 2026-06-22 的一次关键整改：standalone 准入强制 DSR 后，多个历史在册 standalone 被降级，系统承认“全池目前无可实战 alpha”。当前 JSON 进一步显示没有“在册”版本，说明台账已更严格。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`governance/holdout.py` 管理 holdout 边界，默认边界来自 settings，当前文档中多处提到 2025-01-01。搜索必须发生在 boundary 之前，`assert_search_clean()` 会检查；holdout 验证只能在候选身份、spec_hash、data_fingerprint 可追溯时进行，并写 JSONL。边界迁移只能向前，且记录 append-only 历史。这是在防止“看了考卷再改复习范围”。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`governance/trial_ledger.py` 记录诚实试验次数，配合 DSR/PBO 使用。`control_events.py` 和 `state_machine.py` 用 append-only 事件和合法状态迁移管理策略生命周期。`governance/decay.py` 负责滚动 3 年 Sharpe 等衰减检查。治理层的重点不是多一个报表，而是把“谁什么时候为什么允许或阻断”变成可追溯事件。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`runtime/deployment.py` 刻意区分“已注册策略”和“当前部署”。注册表回答哪个版本通过证据门，部署清单回答现在到底跑哪几条腿。`load_active_deployment()` 会检查 manifest 是否 active、legs 是否完整、registry 中是否存在该 family/version、状态是否可部署、是否有 executable_spec.spec_hash、manifest hash 是否与注册 hash 一致。任一失败就抛 `DeploymentNotReady`。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`runtime/production_readiness.py` 在部署身份之外还检查数据日期、预期交易日、治理状态、衰减状态、paper 状态、交易日状态和数据 issue 状态。它把 unknown、unreadable、identity_or_stale、data_issue block 等都当成阻断或警告。这个模块体现了生产哲学：缺信息不是绿灯，缺信息通常是黄灯或红灯。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当前最重要的治理事实是部署清单和注册表不一致。`deployments/production.json` 仍有 active manifest，leg 指向 `illiquidity/v3.1`，spec_hash 为 `4f667d...`；注册表中该版本状态为“参考”，spec_hash 为 `c9b026...`；`reports/decay_status.json` 也写明部署与注册身份漂移，并且整体 status 为 red。因此，系统若正确执行 readiness，正式信号应被阻断。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治理对象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代码/文件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当前观察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注册表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factor_research/strategy_versions.json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25 个 family、44 个版本；无“在册”版本；多数为参考或候选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部署清单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factor_research/deployments/production.json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active 但仍指向 illiquidity/v3.1，且 hash 与注册表不一致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衰减报告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factor_research/reports/decay_status.json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status=red，并记录 deployment_identity_error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 manifest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factor_research/data_lake/_manifest.json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data_vintage last_date=2026-06-24，fingerprint=3783d552311a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生产就绪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runtime/production_readiness.py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把部署、数据、治理、衰减、paper、data issue 合并成 allowed/blocking_reasons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十、组合、风控、容量与执行</w:t>
      </w:r>
    </w:p>
    <w:p>
      <w:pPr>
        <w:spacing w:after="120" w:line="300" w:lineRule="auto"/>
      </w:pPr>
      <w:r>
        <w:rPr>
          <w:rFonts w:ascii="Calibri" w:hAnsi="Calibri" w:eastAsia="PingFang SC"/>
        </w:rPr>
        <w:t>单一因子通过回测并不等于组合可用。`portfolio/composer.py` 提供 equal_weight、risk_parity、capped_weight、regime_adaptive 等组合方式，其中 capped_weight 用防御资产上限避免低波债券或黄金在 risk parity 里被灌满。`STATUS.md` 也记录过国债和黄金防御腿适合 capped 30% 之类的讨论，这说明系统已经从“单腿收益”走向“组合边际贡献”。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`portfolio/cross_asset.py` 搜索跨资产 ETF 腿，例如 511010 国债、518880 黄金、159920 恒生、510880 红利、513100 纳指，并在 MA20/40/60/120/240 中寻找对 active book 的边际 ΔSharpe，而不是按单体 Sharpe 排名。它会要求相关性低、边际改善明显，符合“组合需要的是补充风险，而不是再买同一个赌注”的思想。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`portfolio/regime_gate.py` 提供小盘 regime gate，但默认关闭。历史测试说明，把小盘弱时切大盘并不一定降低回撤，因为大盘也可能同跌。系统对 regime gate 的态度是观察和研究，而不是因为听起来合理就直接 live。这里体现了一个重要原则：风险控制也要经过证据，不是所有复杂机制都自动更安全。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`portfolio/optimizer.py` 使用多目标优化，把 alpha、因子风险、specific risk、交易成本、market impact、换手等纳入目标。容量相关目录包括 crowding、dollar capacity、live vs backtest gap、participation、decay。A股小盘/非流动策略最常见的问题就是“纸面收益高，但容量小、冲击大、拥挤快”，因此容量不是附录，而是决定策略是否可用的主门。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`run_daily.py` 是生产信号生成入口。它加载 active deployment 和 spec，若 `DeploymentNotReady` 则拒绝；加载数据并验证样本；构造 executable strategy；计算因子、择时、veto、持仓；决定是否再平衡；写入包含 deployment_id、spec_hash、data_fingerprint 的 signal。调用 readiness 后，若 allowed 才写正式 `signals/YYYY-MM-DD.json` 和 state；否则只写 draft。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需要指出，`run_daily.py` 文件头和 `app_config/settings.yaml`、`settings.py` 仍有 `illiquidity v3.1`、`current LIVE`、`registry 状态=在册` 等历史文字。按当前 STATUS 和注册表，这些注释/默认值已经不可信。正确做法不是相信注释，而是相信 deployment + registry + readiness 的组合校验。后续应把这些历史文案同步，否则前端、运维和新 agent 很容易误判。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`portfolio/paper_engine.py` 是模拟盘执行引擎，处理 T+1 settlement、raw prices、开收盘 fill mode、停牌、涨跌停、ETF 债券腿、100 股 lot、成本配置等。它被 CLI 和 Web 共用。`execution/order_simulator.py` 进一步模拟 A股执行约束，包括 suspensions、limit up/down、slippage。`execution` 下还有 algo_router、broker_adapter、kill_switch、pre_trade_check、TCA/post_trade_audit 等更接近实盘执行的结构。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当前 `factor_research/paper/account.json`、trades.csv、band_shadow.csv、nav.csv 存在，但是否代表当前部署身份，需要结合 paper last_exec 的 deployment_id/family/version/spec_hash 检查。`production_readiness.py` 已经设计了 expected identity 校验：paper 如果与当前部署身份不一致，应返回 identity_mismatch，而不是因为账户文件存在就绿灯。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生产/组合环节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它控制什么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关键风险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composer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多策略/多资产权重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低波资产过度占比、重复风险暴露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cross_asset search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防御腿和低相关资产搜索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把已有 ACTIVE 腿再次当新发现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capacity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冲击成本、成交参与率、AUM 曲线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小资金曲线无法扩展到真实规模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run_daily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正式信号生成和发布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旧 LIVE 文案与当前台账冲突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paper_engine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模拟交易、持仓、成本和成交限制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paper 身份与当前部署不一致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readiness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上线前总闸门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unknown 被误当 green；正确设计是 fail-closed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十一、API、服务层和 Web 前端</w:t>
      </w:r>
    </w:p>
    <w:p>
      <w:pPr>
        <w:spacing w:after="120" w:line="300" w:lineRule="auto"/>
      </w:pPr>
      <w:r>
        <w:rPr>
          <w:rFonts w:ascii="Calibri" w:hAnsi="Calibri" w:eastAsia="PingFang SC"/>
        </w:rPr>
        <w:t>`api/main.py` 是 FastAPI 入口，默认给 localhost:3000/3001 开 CORS，挂载 strategies、factors、backtest、data、state、portfolio、paper、risk、experiments、agent、settings、trade_readiness、governance 等 routers，并提供 health。它把研究系统的事实通过 HTTP 暴露给 Web，但不应该把复杂计算放到前端。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`contracts/views.py` 定义 Pydantic DTO，包括 BacktestResult、StrategyView、StrategyDetailView、FactorView、DataQualityView、StockProfileView、FactorHealthView、MarketStateView、PortfolioView、RiskReport、实验漏斗、假设、注册实验、研究运行、草稿、复核、工作项、TradePlan、Paper、NAV、TradeReadiness、Governance 等。DTO 的意义是把后端事实变成稳定接口，让前端不直接读内部文件。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`services/read/*` 是只读服务层，例如 registry、trade_readiness、portfolio、risk、state、factors、experiments。`services/read/trade_readiness.py` 已经把真实 decay status、成本/流动性未知状态、governance gate、production readiness 纳入视图，而不是随便返回绿色。`services/actions/*` 则提供受保护动作，如 run_backtest、autoresearch、LLM、research_workspace，并通过 action token 控制。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`services/agent/*` 实现 LLM adapter、tools、planner、sessions、context、knowledge、output。它让 AgentPanel 可以回答问题、提建议和引用证据，但系统约束仍是“LLM 是助手，不是执行器”。这条边界对金融系统尤其重要：LLM 可以帮助解释为什么 readiness 红灯，不能替你把红灯改成绿灯。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Web 子项目使用 Next.js 14、React、TypeScript、Tailwind。`web/CLAUDE.md` 规定开发命令是 `npm run dev`、`npx tsc --noEmit`、`npm run lint`、`npm run test`；开发期禁止在 dev 运行时跑 `npm run build`，因为会污染 `.next` 缓存。它也明确前端不得改变研究口径，Agent 右栏只提案不执行。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`web/lib/api.ts` 是前端 API client，默认 BASE 为 `http://127.0.0.1:8011`，通过 `get/post/patch` 调后端。受保护动作会先从 `/settings/action-token` 获取 token，再带 header 调用。它包含 strategies、strategyDetail、factors、dataQuality、strategyHealth、marketState、portfolio、paperPlan、paperTrades、paperNav、risk、experiments、autoresearch、LLM、island search、settings、agent 等接口。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`web/lib/nav.ts` 当前有 8 个主页面和 settings：今日操作台、组合风控、信号审计、策略台账、因子研究、回测实验、数据健康、系统治理、系统设置。`web/app/layout.tsx` 构成三栏 shell：Sidebar、TopBar、main、AgentPanel。`Sidebar.tsx` 有 ops/rd 模式，当前主要页面在两个模式下都可见。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`AgentPanel.tsx` 会把 sessions 存到 localStorage，调用 agent session API，并展示 disclaimer：AI 仅供研究与审计参考，不替代有效性裁决，不构成交易建议。这个免责声明不是形式主义，而是和后端 R-LLM-001 相互呼应：AI 不决定 alpha，不批准交易，不绕过 readiness。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前端近期重构成“Alpha 审计驾驶舱”，但需要诚实标注：若干页面仍混有 mock、fallback 或硬编码展示。比如 `factor-research/page.tsx` 中存在 mock factorDetails、style correlations、experimentQueue；`system-governance/page.tsx` 有硬编码 CI guard status、deployment version/commit；`dashboard/page.tsx` 有行业、ADV、spec hash 等兜底显示。这些不一定影响后端研究结论，但会影响用户对“当前系统真实状态”的判断，后续应尽快把展示层全部接到后端事实。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页面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用户看到的能力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需要注意的真实性边界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dashboard 今日操作台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交易就绪、建议动作、持仓、Top25、执行风险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部分 fallback 字段可能不是实时事实；最终看 readiness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portfolio-risk 组合风控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小盘、流动性、集中度、风险报告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风险指标应以后端 risk API 为准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signal-audit 信号审计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信号追溯、筛选流水线、Top25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应绑定具体 deployment_id/spec_hash/data_fingerprint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strategy-registry 策略台账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版本生命周期、9-Gate、注册证据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必须读 strategy_versions.json，不可用旧 seed_registry 替代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factor-research 因子研究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IC、分组、相关、因子库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当前仍有 mock/示意数据，需要接实盘数据源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backtest-lab 回测实验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参数实验、样本外、真实口径偏差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回测口径必须来自 BacktestEngine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data-health 数据健康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交易日、PIT、数据管道状态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数据新不等于 production allowed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system-governance 系统治理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部署、CI、架构依赖、治理状态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硬编码绿灯必须移除或显式标为占位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settings 系统设置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成本、风控阈值、LLM 密钥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不能通过 UI 改变研究宪法和准入门槛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十二、当前状态、真实风险与建议</w:t>
      </w:r>
    </w:p>
    <w:p>
      <w:pPr>
        <w:spacing w:after="120" w:line="300" w:lineRule="auto"/>
      </w:pPr>
      <w:r>
        <w:rPr>
          <w:rFonts w:ascii="Calibri" w:hAnsi="Calibri" w:eastAsia="PingFang SC"/>
        </w:rPr>
        <w:t>当前系统最值得肯定的地方，是它已经能通过机制承认“没有合格策略”。这在量化系统里很少见，因为大多数研究框架会不断调参直到曲线好看。这里的注册表、DSR 门、holdout、trial ledger 和 deployment fail-closed 共同构成了反 p-hacking 机制。系统拒绝假 alpha 不是失败，而是基础设施在起作用。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但也必须指出，系统现在存在事实源漂移。旧注释、旧配置和部署清单仍有 `illiquidity/v3.1 LIVE` 的影子；最新台账和 STATUS 又说它是参考、不可部署、hash 漂移。对于生产系统，这是 P0 级别的可理解性风险：代码可能安全地 fail-closed，但用户和新 agent 可能被旧文字误导。建议把 `app_config/settings.yaml`、`settings.py`、`run_daily.py` 头部文案、前端文案和部署清单统一清理。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第二个风险是前端“看起来完整”但部分内容不是实时后端事实。驾驶舱式 UI 对用户有强暗示：绿色、版本号、部署状态、CI 通过率都会被理解为真实状态。如果这些字段来自 hardcode 或 mock，就算后端正确，也会产生错误决策。建议在所有 mock/fallback 字段旁明确标注“占位/暂无实时源”，或者直接隐藏，直到 API 打通。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第三个风险是研究目录和生产目录的边界容易混淆。`portfolio/strategy_runners.py` 的 fallback 对研究方便，但生产应该只相信 deployment manifest + registry + readiness。如果某个 CLI 或页面在 deployment fail-closed 时又从研究目录跑出 active returns，必须在名称和输出上明确“research view”，不能叫 production live。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第四个风险是历史报告很多，而且有些历史结论已经被后续治理推翻。例如早期记录可能显示 illiquidity 或某些 hedged 母策略入册，后续 ADR 和 DSR 守卫又把它们降级或退役。报告、页面和 onboarding 文档需要加“截至日期”和“当前事实源”标记，否则读者会把 6 月 14 日的组合讨论当成 6 月 25 日的生产事实。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第五个风险是系统复杂度上升后，用户可能只看最终红绿灯而不理解原因。生产就绪红灯可能来自数据 stale、deployment identity、governance DSR、decay、paper identity、data issue、trading day 等不同来源。建议前端把 blocking_reasons 显示成可点击的证据链：点开能看到哪个文件、哪个字段、哪个检查导致阻断。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第六个风险是 trial ledger 和 holdout 对历史策略覆盖不完整。`STATUS.md` 提到过一些历史搜索发生在 trial 账本存在之前，导致补跑 Nine-Gate 被诚实拒绝。这是正确行为，但也意味着历史策略若想重新部署，必须走一次被新账本覆盖的完整搜索、9-Gate 和 holdout，而不是靠旧成绩恢复 live。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第七个风险是成本和容量对小盘/非流动方向非常敏感。small-cap-size 看起来接近有效，但换手和成本衰减高，DSR 又未过。系统应该继续把“容量、冲击、成交参与率、真实订单约束”放在核心位置，而不是只追求更高回测年化。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建议的整改优先级是：先统一事实源，移除或更新旧 LIVE 文案和过期部署清单；再把前端 mock/fallback 收敛到显式占位；然后建立一个“当前真相 API”，直接返回 registry status、deployment identity、readiness、data vintage、decay、paper identity、last signal；最后把每个阻断原因链接到证据文件和修复动作。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证据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建议动作</w:t>
            </w:r>
          </w:p>
        </w:tc>
        <w:tc>
          <w:tcPr>
            <w:tcW w:type="dxa" w:w="2469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优先级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部署身份漂移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production.json 指向 illiquidity/v3.1；registry 状态参考且 hash 不同；decay_status red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更新/撤下旧部署清单，或重新走完整合规流程生成新 deployment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旧 LIVE 文案误导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settings.yaml/settings.py/run_daily.py 中仍有 current LIVE 字样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把历史文案改为当前事实，或标注为 deprecated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P0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前端硬编码绿灯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system-governance、factor-research、dashboard 有 mock/fallback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接后端 API；未接通前标注占位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研究/生产视图混淆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strategy_runners fallback 与 production manifest 并存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页面和 CLI 明确 research/prod 标签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历史报告结论过期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reports/research 与 STATUS 记录大量不同日期结论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所有报告页面显示 as_of 与事实源优先级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P1</w:t>
            </w:r>
          </w:p>
        </w:tc>
      </w:tr>
      <w:tr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小盘成本容量敏感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small-cap-size DSR 未过且成本衰减高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继续用成本/容量/DSR 卡住，不绕门</w:t>
            </w:r>
          </w:p>
        </w:tc>
        <w:tc>
          <w:tcPr>
            <w:tcW w:type="dxa" w:w="2469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十三、用户反馈闭环与术语表</w:t>
      </w:r>
    </w:p>
    <w:p>
      <w:pPr>
        <w:spacing w:after="120" w:line="300" w:lineRule="auto"/>
      </w:pPr>
      <w:r>
        <w:rPr>
          <w:rFonts w:ascii="Calibri" w:hAnsi="Calibri" w:eastAsia="PingFang SC"/>
        </w:rPr>
        <w:t>面向 Producer 场景，系统后续的产品化重点不是再写更多策略，而是建立闭环：目标用户是谁、他们最关心哪些钩子、反馈如何回到研究和生产。目标用户可以分为三层：研究用户关心候选为什么失败、下一步研究什么；运营用户关心今天能不能发信号、阻断原因是什么；系统所有者关心当前是否有可实战 alpha、风险是否被诚实披露。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最能打动目标用户的内容钩子有四个。第一，系统会诚实说“不通过”，而不是粉饰。第二，每个结论有证据链：数据 vintage、spec_hash、trial 数、DSR、holdout、readiness。第三，研究失败会变成 lessons 和 metasearch 信息，减少下一轮重复试错。第四，前端把复杂审计变成可操作的驾驶舱，但不越权改变后端事实。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闭环机制应该从用户问题开始。例如用户问“为什么今天不能交易”，系统不应只说 red，而应展示：deployment_identity: hash mismatch；governance: not_registered；decay: red；paper: identity_mismatch；data_issue: unknown。用户确认后，系统生成工作项：清理部署清单、重新跑合规搜索、更新前端文案、补齐 data_issue_triage。工作项完成后，readiness 再次刷新。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研究闭环则从候选失败开始。一个候选在 L1 死于成本，应把换手、成本敏感性、失败 regime 写回 candidate；在 Gate 4 死于 DSR，应记录 trial_count、p 值和相近候选，避免继续换参数刷同一簇；在 Gate 6 死于容量，应进入“容量不足但可小资金观察”标签，而不是直接宣传为 alpha。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前端闭环应把 AgentPanel 用作解释器和工作项生成器，而不是决策器。Agent 可以回答“这个阻断原因是什么意思”“下一步该补哪个证据”“哪些页面还在用 mock”，但不能把候选批准入册，不能改 DSR 阈值，不能发布信号。这样既利用 LLM 的解释能力，又不让它进入金融裁决链。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术语上，alpha 指扣除已知风险、成本和多重检验后仍存在的超额收益；factor 是用于排序或择时的信号；strategy 是把 factor、选择、择时、权重、执行和成本组合起来的规则；spec_hash 是策略身份指纹；DSR 是多重检验后的 Sharpe 显著性修正；holdout 是最终保留的考试集；readiness 是生产总闸门；fail-closed 是信息不足或身份不一致时默认不放行。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用一句通俗话收尾：这套系统现在最重要的资产不是某条曲线，而是它不轻易相信曲线。它已经把“数据是否真实可见、回测是否统一、试错是否被惩罚、上线身份是否一致、前端是否只是展示”这些问题写进代码。下一步的重点，是把当前事实源全部对齐，让用户在页面上看到的每个绿色、红色、版本号和策略状态都能追溯到机器可验证的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术语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专业含义</w:t>
            </w:r>
          </w:p>
        </w:tc>
        <w:tc>
          <w:tcPr>
            <w:tcW w:type="dxa" w:w="3293"/>
            <w:shd w:fill="E8EEF5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/>
                <w:color w:val="1F2937"/>
                <w:sz w:val="19"/>
              </w:rPr>
              <w:t>通俗理解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PIT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Point-in-time，只使用当时已经可见的数据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不拿未来公告来买过去股票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T+1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决策和成交跨到下一交易日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今天想好，明天才能成交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DSR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Deflated Sharpe Ratio，多重检验惩罚后的显著性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试了很多次以后，还算不算真厉害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spec_hash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可执行策略规格的哈希身份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同名策略的身份证号码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registry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策略版本、状态、证据台账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策略户口本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deployment manifest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当前生产准备跑的策略腿清单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出货单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readiness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生产前综合闸门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所有证件都齐了才放行</w:t>
            </w:r>
          </w:p>
        </w:tc>
      </w:tr>
      <w:tr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fail-closed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异常、缺失或不一致时默认阻断</w:t>
            </w:r>
          </w:p>
        </w:tc>
        <w:tc>
          <w:tcPr>
            <w:tcW w:type="dxa" w:w="3293"/>
            <w:tcBorders>
              <w:top w:sz="4" w:val="single" w:color="D9E0E8"/>
              <w:left w:sz="4" w:val="single" w:color="D9E0E8"/>
              <w:bottom w:sz="4" w:val="single" w:color="D9E0E8"/>
              <w:right w:sz="4" w:val="single" w:color="D9E0E8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PingFang SC"/>
                <w:b w:val="0"/>
                <w:color w:val="1F2937"/>
                <w:sz w:val="19"/>
              </w:rPr>
              <w:t>不确定就不交易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附录：源码地图式补充说明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lake/load_lake.py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这个模块是数据读取的主入口。它的职责不是简单把 parquet 读成 DataFrame，而是在读取时执行口径统一、异常修复和可见性约束。价格面板、未复权价格、基本面、资金、Tushare 数据和宏观数据的对齐方式都在这里体现。任何新因子如果绕过这个入口直接读临时 CSV，就很容易破坏 PIT 或单位口径。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lake/schema.py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schema 是数据湖契约。它告诉系统哪些字段属于价格、raw price、fundamental、daily_basic、Tushare dataset、macro 或 meta。schema 的价值在于减少隐式约定，让数据更新、加载、校验和下游因子可以围绕同一字段语义工作。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lake/invariants.py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不变量模块相当于数据质检员。它尤其关注 amount 与 volume/raw_close 是否匹配、横截面是否出现系统性假跳变。A股数据源复杂，一次单位错位就可能让流动性因子从真实 alpha 变成数据错误，因此这些检查非常必要。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core/engine.py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统一引擎把策略信号转成可比净值。它把 T+1、成本、换手、杠杆、融资、timing exposure、异常记录和指标输出放在一起，是整个系统的公平测试台。没有这个统一引擎，策略之间的比较就可能只是代码口径比较。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engine/metrics.py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指标模块把 hit、风险指标、尾部指标和集中度指标标准化。它防止系统只看年化或 Sharpe，也让注册表可以机械重算 hit，避免人为手填达标。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core/strategy_spec.py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可执行规格把策略从“名字和参数”升级为“可哈希、可验证、可部署的身份”。它要求 shift、fill、成本、top_n、rebalance 等关键参数显式化；只要执行假设变化，spec_hash 就变化。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strategies/catalog.py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catalog 是 spec 到实际 builder 的桥。它不允许未知组件静默 fallback，这种硬失败很重要，因为生产系统里最危险的 bug 往往是“看起来没报错，但实际跑了另一个默认逻辑”。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strategies/executable.py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executable 将 spec 映射为 BacktestEngine 可消费的 Signal。它让生产部署可以从注册表读取 spec body，而不是依赖某个脚本里散落的参数。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workflow/promote.py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promote 是研究到台账的唯一正式桥梁。它把假设、四阶段验证、九门禁和边际评估串起来，避免候选从某个实验脚本直接跳到注册表。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workflow/phase1_synthetic.py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第一阶段用合成数据抓偷看和对齐错误。这个阶段的价值经常被低估，因为它不产生漂亮收益，但能在最早期发现会让所有后续结果作废的时序 bug。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workflow/phase2_backtest.py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第二阶段把样本切成 IS、OOS 和 stress，并做成本敏感性和相关性审查。它要求数据在 holdout 前截断，避免研究过程污染最终考试集。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workflow/phase3_wf.py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第三阶段用 walk-forward 模拟真实滚动研究。它不保证最终通过，但能淘汰很多只在全样本调参后才好看的候选。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workflow/phase4_register.py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第四阶段负责把证据、reproducibility meta、lessons 和 candidate 信息收口到注册动作。它不会让 hit 候选自动成为在册 standalone，因为 DSR 必须由独立审计补齐。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core/analysis/nine_gates.py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九门禁是系统反自欺的核心。它从数据、假设、单因子、中性化、多重检验、组合回测、成本容量、样本外压力、交叉验证和实盘监控多个角度审查候选。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core/analysis/nine_gate_policy.py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唯一裁决策略把 passed_all 的解释集中化。它避免不同服务或页面各自按局部指标判定通过，从而造成“页面 PASS、台账 FAIL”的冲突。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governance/holdout.py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holdout 模块保护最终考试集。它要求搜索干净、验证身份可追溯、边界迁移只能向前，并通过 JSONL 留痕。它解决的是研究者最难自律的问题：看过未来后还假装没看过。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governance/trial_ledger.py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trial ledger 记录试错次数。DSR 和 PBO 只有在知道试了多少次时才有意义，因此旧策略如果缺少 trial 覆盖，就不能随便补跑并宣称合规。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strategy_registry.py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注册表是系统事实中心。它用 family/version 记录版本，重算 hit，强制 standalone DSR，支持 diversifier rationale，附加 nine_gate、data incident、decay、catalog status 和 executable spec。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runtime/deployment.py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部署模块把“注册过”和“现在要跑”分开。它校验 manifest、状态、spec_hash 和注册记录，任何不一致就抛 DeploymentNotReady。这是当前 illiquidity/v3.1 问题应被阻断的机制基础。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runtime/production_readiness.py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readiness 把数据日期、交易日、治理、衰减、paper、data issue、部署身份合并成 allowed/blocking_reasons。它的价值在于把生产放行从人工直觉变成可解释闸门。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run_daily.py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生产信号脚本读取 deployment 和 spec，构造策略并生成信号。当前文件内存在旧 LIVE 文案，这些文案应被清理；脚本的正确行为应当以 deployment/readiness 结果为准。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portfolio/paper_engine.py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模拟盘引擎处理 T+1、停牌、涨跌停、lot、成本和 ETF 腿。它使 paper forward 不只是净值曲线，而是接近真实交易约束的账户模拟。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execution/order_simulator.py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订单模拟器补充 A股执行细节，包括停牌、涨跌停和滑点。未来若接真实券商接口，pre-trade、kill switch 和 TCA 将成为核心保护层。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api/main.py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FastAPI 主入口把后端能力暴露给前端。它的职责是组织路由和 CORS，不应承载量化口径本身。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contracts/views.py</w:t>
      </w:r>
    </w:p>
    <w:p>
      <w:pPr>
        <w:spacing w:after="120" w:line="300" w:lineRule="auto"/>
      </w:pPr>
      <w:r>
        <w:rPr>
          <w:rFonts w:ascii="Calibri" w:hAnsi="Calibri" w:eastAsia="PingFang SC"/>
        </w:rPr>
        <w:t>DTO 合约让前后端用同一结构沟通。没有 DTO，前端很容易直接读内部文件或猜字段，系统就会变脆。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services/read</w:t>
      </w:r>
    </w:p>
    <w:p>
      <w:pPr>
        <w:spacing w:after="120" w:line="300" w:lineRule="auto"/>
      </w:pPr>
      <w:r>
        <w:rPr>
          <w:rFonts w:ascii="Calibri" w:hAnsi="Calibri" w:eastAsia="PingFang SC"/>
        </w:rPr>
        <w:t>只读服务层负责把注册表、风险、ready、paper、实验等事实包装成 API 视图。它应坚持 unknown 不伪装成 green。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services/actions</w:t>
      </w:r>
    </w:p>
    <w:p>
      <w:pPr>
        <w:spacing w:after="120" w:line="300" w:lineRule="auto"/>
      </w:pPr>
      <w:r>
        <w:rPr>
          <w:rFonts w:ascii="Calibri" w:hAnsi="Calibri" w:eastAsia="PingFang SC"/>
        </w:rPr>
        <w:t>动作服务层负责回测、自动研究、LLM、研究工作区等有副作用操作，并通过 action token 保护。它是前端按钮和后端任务之间的边界。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services/agent</w:t>
      </w:r>
    </w:p>
    <w:p>
      <w:pPr>
        <w:spacing w:after="120" w:line="300" w:lineRule="auto"/>
      </w:pPr>
      <w:r>
        <w:rPr>
          <w:rFonts w:ascii="Calibri" w:hAnsi="Calibri" w:eastAsia="PingFang SC"/>
        </w:rPr>
        <w:t>Agent 服务层提供上下文、工具、规划和输出，但它不能进入 alpha 裁决链。它适合解释、总结、提出下一步，不适合批准交易。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web/lib/api.ts</w:t>
      </w:r>
    </w:p>
    <w:p>
      <w:pPr>
        <w:spacing w:after="120" w:line="300" w:lineRule="auto"/>
      </w:pPr>
      <w:r>
        <w:rPr>
          <w:rFonts w:ascii="Calibri" w:hAnsi="Calibri" w:eastAsia="PingFang SC"/>
        </w:rPr>
        <w:t>前端 API client 统一所有后端请求，默认连接 8011。受保护动作会先取 action token。它体现了前端只调 API、不做量化计算的原则。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web/app/dashboard/page.tsx</w:t>
      </w:r>
    </w:p>
    <w:p>
      <w:pPr>
        <w:spacing w:after="120" w:line="300" w:lineRule="auto"/>
      </w:pPr>
      <w:r>
        <w:rPr>
          <w:rFonts w:ascii="Calibri" w:hAnsi="Calibri" w:eastAsia="PingFang SC"/>
        </w:rPr>
        <w:t>今日操作台聚合 readiness、paper plan、risk、策略详情等信息。它是用户最容易误判的页面，因此所有 fallback 字段都应明显标注来源。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web/app/strategy-registry/page.tsx</w:t>
      </w:r>
    </w:p>
    <w:p>
      <w:pPr>
        <w:spacing w:after="120" w:line="300" w:lineRule="auto"/>
      </w:pPr>
      <w:r>
        <w:rPr>
          <w:rFonts w:ascii="Calibri" w:hAnsi="Calibri" w:eastAsia="PingFang SC"/>
        </w:rPr>
        <w:t>策略台账页展示版本、生命周期和九门禁，适合做研究治理入口。它必须严格以 strategy_versions.json/API 为事实，不应使用历史 seed。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web/app/factor-research/page.tsx</w:t>
      </w:r>
    </w:p>
    <w:p>
      <w:pPr>
        <w:spacing w:after="120" w:line="300" w:lineRule="auto"/>
      </w:pPr>
      <w:r>
        <w:rPr>
          <w:rFonts w:ascii="Calibri" w:hAnsi="Calibri" w:eastAsia="PingFang SC"/>
        </w:rPr>
        <w:t>因子研究页展示因子库、IC、分组和相关性，但当前仍存在 mock 数据。它适合后续成为研究洞察入口，但必须完成实时数据接线。</w:t>
      </w:r>
    </w:p>
    <w:p>
      <w:pPr>
        <w:pStyle w:val="Heading3"/>
        <w:spacing w:before="120" w:after="80"/>
      </w:pPr>
      <w:r/>
      <w:r>
        <w:rPr>
          <w:rFonts w:ascii="Calibri" w:hAnsi="Calibri" w:eastAsia="PingFang SC"/>
          <w:b/>
          <w:color w:val="1F2937"/>
          <w:sz w:val="24"/>
        </w:rPr>
        <w:t>web/app/system-governance/page.tsx</w:t>
      </w:r>
    </w:p>
    <w:p>
      <w:pPr>
        <w:spacing w:after="120" w:line="300" w:lineRule="auto"/>
      </w:pPr>
      <w:r>
        <w:rPr>
          <w:rFonts w:ascii="Calibri" w:hAnsi="Calibri" w:eastAsia="PingFang SC"/>
        </w:rPr>
        <w:t>系统治理页展示部署、CI、依赖拓扑和守卫。由于该页天然带有“系统健康证明”的含义，硬编码绿灯风险很高，应优先接真实 guard/API。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如果把这套系统作为产品展示，最应该强调的不是“AI 自动找 alpha”，而是“AI 辅助研究，但不能越权裁决”。在金融系统里，越能自动生成候选，越需要严格的统计门禁和治理账本。LLM 的角色应当是提高解释、检索、总结和工作项生成效率，而不是替代 DSR、holdout、试验账本和人工责任。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如果把这套系统交给一个新研究员，最应该先强调的是：不要从某个历史报告里挑最漂亮的收益率，也不要从前端绿色卡片倒推策略有效。正确路径是先看注册表当前状态，再看 deployment manifest 与 registry 是否一致，再看 readiness 的 blocking_reasons，最后才看具体策略的回测和研究报告。这样做看似慢，但能避免把过期结论、历史 LIVE 和当前生产混在一起。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如果把这套系统交给一个工程师，最应该先强调的是：不要为了修页面或跑通 demo 改研究口径。前端、API、services、runtime、workflow、engine、lake 的依赖方向必须保持单向。任何跨层捷径都会降低系统可信度。比如在 Web 页面里临时把 DSR 未过显示成通过，看似只是 UI 文案，实际上是在破坏用户对台账的信任。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如果把这套系统交给一个策略负责人，最应该先强调的是：候选失败也是资产。DSR 未过、成本过高、容量不足、样本外不稳、和在册 book 高相关，这些不是垃圾信息，而是下一轮搜索的边界条件。系统已经有 lessons、metasearch、MI audit 和 review queue，应该把失败结构化，而不是删除失败记录。</w:t>
      </w:r>
    </w:p>
    <w:p>
      <w:pPr>
        <w:spacing w:after="120" w:line="300" w:lineRule="auto"/>
      </w:pPr>
      <w:r>
        <w:rPr>
          <w:rFonts w:ascii="Calibri" w:hAnsi="Calibri" w:eastAsia="PingFang SC"/>
        </w:rPr>
        <w:t>如果把这套系统交给一个运维负责人，最应该先强调的是：生产信号不是由 `run_daily.py` 文件头注释决定，而是由 deployment、registry、data fingerprint、readiness 和 signal 文件共同决定。只要任何身份不一致，正式信号都应停止发布。系统的 fail-closed 行为可能让短期看起来“没有产出”，但它保护的是长期可信度。</w:t>
      </w: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附录 B：典型操作场景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场景一：今天到底能不能交易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正确流程应从 production readiness 开始，而不是从某个策略页面开始。用户先看 `TradeReadinessView.allowed`，若为 false，再看 blocking_reasons。若原因包含 deployment_identity，说明部署清单和注册表身份不一致；若包含 governance，说明当前策略没有通过注册或九门禁；若包含 decay:red，说明衰减监控已触发红灯；若包含 paper，说明模拟盘缺失、损坏或与部署身份不一致；若包含 data_issue，则说明数据 triage 阻断。只有这些阻断全部清零，正式信号才应发布。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通俗解释是：不要问“策略以前是不是 LIVE”，而要问“今天这张出货单、仓库台账、质检报告、生产日期、模拟盘和数据事故记录是否全部一致”。当前仓库里出货单仍写 illiquidity/v3.1，但仓库台账说它是参考，且身份证号码不一致，所以正确答案不是人工强行交易，而是阻断并修复事实源。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场景二：发现一个新因子后如何进入系统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新因子不应该直接写进生产脚本。正确路径是先定义可解释假设和数据依赖，再通过因子 builder 或 DSL 形成候选；候选进入自动研究工厂后先做 fingerprint、泄露守卫和去重；再经过 L0 IC、L1 快速回测、L2 多 regime、L3 walk-forward；值得继续的候选再进入 workflow/promote 的 phase1-4；最后才可能跑 9-Gate、写注册表，并在通过 standalone 或 diversifier 准入后进入部署候选。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这个流程看起来很长，但它解决的是“人类研究员太容易被漂亮曲线诱惑”的问题。每一关都在问不同问题：数据有没有偷看，因子是不是有经济含义，单因子是否稳定，组合层是否可交易，多次试错后是否还显著，容量和成本是否吃掉收益，样本外是否崩坏，最终是否值得被注册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场景三：前端页面显示绿色但 STATUS 说没有 alpha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应优先相信当前台账和 readiness，而不是相信硬编码卡片。前端是观察层，它可以把复杂系统可视化，但不能定义策略有效性。如果 system-governance 页面暂时写死 CI 全绿，或者 dashboard 对某些字段使用 fallback，这些只能当 UI 占位。后端的 registry、deployment、nine_gate、decay_status 和 production_readiness 才是可执行事实。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产品上应该把每个绿色状态变成可追溯证据：点击“治理通过”能看到哪个 family/version、哪个 nine_gate summary、哪个 dsr_p、哪个 passed_all；点击“部署 active”能看到 manifest hash 与 registry hash 是否一致；点击“数据健康”能看到 data_vintage、expected_trade_date 和 issue triage。没有证据链的绿色，在金融系统里不应被展示成确定事实。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场景四：历史报告写某策略很强，为什么现在不能用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历史报告通常代表某个日期、某个数据版本、某套审计规则下的结论。随着系统加入 trial ledger、holdout、DSR 门、executable spec、deployment identity 和更严格的 readiness，旧结论可能被降级。这不是矛盾，而是治理升级后的正常结果。比如 illiquidity 系列历史上曾是主线，但当前注册表已经把 v3.1 标为参考，且部署身份漂移，所以不能拿旧报告覆盖当前台账。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系统应该在所有报告和页面上显示 as_of、data_fingerprint、engine version、spec_hash、trial_count 和当前台账状态。这样用户就能明白：一个策略在 2026-06-14 的研究讨论中可能值得观察，但在 2026-06-25 的生产视角下可能已经不可部署。时间和证据链是量化结论的一部分。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场景五：为什么 DSR p=0.086 不能通融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因为这里的门禁不是为了证明策略永远不赚钱，而是为了避免把多次试错后的偶然漂亮结果包装成生产 alpha。p=0.086 可以说“值得纸面前向观察”，也可以说“有研究价值”，但不能说“通过 standalone 入册门”。如果人为把阈值从 0.05 改到 0.10，只为了让当前候选过关，就是典型 p-hacking。系统的价值正是在这种临界诱惑面前保持纪律。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通俗解释是：考试差一分可以说明学生接近合格，但不能改录取线让他立刻毕业。更合理的做法是继续纸面前向收集证据、减少冗余试验、寻找真正独立信息源、降低换手和成本，等新证据自然通过门槛。系统应允许观察，不应允许洗成达标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场景六：如何判断一个页面或接口是否可靠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先看它是否从后端 API 获取事实，再看后端 API 是否从注册表、readiness、数据湖 manifest 或报告文件读取，再看这些文件是否有日期、身份和 hash。若页面在组件里写死数值、版本、CI 状态或示例因子，就应标为 mock。若接口返回 unknown，应让用户看到 unknown 的含义，而不是在 UI 上美化成绿色。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工程上建议为关键视图增加 provenance 字段，例如 source_file、source_generated_at、source_fingerprint、is_mock、is_stale、blocking_reasons。这样前端不仅能显示结果，还能显示结果从哪里来、是否过期、是否可用于生产。对当前系统而言，这会显著降低“漂亮驾驶舱掩盖红灯”的风险。</w:t>
      </w:r>
    </w:p>
    <w:p>
      <w:pPr>
        <w:pStyle w:val="Heading2"/>
        <w:spacing w:before="120" w:after="80"/>
      </w:pPr>
      <w:r/>
      <w:r>
        <w:rPr>
          <w:rFonts w:ascii="Calibri" w:hAnsi="Calibri" w:eastAsia="PingFang SC"/>
          <w:b/>
          <w:color w:val="1F4E79"/>
          <w:sz w:val="26"/>
        </w:rPr>
        <w:t>场景七：如何继续推进系统而不破坏可信度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第一步是事实源对齐：清理旧 LIVE 文案，更新或撤下过期 deployment manifest，把 registry 当前状态、STATUS 最新结论和前端展示统一。第二步是前端去 mock：所有关键红绿灯必须接真实 API，未接通则显式占位。第三步是当前真相 API：一次返回 data_vintage、registry active count、deployment identity、readiness、decay、paper identity、last signal 和 blocking_reasons。第四步才是继续搜索新 alpha。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如果顺序反过来，先继续大规模搜索，而基础事实仍有漂移，系统会积累更多难以解释的结果。量化研究最怕“结果多、事实乱”。当前最有杠杆的工作不是再堆一个候选，而是让所有用户、agent 和页面对“现在到底有没有可部署 alpha”得到同一个答案。</w:t>
      </w:r>
    </w:p>
    <w:p>
      <w:pPr>
        <w:pStyle w:val="Heading1"/>
        <w:spacing w:before="160" w:after="80"/>
      </w:pPr>
      <w:r/>
      <w:r>
        <w:rPr>
          <w:rFonts w:ascii="Calibri" w:hAnsi="Calibri" w:eastAsia="PingFang SC"/>
          <w:b/>
          <w:color w:val="1F4E79"/>
          <w:sz w:val="32"/>
        </w:rPr>
        <w:t>附录 C：一句话交接版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给系统所有者：这套系统已经具备较完整的研究、审计、台账和生产闸门，但当前没有可宣布上线的 standalone alpha；最重要的管理动作是统一事实源并保持 fail-closed。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给量化研究员：不要把小盘、非流动、size-earnings 的换皮结果当新发现；先用 MI/相关性过滤信息簇，再用 phase1-4 和 9-Gate 证明新信息源。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给后端工程师：不要绕过 `BacktestEngine`、`strategy_registry.register()`、`DeploymentManifest` 和 `production_readiness`；这些是系统可信度的承重墙。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给前端工程师：页面可以做得清晰专业，但不能用硬编码绿灯代替事实；所有关键状态都应有 provenance、as_of 和 evidence link。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给运维执行者：信号是否可发布看 readiness，不看历史 LIVE 注释；deployment、registry、paper、decay 和 data issue 任何一个身份不一致都应阻断。</w:t>
      </w:r>
    </w:p>
    <w:p>
      <w:pPr>
        <w:spacing w:after="120" w:line="300" w:lineRule="auto"/>
      </w:pPr>
      <w:r>
        <w:rPr>
          <w:rFonts w:ascii="Calibri" w:hAnsi="Calibri" w:eastAsia="PingFang SC"/>
          <w:color w:val="1F2937"/>
          <w:sz w:val="22"/>
        </w:rPr>
        <w:t>给 AI Agent：你可以解释、总结、生成候选、创建工作项，但不能裁决 alpha、不能批准入册、不能绕过 DSR、holdout 和生产就绪。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6B7280"/>
        <w:sz w:val="16"/>
      </w:rPr>
      <w:t>Confidential working document. Source: local repository /Users/kiki/astcok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PingFang SC"/>
        <w:color w:val="6B7280"/>
        <w:sz w:val="17"/>
      </w:rPr>
      <w:t>A股全市场因子量化研究系统 · 当前系统完整专业描述 · 2026-06-25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