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rFonts w:ascii="Microsoft YaHei" w:hAnsi="Microsoft YaHei" w:eastAsia="Microsoft YaHei"/>
          <w:b/>
          <w:color w:val="1B365D"/>
          <w:sz w:val="48"/>
        </w:rPr>
        <w:t>A股全市场量化因子研发与自进化系统</w:t>
        <w:br/>
        <w:t>代码架构说明书与技术手册</w:t>
      </w:r>
    </w:p>
    <w:p>
      <w:pPr>
        <w:spacing w:after="3000"/>
        <w:jc w:val="center"/>
      </w:pPr>
      <w:r>
        <w:rPr>
          <w:rFonts w:ascii="Microsoft YaHei" w:hAnsi="Microsoft YaHei" w:eastAsia="Microsoft YaHei"/>
          <w:color w:val="555555"/>
          <w:sz w:val="26"/>
        </w:rPr>
        <w:t>基于 core/、lake/、factory/ 与 research_toolkit/ 的代码级算法剖析与系统运维指南</w:t>
      </w:r>
    </w:p>
    <w:p>
      <w:pPr>
        <w:spacing w:line="360" w:lineRule="auto"/>
        <w:jc w:val="center"/>
      </w:pPr>
      <w:r>
        <w:rPr>
          <w:rFonts w:ascii="Microsoft YaHei" w:hAnsi="Microsoft YaHei" w:eastAsia="Microsoft YaHei"/>
          <w:color w:val="333333"/>
          <w:sz w:val="22"/>
        </w:rPr>
        <w:t>研发单位：ASTCOK QUANT 量化研发组</w:t>
        <w:br/>
        <w:t>系统版本：Production OS v3.1 / Platform Architecture 2.0</w:t>
        <w:br/>
        <w:t>发布日期：2026年06月23日</w:t>
        <w:br/>
        <w:t>文档属性：绝密级内部技术蓝皮书 (Code-Level Implementation Spec)</w:t>
        <w:br/>
        <w:t>总字数统计：约 25,200 中文字符</w:t>
        <w:br/>
      </w:r>
    </w:p>
    <w:p>
      <w:r>
        <w:br w:type="page"/>
      </w:r>
    </w:p>
    <w:p>
      <w:pPr>
        <w:keepNext/>
        <w:spacing w:before="440" w:after="200"/>
      </w:pPr>
      <w:r>
        <w:rPr>
          <w:rFonts w:ascii="Microsoft YaHei" w:hAnsi="Microsoft YaHei" w:eastAsia="Microsoft YaHei"/>
          <w:b/>
          <w:color w:val="1B365D"/>
          <w:sz w:val="32"/>
        </w:rPr>
        <w:t>第一章：系统总体架构设计与依赖控制</w:t>
      </w:r>
    </w:p>
    <w:p>
      <w:pPr>
        <w:keepNext/>
        <w:spacing w:before="320" w:after="160"/>
      </w:pPr>
      <w:r>
        <w:rPr>
          <w:rFonts w:ascii="Microsoft YaHei" w:hAnsi="Microsoft YaHei" w:eastAsia="Microsoft YaHei"/>
          <w:b/>
          <w:color w:val="4A779D"/>
          <w:sz w:val="26"/>
        </w:rPr>
        <w:t>1.1 量化交易系统的分层解耦体系</w:t>
      </w:r>
    </w:p>
    <w:p>
      <w:pPr>
        <w:spacing w:after="120" w:line="300" w:lineRule="auto"/>
      </w:pPr>
      <w:r>
        <w:rPr>
          <w:rFonts w:ascii="Microsoft YaHei" w:hAnsi="Microsoft YaHei" w:eastAsia="Microsoft YaHei"/>
          <w:color w:val="333333"/>
          <w:sz w:val="21"/>
        </w:rPr>
        <w:t>ASTCOK QUANT 平台的底层代码库采用严格的分层架构设计，各模块之间的物理目录与职责边界完全隔离。这种设计旨在应对大型量化项目中由于策略、数据、回测和部署代码相互混杂而导致系统难以维护、甚至发生未来函数数据泄露的致命隐患。系统在物理上主要被划分为以下几个核心目录：</w:t>
      </w:r>
    </w:p>
    <w:p>
      <w:pPr>
        <w:spacing w:after="120" w:line="300" w:lineRule="auto"/>
      </w:pPr>
      <w:r>
        <w:rPr>
          <w:rFonts w:ascii="Microsoft YaHei" w:hAnsi="Microsoft YaHei" w:eastAsia="Microsoft YaHei"/>
          <w:color w:val="333333"/>
          <w:sz w:val="21"/>
        </w:rPr>
        <w:t>数据湖加载层（lake/）负责从本地 Parquet 大表中提取并清洗数据，对外输出结构化的 date×code 面板。因子计算层（factors/）存放基础算子和 DSL 公式变换。统一回测内核（core/）包含最底层的模拟撮合交易与绩效度量类。策略工厂层（factory/）执行自进化因子的搜寻与繁殖。研发控制台（research_toolkit/）作为宿主无关的独立测谎风控工具箱，对因子显著性与边际贡献进行审查。系统治理层（workflow/）作为Hypothesis的促进管线，负责合成审计与台账持久化写入。生产层（production/）管理 run_daily.py 以及 paper_engine 自动模拟账户结算系统。</w:t>
      </w:r>
    </w:p>
    <w:p>
      <w:pPr>
        <w:keepNext/>
        <w:spacing w:before="320" w:after="160"/>
      </w:pPr>
      <w:r>
        <w:rPr>
          <w:rFonts w:ascii="Microsoft YaHei" w:hAnsi="Microsoft YaHei" w:eastAsia="Microsoft YaHei"/>
          <w:b/>
          <w:color w:val="4A779D"/>
          <w:sz w:val="26"/>
        </w:rPr>
        <w:t>1.2 单向依赖链原则与 AST 静态导入守护</w:t>
      </w:r>
    </w:p>
    <w:p>
      <w:pPr>
        <w:spacing w:after="120" w:line="300" w:lineRule="auto"/>
      </w:pPr>
      <w:r>
        <w:rPr>
          <w:rFonts w:ascii="Microsoft YaHei" w:hAnsi="Microsoft YaHei" w:eastAsia="Microsoft YaHei"/>
          <w:color w:val="333333"/>
          <w:sz w:val="21"/>
        </w:rPr>
        <w:t>为了保证系统内各模块的纯洁性，项目严格执行如下单向依赖关系图谱：</w:t>
        <w:br/>
        <w:t>data_lake(数据) -&gt; factors(因子) -&gt; core.engine(回测引擎) -&gt; {strategies(生产策略), factory/workflow(探索)} -&gt; registry(台账) -&gt; production(生产部署)</w:t>
        <w:br/>
        <w:t>低层模块绝不能导入或消费任何高层模块中的方法（例如，位于内核底层的 core.engine.py 绝不允许引入 factory.islands 进化库；而 strategies 目录下的主力策略文件也绝不允许加载 workflow.promote 促进工具）。</w:t>
      </w:r>
    </w:p>
    <w:p>
      <w:pPr>
        <w:spacing w:after="120" w:line="300" w:lineRule="auto"/>
      </w:pPr>
      <w:r>
        <w:rPr>
          <w:rFonts w:ascii="Microsoft YaHei" w:hAnsi="Microsoft YaHei" w:eastAsia="Microsoft YaHei"/>
          <w:color w:val="333333"/>
          <w:sz w:val="21"/>
        </w:rPr>
        <w:t>为此，系统设计了 `scripts/ci/check_layer_deps.py` 脚本，将其无缝集成到 `test_all.sh` 守卫中。该脚本在执行时，通过 Python 内置的 `ast`（Abstract Syntax Tree，抽象语法树）模块，对整个工作区内的每一个 Python 源文件进行深度静态解析。它首先提取 `ast.Import` 与 `ast.ImportFrom` 节点中的模块名称，检查其前缀是否符合层级链规范。一旦发现有逆向调用，或者发现写入策略台账时绕过了 `strategy_registry.py` 的统一写入 API，守卫便会强行抛出编译异常并返回 1 号状态码，在 CI 构建的最前端拦截住任何架构腐蚀代码的合入。</w:t>
      </w:r>
    </w:p>
    <w:p>
      <w:r>
        <w:br w:type="page"/>
      </w:r>
    </w:p>
    <w:p>
      <w:pPr>
        <w:keepNext/>
        <w:spacing w:before="440" w:after="200"/>
      </w:pPr>
      <w:r>
        <w:rPr>
          <w:rFonts w:ascii="Microsoft YaHei" w:hAnsi="Microsoft YaHei" w:eastAsia="Microsoft YaHei"/>
          <w:b/>
          <w:color w:val="1B365D"/>
          <w:sz w:val="32"/>
        </w:rPr>
        <w:t>第二章：权威回测内核 BacktestEngine 源代码设计与数学算法</w:t>
      </w:r>
    </w:p>
    <w:p>
      <w:pPr>
        <w:keepNext/>
        <w:spacing w:before="320" w:after="160"/>
      </w:pPr>
      <w:r>
        <w:rPr>
          <w:rFonts w:ascii="Microsoft YaHei" w:hAnsi="Microsoft YaHei" w:eastAsia="Microsoft YaHei"/>
          <w:b/>
          <w:color w:val="4A779D"/>
          <w:sz w:val="26"/>
        </w:rPr>
        <w:t>2.1 BacktestEngine 回测类核心算法剖析</w:t>
      </w:r>
    </w:p>
    <w:p>
      <w:pPr>
        <w:spacing w:after="120" w:line="300" w:lineRule="auto"/>
      </w:pPr>
      <w:r>
        <w:rPr>
          <w:rFonts w:ascii="Microsoft YaHei" w:hAnsi="Microsoft YaHei" w:eastAsia="Microsoft YaHei"/>
          <w:color w:val="333333"/>
          <w:sz w:val="21"/>
        </w:rPr>
        <w:t>本平台在 `factor_research/core/engine.py` 中实现了权威回测类 `BacktestEngine`，作为全仓唯一的回测事实源。该类在初始化时接收 `PricePanel` 统一价量数据结构和 `BacktestConfig` 参数字典，其主入口方法为 `run(self, signal: Signal) -&gt; BacktestResult`。在其内部核心私有方法 `_run_weight_backtest` 中，系统使用 NumPy 的矢量化矩阵计算，高效模拟了每日的订单撮合与资产负债变化。</w:t>
      </w:r>
    </w:p>
    <w:p>
      <w:pPr>
        <w:spacing w:after="120" w:line="300" w:lineRule="auto"/>
      </w:pPr>
      <w:r>
        <w:rPr>
          <w:rFonts w:ascii="Microsoft YaHei" w:hAnsi="Microsoft YaHei" w:eastAsia="Microsoft YaHei"/>
          <w:color w:val="333333"/>
          <w:sz w:val="21"/>
        </w:rPr>
        <w:t>回测引擎内部的每日交易循环逻辑如下：对于每日的收盘日期 `dt`，引擎首先获取上一日截面的持仓权重向量 `current_weight`（形状为个股数）。在扣除日收益前，先计算当天组合的多头总持仓收益：</w:t>
        <w:br/>
        <w:t>gross_ret = sum(day_ret[held] * current_weight[held]) * config.leverage</w:t>
        <w:br/>
        <w:t>其中，`day_ret` 为经过 clipping 限制的不复权每日收益率向量。为了真实模拟融资杠杆，当杠杆比例 `leverage` 大于 1.0 时，引擎会在每日收益中扣除融资利息折旧费用：</w:t>
        <w:br/>
        <w:t>financing = (leverage - 1.0) * financing_rate / 252.0</w:t>
        <w:br/>
        <w:t>随后，引擎对比当前的 `target_weight`（由 `Signal._resolve_weights` 解析得出并匹配调仓日）和上一日持仓 `current_weight`，计算出调仓周转量（Turnover）：</w:t>
        <w:br/>
        <w:t>delta = target_weight - current_weight</w:t>
        <w:br/>
        <w:t>buy_turnover = sum(delta[delta &gt; 0]), sell_turnover = sum(-delta[delta &lt; 0])</w:t>
        <w:br/>
        <w:t>对应的调仓滑点与佣金摩擦成本 `trade_cost` 按照如下公式扣减：</w:t>
        <w:br/>
        <w:t>trade_cost = (buy_turnover * buy_cost + sell_turnover * sell_cost) * leverage</w:t>
        <w:br/>
        <w:t>扣减完所有的交易摩擦和融资利息后，输出 T 日的净收益率 `out[i] = gross_ret - trade_cost - financing`。最后，引擎将当前持仓更新为目标权重。这一套循环计算逻辑不带任何未来函数，完美还原了实盘的资金动态。</w:t>
      </w:r>
    </w:p>
    <w:p>
      <w:pPr>
        <w:keepNext/>
        <w:spacing w:before="320" w:after="160"/>
      </w:pPr>
      <w:r>
        <w:rPr>
          <w:rFonts w:ascii="Microsoft YaHei" w:hAnsi="Microsoft YaHei" w:eastAsia="Microsoft YaHei"/>
          <w:b/>
          <w:color w:val="4A779D"/>
          <w:sz w:val="26"/>
        </w:rPr>
        <w:t>2.2 数据容器与信号表达类定义</w:t>
      </w:r>
    </w:p>
    <w:p>
      <w:pPr>
        <w:spacing w:after="120" w:line="300" w:lineRule="auto"/>
      </w:pPr>
      <w:r>
        <w:rPr>
          <w:rFonts w:ascii="Microsoft YaHei" w:hAnsi="Microsoft YaHei" w:eastAsia="Microsoft YaHei"/>
          <w:color w:val="333333"/>
          <w:sz w:val="21"/>
        </w:rPr>
        <w:t>在 `core/engine.py` 中，有以下几个核心数据类（DataContainers）协同支撑了回测逻辑的运行：</w:t>
        <w:br/>
        <w:t>1. `PricePanel`：强类型价量数据类。包含 `close`（后复权收盘价，用于计算 daily_ret）、`volume`（以‘手’为单位的成交量，新股 688 需要换算）、`amount`（成交金额，元）以及 `raw_close`（不复权收盘价，估值计算专用）。</w:t>
        <w:br/>
        <w:t>2. `CostModel`：交易费率模型类。固化了 `buy_cost`（默认 0.00225，包含万 0.65 佣金、万 0.1 过户费和 20bp 的滑点冲击）、`sell_cost`（默认 0.00275，多包含万 5.0 的印花税）以及 `financing_rate`（默认年化 6.5%）。</w:t>
        <w:br/>
        <w:t>3. `Signal`：策略输入媒介类。支持三种模式：直传 `decision_weights`、直传 `factor`（引擎内部通过 `_factor_to_weights` 自动取 top_n 等权并按照 pandas offset 调仓频率重构权重 DataFrame）、以及传入 `factor_builder` 延迟构造器（供工厂进化使用）。此外，`Signal` 中还记录了 timing 择时时序序列，用于调节每日的杠杆率上限 `exposure_cap`。</w:t>
      </w:r>
    </w:p>
    <w:p>
      <w:pPr>
        <w:keepNext/>
        <w:spacing w:before="320" w:after="160"/>
      </w:pPr>
      <w:r>
        <w:rPr>
          <w:rFonts w:ascii="Microsoft YaHei" w:hAnsi="Microsoft YaHei" w:eastAsia="Microsoft YaHei"/>
          <w:b/>
          <w:color w:val="4A779D"/>
          <w:sz w:val="26"/>
        </w:rPr>
        <w:t>2.3 异常结果判定与结果哨兵机制</w:t>
      </w:r>
    </w:p>
    <w:p>
      <w:pPr>
        <w:spacing w:after="120" w:line="300" w:lineRule="auto"/>
      </w:pPr>
      <w:r>
        <w:rPr>
          <w:rFonts w:ascii="Microsoft YaHei" w:hAnsi="Microsoft YaHei" w:eastAsia="Microsoft YaHei"/>
          <w:color w:val="333333"/>
          <w:sz w:val="21"/>
        </w:rPr>
        <w:t>在回测计算完成后，`BacktestResult` 构造器的 `__post_init__` 会自动触发结果哨兵方法 `anomalies(self) -&gt; list`。该哨兵是系统用来识别历史行情数据污染或代码逻辑溢出的测谎关口。其判断逻辑包含两个硬边界：</w:t>
        <w:br/>
        <w:t>1. 组合日收益物理上限：如果组合在单日的绝对收益率 `|returns|` 超过 35%（在 A 股涨跌停 20cm 限制和 1.5x 杠杆限制下，组合理论日收益率上限不可能超过 30%），哨兵会自动在终端和日志中抛出红色警告，提示当前回测严重失真，优先怀疑数据源污染；</w:t>
        <w:br/>
        <w:t>2. 回撤近乎清零：如果组合的最大回撤 `maxdd` 跌破 -90%，表示策略发生了爆仓，哨兵同样会进行报警标记。哨兵机制的设计遵循‘宁可怀疑数据，不盲信暴利’的防自欺精神，保证了回测指标的安全纯净。</w:t>
      </w:r>
    </w:p>
    <w:p>
      <w:r>
        <w:br w:type="page"/>
      </w:r>
    </w:p>
    <w:p>
      <w:pPr>
        <w:keepNext/>
        <w:spacing w:before="440" w:after="200"/>
      </w:pPr>
      <w:r>
        <w:rPr>
          <w:rFonts w:ascii="Microsoft YaHei" w:hAnsi="Microsoft YaHei" w:eastAsia="Microsoft YaHei"/>
          <w:b/>
          <w:color w:val="1B365D"/>
          <w:sz w:val="32"/>
        </w:rPr>
        <w:t>第三章：nine_gates.py 风险审计规程与机构级指标算法</w:t>
      </w:r>
    </w:p>
    <w:p>
      <w:pPr>
        <w:keepNext/>
        <w:spacing w:before="320" w:after="160"/>
      </w:pPr>
      <w:r>
        <w:rPr>
          <w:rFonts w:ascii="Microsoft YaHei" w:hAnsi="Microsoft YaHei" w:eastAsia="Microsoft YaHei"/>
          <w:b/>
          <w:color w:val="4A779D"/>
          <w:sz w:val="26"/>
        </w:rPr>
        <w:t>3.1 9-Gate 评估框架的流程设计与输入契约</w:t>
      </w:r>
    </w:p>
    <w:p>
      <w:pPr>
        <w:spacing w:after="120" w:line="300" w:lineRule="auto"/>
      </w:pPr>
      <w:r>
        <w:rPr>
          <w:rFonts w:ascii="Microsoft YaHei" w:hAnsi="Microsoft YaHei" w:eastAsia="Microsoft YaHei"/>
          <w:color w:val="333333"/>
          <w:sz w:val="21"/>
        </w:rPr>
        <w:t>系统的全套 Research-to-Production 审计流程定义在 `core/analysis/nine_gates.py` 中的 `NineGatesEvaluator` 类里。该类在构造时，除了接收价量 `PricePanel` 和因子数据 `factor_df` 外，还需要传入 `n_trials`（因子家族的历史试错总次数，用于 DSR 惩罚）以及 `thesis`（包含经济学假设 mechanism 和学术文献引用 citation 的字典）。主入口方法为 `evaluate_all(self, signal: Signal, start: str) -&gt; List[GateReport]`，它会依次同步调用九个审计方法并返回包含 Verdict（PASS/WARN/FAIL）的报告列表。</w:t>
      </w:r>
    </w:p>
    <w:p>
      <w:pPr>
        <w:keepNext/>
        <w:spacing w:before="320" w:after="160"/>
      </w:pPr>
      <w:r>
        <w:rPr>
          <w:rFonts w:ascii="Microsoft YaHei" w:hAnsi="Microsoft YaHei" w:eastAsia="Microsoft YaHei"/>
          <w:b/>
          <w:color w:val="4A779D"/>
          <w:sz w:val="26"/>
        </w:rPr>
        <w:t>3.2 长期方差 NW-ICIR 算法的代码实现</w:t>
      </w:r>
    </w:p>
    <w:p>
      <w:pPr>
        <w:spacing w:after="120" w:line="300" w:lineRule="auto"/>
      </w:pPr>
      <w:r>
        <w:rPr>
          <w:rFonts w:ascii="Microsoft YaHei" w:hAnsi="Microsoft YaHei" w:eastAsia="Microsoft YaHei"/>
          <w:color w:val="333333"/>
          <w:sz w:val="21"/>
        </w:rPr>
        <w:t>由于多头前向持有期通常较长（例如 `forward_days = 20`），因而在时间序列上，每日的 Rank IC 存在着极强的自相关性，传统的 IC 均值除以标准差会系统性高估因子显著性达数倍。系统在 `nine_gates.py` 中实现了 Newey-West 长期方差校正算法 `calculate_newey_west_icir`。该函数提取 Rank IC 数组的均值和方差，通过 Bartlett 核函数计算滞后 $lag$ 期（通常设为 20 期）的自协方差对方差进行重构：</w:t>
      </w:r>
    </w:p>
    <w:tbl>
      <w:tblPr>
        <w:tblW w:type="auto" w:w="0"/>
        <w:jc w:val="center"/>
        <w:tblLayout w:type="fixed"/>
        <w:tblLook w:firstColumn="1" w:firstRow="1" w:lastColumn="0" w:lastRow="0" w:noHBand="0" w:noVBand="1" w:val="04A0"/>
      </w:tblPr>
      <w:tblGrid>
        <w:gridCol w:w="9360"/>
      </w:tblGrid>
      <w:tr>
        <w:tc>
          <w:tcPr>
            <w:tcW w:type="dxa" w:w="8352"/>
            <w:shd w:fill="2D3139"/>
            <w:tcMar>
              <w:top w:w="120" w:type="dxa"/>
              <w:bottom w:w="120" w:type="dxa"/>
              <w:left w:w="150" w:type="dxa"/>
              <w:right w:w="150" w:type="dxa"/>
            </w:tcMar>
            <w:tcBorders>
              <w:left w:sz="16" w:val="single" w:color="00E5FF" w:space="0"/>
              <w:top w:sz="0" w:val="none" w:color="auto" w:space="0"/>
              <w:bottom w:sz="0" w:val="none" w:color="auto" w:space="0"/>
              <w:right w:sz="0" w:val="none" w:color="auto" w:space="0"/>
            </w:tcBorders>
          </w:tcPr>
          <w:p>
            <w:pPr>
              <w:spacing w:after="0"/>
            </w:pPr>
            <w:r>
              <w:rPr>
                <w:rFonts w:ascii="Fira Code" w:hAnsi="Fira Code"/>
                <w:color w:val="DDDDDD"/>
                <w:sz w:val="17"/>
              </w:rPr>
              <w:t>lr_var = var</w:t>
              <w:br/>
              <w:t>for l in range(1, lag + 1):</w:t>
              <w:br/>
              <w:t xml:space="preserve">    w = 1.0 - l / (lag + 1)</w:t>
              <w:br/>
              <w:t xml:space="preserve">    ac = np.corrcoef(ic[:-l], ic[l:])[0, 1]</w:t>
              <w:br/>
              <w:t xml:space="preserve">    if not np.isnan(ac):</w:t>
              <w:br/>
              <w:t xml:space="preserve">        lr_var += 2 * w * ac * var</w:t>
              <w:br/>
              <w:t>nw_icir = abs(mean) / np.sqrt(max(lr_var, 1e-12))</w:t>
            </w:r>
          </w:p>
        </w:tc>
      </w:tr>
    </w:tbl>
    <w:p>
      <w:pPr>
        <w:spacing w:before="0" w:after="80"/>
      </w:pPr>
    </w:p>
    <w:p>
      <w:pPr>
        <w:spacing w:after="120" w:line="300" w:lineRule="auto"/>
      </w:pPr>
      <w:r>
        <w:rPr>
          <w:rFonts w:ascii="Microsoft YaHei" w:hAnsi="Microsoft YaHei" w:eastAsia="Microsoft YaHei"/>
          <w:color w:val="333333"/>
          <w:sz w:val="21"/>
        </w:rPr>
        <w:t>通过 Bartlett 核加权，自相关系数 `ac` 乘以权重 `w` 会累加到长期方差 `lr_var` 中。由于重叠持有期产生的正自相关，`lr_var` 通常是原始 `var` 的 3 到 5 倍，因此校正后的 `nw_icir` 会大幅下降，诚实地反映了因子的信息比率。</w:t>
      </w:r>
    </w:p>
    <w:p>
      <w:pPr>
        <w:keepNext/>
        <w:spacing w:before="320" w:after="160"/>
      </w:pPr>
      <w:r>
        <w:rPr>
          <w:rFonts w:ascii="Microsoft YaHei" w:hAnsi="Microsoft YaHei" w:eastAsia="Microsoft YaHei"/>
          <w:b/>
          <w:color w:val="4A779D"/>
          <w:sz w:val="26"/>
        </w:rPr>
        <w:t>3.3 经典 López de Prado 概率夏普比率 (PSR) 实现</w:t>
      </w:r>
    </w:p>
    <w:p>
      <w:pPr>
        <w:spacing w:after="120" w:line="300" w:lineRule="auto"/>
      </w:pPr>
      <w:r>
        <w:rPr>
          <w:rFonts w:ascii="Microsoft YaHei" w:hAnsi="Microsoft YaHei" w:eastAsia="Microsoft YaHei"/>
          <w:color w:val="333333"/>
          <w:sz w:val="21"/>
        </w:rPr>
        <w:t>为了在统计上度量策略在样本外战胜基准的概率，系统实现了 `probabilistic_sharpe_ratio` 函数。该方法基于 López de Prado (2018) 的经典公式，利用策略每日收益率序列偏度（Skewness）和超额峰度（Kurtosis，Pearson 定义下常数等于 3.0）对每日夏普估算误差的标准差进行调整：</w:t>
      </w:r>
    </w:p>
    <w:tbl>
      <w:tblPr>
        <w:tblW w:type="auto" w:w="0"/>
        <w:jc w:val="center"/>
        <w:tblLayout w:type="fixed"/>
        <w:tblLook w:firstColumn="1" w:firstRow="1" w:lastColumn="0" w:lastRow="0" w:noHBand="0" w:noVBand="1" w:val="04A0"/>
      </w:tblPr>
      <w:tblGrid>
        <w:gridCol w:w="9360"/>
      </w:tblGrid>
      <w:tr>
        <w:tc>
          <w:tcPr>
            <w:tcW w:type="dxa" w:w="8352"/>
            <w:shd w:fill="2D3139"/>
            <w:tcMar>
              <w:top w:w="120" w:type="dxa"/>
              <w:bottom w:w="120" w:type="dxa"/>
              <w:left w:w="150" w:type="dxa"/>
              <w:right w:w="150" w:type="dxa"/>
            </w:tcMar>
            <w:tcBorders>
              <w:left w:sz="16" w:val="single" w:color="00E5FF" w:space="0"/>
              <w:top w:sz="0" w:val="none" w:color="auto" w:space="0"/>
              <w:bottom w:sz="0" w:val="none" w:color="auto" w:space="0"/>
              <w:right w:sz="0" w:val="none" w:color="auto" w:space="0"/>
            </w:tcBorders>
          </w:tcPr>
          <w:p>
            <w:pPr>
              <w:spacing w:after="0"/>
            </w:pPr>
            <w:r>
              <w:rPr>
                <w:rFonts w:ascii="Fira Code" w:hAnsi="Fira Code"/>
                <w:color w:val="DDDDDD"/>
                <w:sz w:val="17"/>
              </w:rPr>
              <w:t>sr_daily = observed_sr / np.sqrt(252)</w:t>
              <w:br/>
              <w:t>std_sr = np.sqrt((1.0 - skewness * sr_daily + (kurtosis - 1.0) / 4.0 * (sr_daily ** 2)) / (n_periods - 1.0))</w:t>
              <w:br/>
              <w:t>z = (sr_daily - sr_star_daily) / std_sr</w:t>
              <w:br/>
              <w:t>psr = stats.norm.cdf(z)</w:t>
            </w:r>
          </w:p>
        </w:tc>
      </w:tr>
    </w:tbl>
    <w:p>
      <w:pPr>
        <w:spacing w:before="0" w:after="80"/>
      </w:pPr>
    </w:p>
    <w:p>
      <w:pPr>
        <w:spacing w:after="120" w:line="300" w:lineRule="auto"/>
      </w:pPr>
      <w:r>
        <w:rPr>
          <w:rFonts w:ascii="Microsoft YaHei" w:hAnsi="Microsoft YaHei" w:eastAsia="Microsoft YaHei"/>
          <w:color w:val="333333"/>
          <w:sz w:val="21"/>
        </w:rPr>
        <w:t>在这里，`observed_sr` 为样本内观察到的年化夏普。通过调整，如果策略收益呈现负偏（skewness &lt; 0）或肥尾（kurtosis &gt; 3）的特征，其标准差 `std_sr` 会显著放大，从而拉低 z 统计量，使 PSR 难以跨越 95% 的准入红线，对爆雷型策略起到强力拦截作用。</w:t>
      </w:r>
    </w:p>
    <w:p>
      <w:pPr>
        <w:keepNext/>
        <w:spacing w:before="320" w:after="160"/>
      </w:pPr>
      <w:r>
        <w:rPr>
          <w:rFonts w:ascii="Microsoft YaHei" w:hAnsi="Microsoft YaHei" w:eastAsia="Microsoft YaHei"/>
          <w:b/>
          <w:color w:val="4A779D"/>
          <w:sz w:val="26"/>
        </w:rPr>
        <w:t>3.4 Barra 行业与 Size 中性化 OLS 算法细节</w:t>
      </w:r>
    </w:p>
    <w:p>
      <w:pPr>
        <w:spacing w:after="120" w:line="300" w:lineRule="auto"/>
      </w:pPr>
      <w:r>
        <w:rPr>
          <w:rFonts w:ascii="Microsoft YaHei" w:hAnsi="Microsoft YaHei" w:eastAsia="Microsoft YaHei"/>
          <w:color w:val="333333"/>
          <w:sz w:val="21"/>
        </w:rPr>
        <w:t>在 `run_gate3_neutralization` 中，系统为了剔除行业和 Size 暴露，实现了截面回归算法。由于全样本截面回归的计算开销极大，系统采用每 5 个交易日（`sample_dates = dates[::5]`）进行抽样回归的逻辑。对于每一天，系统提取该日因子的个股截面，并载入通过 PIT 对齐的 Size（log mv）向量与申万行业分类向量。随后将行业分类通过 `pd.get_dummies` 转化为哑变量矩阵（Dummy Variables）。接着，系统在自变量中拼接一列常数项列（`constant=1.0`）以承载截距，合并成自变量 X。最后使用最小二乘法进行快速求解：</w:t>
      </w:r>
    </w:p>
    <w:tbl>
      <w:tblPr>
        <w:tblW w:type="auto" w:w="0"/>
        <w:jc w:val="center"/>
        <w:tblLayout w:type="fixed"/>
        <w:tblLook w:firstColumn="1" w:firstRow="1" w:lastColumn="0" w:lastRow="0" w:noHBand="0" w:noVBand="1" w:val="04A0"/>
      </w:tblPr>
      <w:tblGrid>
        <w:gridCol w:w="9360"/>
      </w:tblGrid>
      <w:tr>
        <w:tc>
          <w:tcPr>
            <w:tcW w:type="dxa" w:w="8352"/>
            <w:shd w:fill="2D3139"/>
            <w:tcMar>
              <w:top w:w="120" w:type="dxa"/>
              <w:bottom w:w="120" w:type="dxa"/>
              <w:left w:w="150" w:type="dxa"/>
              <w:right w:w="150" w:type="dxa"/>
            </w:tcMar>
            <w:tcBorders>
              <w:left w:sz="16" w:val="single" w:color="00E5FF" w:space="0"/>
              <w:top w:sz="0" w:val="none" w:color="auto" w:space="0"/>
              <w:bottom w:sz="0" w:val="none" w:color="auto" w:space="0"/>
              <w:right w:sz="0" w:val="none" w:color="auto" w:space="0"/>
            </w:tcBorders>
          </w:tcPr>
          <w:p>
            <w:pPr>
              <w:spacing w:after="0"/>
            </w:pPr>
            <w:r>
              <w:rPr>
                <w:rFonts w:ascii="Fira Code" w:hAnsi="Fira Code"/>
                <w:color w:val="DDDDDD"/>
                <w:sz w:val="17"/>
              </w:rPr>
              <w:t>b, _, _, _ = np.linalg.lstsq(X_clean, y_clean, rcond=None)</w:t>
              <w:br/>
              <w:t>residuals = y_clean - X_clean @ b</w:t>
            </w:r>
          </w:p>
        </w:tc>
      </w:tr>
    </w:tbl>
    <w:p>
      <w:pPr>
        <w:spacing w:before="0" w:after="80"/>
      </w:pPr>
    </w:p>
    <w:p>
      <w:pPr>
        <w:spacing w:after="120" w:line="300" w:lineRule="auto"/>
      </w:pPr>
      <w:r>
        <w:rPr>
          <w:rFonts w:ascii="Microsoft YaHei" w:hAnsi="Microsoft YaHei" w:eastAsia="Microsoft YaHei"/>
          <w:color w:val="333333"/>
          <w:sz w:val="21"/>
        </w:rPr>
        <w:t>残差 `residuals` 即为中性化后的个股因子值。系统通过残差序列重新计算 NW-ICIR，并计算中性化前后的 ICIR 留存度 `icir_retention = neut_nw_icir / raw_nw_icir`。若留存度低于 30%，判定该因子只是 Size 暴露的伪装，予以 FAIL 淘汰。</w:t>
      </w:r>
    </w:p>
    <w:p>
      <w:pPr>
        <w:keepNext/>
        <w:spacing w:before="320" w:after="160"/>
      </w:pPr>
      <w:r>
        <w:rPr>
          <w:rFonts w:ascii="Microsoft YaHei" w:hAnsi="Microsoft YaHei" w:eastAsia="Microsoft YaHei"/>
          <w:b/>
          <w:color w:val="4A779D"/>
          <w:sz w:val="26"/>
        </w:rPr>
        <w:t>3.5 波动率平方根冲击成本与自适应多日拆单优化器</w:t>
      </w:r>
    </w:p>
    <w:p>
      <w:pPr>
        <w:spacing w:after="120" w:line="300" w:lineRule="auto"/>
      </w:pPr>
      <w:r>
        <w:rPr>
          <w:rFonts w:ascii="Microsoft YaHei" w:hAnsi="Microsoft YaHei" w:eastAsia="Microsoft YaHei"/>
          <w:color w:val="333333"/>
          <w:sz w:val="21"/>
        </w:rPr>
        <w:t>在 Gate 06 容量审计中，传统的滑点模型被重构为非线性的波动率平方根市场冲击成本模型。对于不同的 AUM 资产规模（Scale 介于 500M 至 2B 之间），系统通过日均成交金额 `adv` 计算调仓金额的参与率 `participation = trade_cny / adv`。随后，引入了自适应多日拆单（Multi-Day Order Splitting）执行机制。换仓动作可以在 $N$ 天内进行拆分。拆仓一方面会因为参与率降低而压降单日冲击成本，但另一方面会产生由于调仓延迟引起的 Alpha 衰退。在代码实现上，系统在 1 至 5 天内遍历 $N$，并设定每日 Alpha 衰减率 `alpha_decay = 10bps`：</w:t>
        <w:br/>
        <w:t>Cost(N) = (Vol_20d * sqrt(Participation / N)) / sqrt(N) + (N - 1) * alpha_decay</w:t>
        <w:br/>
        <w:t>系统使用 NumPy 的堆叠和广播运算：`min_cost = np.min(np.stack([c.values for c in costs], axis=0), axis=0)`，自动为每日的股票调仓寻找最优交易周期，并以此扣减回测净值，输出更贴合实盘的承载容量上限。</w:t>
      </w:r>
    </w:p>
    <w:p>
      <w:pPr>
        <w:keepNext/>
        <w:spacing w:before="320" w:after="160"/>
      </w:pPr>
      <w:r>
        <w:rPr>
          <w:rFonts w:ascii="Microsoft YaHei" w:hAnsi="Microsoft YaHei" w:eastAsia="Microsoft YaHei"/>
          <w:b/>
          <w:color w:val="4A779D"/>
          <w:sz w:val="26"/>
        </w:rPr>
        <w:t>3.6 Purged + Embargoed 交叉验证代码逻辑</w:t>
      </w:r>
    </w:p>
    <w:p>
      <w:pPr>
        <w:spacing w:after="120" w:line="300" w:lineRule="auto"/>
      </w:pPr>
      <w:r>
        <w:rPr>
          <w:rFonts w:ascii="Microsoft YaHei" w:hAnsi="Microsoft YaHei" w:eastAsia="Microsoft YaHei"/>
          <w:color w:val="333333"/>
          <w:sz w:val="21"/>
        </w:rPr>
        <w:t>传统的 K-Fold 交叉验证在时序数据上会因为样本重叠产生信息泄露。为了在 Gate 07A 中实现纯净的交叉验证，系统在 `run_gate7a_purged_embargoed_cv` 中实现了 Purged + Embargoed CV 规程。如果持有期 $H$ 大于 1，系统设置净化窗口 `purge_window = H`；如果同时存在定期 rebalance 调仓，则设置禁运窗口 `embargo_window = max(H, rebalance_period)`，以防测试集数据污染训练集。在划分时间窗时，总隔离窗口定为 `purge_days = purge_window + embargo_window`，并调用 `walk_forward_windows` 生成 3 年训练、1 年测试的切片。这种设计阻断了数据重叠引起的信息穿越，实现了对因子的诚实测验。</w:t>
      </w:r>
    </w:p>
    <w:p>
      <w:r>
        <w:br w:type="page"/>
      </w:r>
    </w:p>
    <w:p>
      <w:pPr>
        <w:keepNext/>
        <w:spacing w:before="440" w:after="200"/>
      </w:pPr>
      <w:r>
        <w:rPr>
          <w:rFonts w:ascii="Microsoft YaHei" w:hAnsi="Microsoft YaHei" w:eastAsia="Microsoft YaHei"/>
          <w:b/>
          <w:color w:val="1B365D"/>
          <w:sz w:val="32"/>
        </w:rPr>
        <w:t>第四章：alpha_audit.py 边际增量测谎与置换检验算法</w:t>
      </w:r>
    </w:p>
    <w:p>
      <w:pPr>
        <w:keepNext/>
        <w:spacing w:before="320" w:after="160"/>
      </w:pPr>
      <w:r>
        <w:rPr>
          <w:rFonts w:ascii="Microsoft YaHei" w:hAnsi="Microsoft YaHei" w:eastAsia="Microsoft YaHei"/>
          <w:b/>
          <w:color w:val="4A779D"/>
          <w:sz w:val="26"/>
        </w:rPr>
        <w:t>4.1 RidgeCV 联合拟合增量阿尔法测算</w:t>
      </w:r>
    </w:p>
    <w:p>
      <w:pPr>
        <w:spacing w:after="120" w:line="300" w:lineRule="auto"/>
      </w:pPr>
      <w:r>
        <w:rPr>
          <w:rFonts w:ascii="Microsoft YaHei" w:hAnsi="Microsoft YaHei" w:eastAsia="Microsoft YaHei"/>
          <w:color w:val="333333"/>
          <w:sz w:val="21"/>
        </w:rPr>
        <w:t>当一个新的候选因子被提出来时，其单体 ICIR 即使极高，也可能与策略组合中现存的因子高度冗余，无法提供任何额外的净收益。系统在 `research_toolkit/alpha_audit.py` 中实现了 `ridge_joint_increment` 算法。该方法使用 scikit-learn 的 `RidgeCV` 联合线性回归，将已在册因子池 `base` 转化为特征矩阵 X，将候选因子 `candidate` 拼入特征矩阵作为 Full 模型特征。在训练集上分别训练 Base 模型和 Full 模型，并预测测试集的 forward returns。最后，计算测试集上两预测值的 Rank ICIR，其差值即为候选因子对在册组合的表面增量：</w:t>
        <w:br/>
        <w:t>surface_inc = ICIR_full - ICIR_base</w:t>
      </w:r>
    </w:p>
    <w:p>
      <w:pPr>
        <w:keepNext/>
        <w:spacing w:before="320" w:after="160"/>
      </w:pPr>
      <w:r>
        <w:rPr>
          <w:rFonts w:ascii="Microsoft YaHei" w:hAnsi="Microsoft YaHei" w:eastAsia="Microsoft YaHei"/>
          <w:b/>
          <w:color w:val="4A779D"/>
          <w:sz w:val="26"/>
        </w:rPr>
        <w:t>4.2 NaN 不变量保留的逐日横截面置换检验</w:t>
      </w:r>
    </w:p>
    <w:p>
      <w:pPr>
        <w:spacing w:after="120" w:line="300" w:lineRule="auto"/>
      </w:pPr>
      <w:r>
        <w:rPr>
          <w:rFonts w:ascii="Microsoft YaHei" w:hAnsi="Microsoft YaHei" w:eastAsia="Microsoft YaHei"/>
          <w:color w:val="333333"/>
          <w:sz w:val="21"/>
        </w:rPr>
        <w:t>为了剥离由于个股上市退市、停牌及数据缺失（NaN 模式）带来的结构性伪增量，系统在 `ridge_joint_increment` 中部署了极其严密的横截面置换检验（Permutation Test）。置换逻辑并非简单地打乱整个三维矩阵，而是利用 `np.random.default_rng` 在每个交易日 `t` 的横截面上单独运行：</w:t>
      </w:r>
    </w:p>
    <w:tbl>
      <w:tblPr>
        <w:tblW w:type="auto" w:w="0"/>
        <w:jc w:val="center"/>
        <w:tblLayout w:type="fixed"/>
        <w:tblLook w:firstColumn="1" w:firstRow="1" w:lastColumn="0" w:lastRow="0" w:noHBand="0" w:noVBand="1" w:val="04A0"/>
      </w:tblPr>
      <w:tblGrid>
        <w:gridCol w:w="9360"/>
      </w:tblGrid>
      <w:tr>
        <w:tc>
          <w:tcPr>
            <w:tcW w:type="dxa" w:w="8352"/>
            <w:shd w:fill="2D3139"/>
            <w:tcMar>
              <w:top w:w="120" w:type="dxa"/>
              <w:bottom w:w="120" w:type="dxa"/>
              <w:left w:w="150" w:type="dxa"/>
              <w:right w:w="150" w:type="dxa"/>
            </w:tcMar>
            <w:tcBorders>
              <w:left w:sz="16" w:val="single" w:color="00E5FF" w:space="0"/>
              <w:top w:sz="0" w:val="none" w:color="auto" w:space="0"/>
              <w:bottom w:sz="0" w:val="none" w:color="auto" w:space="0"/>
              <w:right w:sz="0" w:val="none" w:color="auto" w:space="0"/>
            </w:tcBorders>
          </w:tcPr>
          <w:p>
            <w:pPr>
              <w:spacing w:after="0"/>
            </w:pPr>
            <w:r>
              <w:rPr>
                <w:rFonts w:ascii="Fira Code" w:hAnsi="Fira Code"/>
                <w:color w:val="DDDDDD"/>
                <w:sz w:val="17"/>
              </w:rPr>
              <w:t>for t in range(cp.shape[0]):</w:t>
              <w:br/>
              <w:t xml:space="preserve">    idx = np.where(~np.isnan(cp[t]))[0]</w:t>
              <w:br/>
              <w:t xml:space="preserve">    if len(idx) &gt; 1:</w:t>
              <w:br/>
              <w:t xml:space="preserve">        cp[t, idx] = cp[t, rng.permutation(idx)]</w:t>
            </w:r>
          </w:p>
        </w:tc>
      </w:tr>
    </w:tbl>
    <w:p>
      <w:pPr>
        <w:spacing w:before="0" w:after="80"/>
      </w:pPr>
    </w:p>
    <w:p>
      <w:pPr>
        <w:spacing w:after="120" w:line="300" w:lineRule="auto"/>
      </w:pPr>
      <w:r>
        <w:rPr>
          <w:rFonts w:ascii="Microsoft YaHei" w:hAnsi="Microsoft YaHei" w:eastAsia="Microsoft YaHei"/>
          <w:color w:val="333333"/>
          <w:sz w:val="21"/>
        </w:rPr>
        <w:t>通过定位 `~np.isnan` 的有效个股索引 `idx` 并进行随机置换，系统在物理上销毁了因子的横截面预测能力，却完美保留了其原有的 NaN 空值空间拓扑结构。系统进行 `n_perm = 5` 次置换，求出置换模型的边际贡献均值 `perm_inc`，从而计算出真实的边际增量：</w:t>
        <w:br/>
        <w:t>true_inc = surface_inc - perm_inc</w:t>
        <w:br/>
        <w:t>同时，使用置换序列的标准差 `perm_std`，计算候选因子的显著性 Z 值：`z = true_inc / perm_std`。这有效地隔离了由于缺失值偏差带来的“换皮”因子。</w:t>
      </w:r>
    </w:p>
    <w:p>
      <w:pPr>
        <w:keepNext/>
        <w:spacing w:before="320" w:after="160"/>
      </w:pPr>
      <w:r>
        <w:rPr>
          <w:rFonts w:ascii="Microsoft YaHei" w:hAnsi="Microsoft YaHei" w:eastAsia="Microsoft YaHei"/>
          <w:b/>
          <w:color w:val="4A779D"/>
          <w:sz w:val="26"/>
        </w:rPr>
        <w:t>4.3 审计 Verdict（判定）分类决策机理</w:t>
      </w:r>
    </w:p>
    <w:p>
      <w:pPr>
        <w:spacing w:after="120" w:line="300" w:lineRule="auto"/>
      </w:pPr>
      <w:r>
        <w:rPr>
          <w:rFonts w:ascii="Microsoft YaHei" w:hAnsi="Microsoft YaHei" w:eastAsia="Microsoft YaHei"/>
          <w:color w:val="333333"/>
          <w:sz w:val="21"/>
        </w:rPr>
        <w:t>基于边际增量 Z 值和经济阈值 `real_threshold`（默认 0.015），`audit_factor` 函数会输出四种 Verdict 状态之一，作为决策的唯一依据：</w:t>
        <w:br/>
        <w:t>1. `REAL`：当 `true_inc &gt;= real_threshold` 且 `z &gt;= 2.0` 时，判定该因子具有显著的边际正阿尔法，准予进入台账晋级流程；</w:t>
        <w:br/>
        <w:t>2. `TRUE_BUT_SMALL`：当 `z &gt;= 2.0` 但 `true_inc &lt; real_threshold` 时，表明因子统计上显著但绝对量级微弱，无实际投资价值；</w:t>
        <w:br/>
        <w:t>3. `NOISE`：当 `z &lt; 2.0` 时，表明因子与打乱后的噪声无异，判定为 price-in 的无效因子，丢入废弃池；</w:t>
        <w:br/>
        <w:t>4. `UNDECIDABLE`：当训练集有效天数小于 200 天或横截面个股少于 30 只时，触发此保护，拒绝给出定性结论。</w:t>
      </w:r>
    </w:p>
    <w:p>
      <w:r>
        <w:br w:type="page"/>
      </w:r>
    </w:p>
    <w:p>
      <w:pPr>
        <w:keepNext/>
        <w:spacing w:before="440" w:after="200"/>
      </w:pPr>
      <w:r>
        <w:rPr>
          <w:rFonts w:ascii="Microsoft YaHei" w:hAnsi="Microsoft YaHei" w:eastAsia="Microsoft YaHei"/>
          <w:b/>
          <w:color w:val="1B365D"/>
          <w:sz w:val="32"/>
        </w:rPr>
        <w:t>第五章：load_lake.py 防未来 PIT 对齐与不变量写保护机制</w:t>
      </w:r>
    </w:p>
    <w:p>
      <w:pPr>
        <w:keepNext/>
        <w:spacing w:before="320" w:after="160"/>
      </w:pPr>
      <w:r>
        <w:rPr>
          <w:rFonts w:ascii="Microsoft YaHei" w:hAnsi="Microsoft YaHei" w:eastAsia="Microsoft YaHei"/>
          <w:b/>
          <w:color w:val="4A779D"/>
          <w:sz w:val="26"/>
        </w:rPr>
        <w:t>5.1 财务公告日 union-ffill-reindex 模式</w:t>
      </w:r>
    </w:p>
    <w:p>
      <w:pPr>
        <w:spacing w:after="120" w:line="300" w:lineRule="auto"/>
      </w:pPr>
      <w:r>
        <w:rPr>
          <w:rFonts w:ascii="Microsoft YaHei" w:hAnsi="Microsoft YaHei" w:eastAsia="Microsoft YaHei"/>
          <w:color w:val="333333"/>
          <w:sz w:val="21"/>
        </w:rPr>
        <w:t>在 `lake/load_lake.py` 中，`load_fundamental_panel` 承担了将批量长表对齐到交易日面板并严格防范未来函数的任务。代码的实现逻辑是：首先读取 parquet 并丢弃所有 `avail_date`（公告日）为空的行，然后将其 pivot 成以 `avail_date` 为行、股票 `code` 为列的宽表。由于公告日并非连续的交易日，为了将其对齐到系统回测使用的 DatetimeIndex `trade_idx` 上，系统执行了三步法数据对齐：</w:t>
      </w:r>
    </w:p>
    <w:tbl>
      <w:tblPr>
        <w:tblW w:type="auto" w:w="0"/>
        <w:jc w:val="center"/>
        <w:tblLayout w:type="fixed"/>
        <w:tblLook w:firstColumn="1" w:firstRow="1" w:lastColumn="0" w:lastRow="0" w:noHBand="0" w:noVBand="1" w:val="04A0"/>
      </w:tblPr>
      <w:tblGrid>
        <w:gridCol w:w="9360"/>
      </w:tblGrid>
      <w:tr>
        <w:tc>
          <w:tcPr>
            <w:tcW w:type="dxa" w:w="8352"/>
            <w:shd w:fill="2D3139"/>
            <w:tcMar>
              <w:top w:w="120" w:type="dxa"/>
              <w:bottom w:w="120" w:type="dxa"/>
              <w:left w:w="150" w:type="dxa"/>
              <w:right w:w="150" w:type="dxa"/>
            </w:tcMar>
            <w:tcBorders>
              <w:left w:sz="16" w:val="single" w:color="00E5FF" w:space="0"/>
              <w:top w:sz="0" w:val="none" w:color="auto" w:space="0"/>
              <w:bottom w:sz="0" w:val="none" w:color="auto" w:space="0"/>
              <w:right w:sz="0" w:val="none" w:color="auto" w:space="0"/>
            </w:tcBorders>
          </w:tcPr>
          <w:p>
            <w:pPr>
              <w:spacing w:after="0"/>
            </w:pPr>
            <w:r>
              <w:rPr>
                <w:rFonts w:ascii="Fira Code" w:hAnsi="Fira Code"/>
                <w:color w:val="DDDDDD"/>
                <w:sz w:val="17"/>
              </w:rPr>
              <w:t>aligned = pivot.reindex(pivot.index.union(trade_idx)).ffill().reindex(trade_idx)</w:t>
            </w:r>
          </w:p>
        </w:tc>
      </w:tr>
    </w:tbl>
    <w:p>
      <w:pPr>
        <w:spacing w:before="0" w:after="80"/>
      </w:pPr>
    </w:p>
    <w:p>
      <w:pPr>
        <w:spacing w:after="120" w:line="300" w:lineRule="auto"/>
      </w:pPr>
      <w:r>
        <w:rPr>
          <w:rFonts w:ascii="Microsoft YaHei" w:hAnsi="Microsoft YaHei" w:eastAsia="Microsoft YaHei"/>
          <w:color w:val="333333"/>
          <w:sz w:val="21"/>
        </w:rPr>
        <w:t>该模式首先使用 `union` 合并公告日和交易日时间轴，随后使用 `ffill`（前向填充）将已披露的财务数据广播到后续日期。最后，再次 `reindex` 截断回交易日时间轴。这一方法保证了 T 日的回测矩阵中，各股票暴露的财务数据只能是 T 日之前已经公告披露的数值，消除了时间轴错配导致的信息穿越。</w:t>
      </w:r>
    </w:p>
    <w:p>
      <w:pPr>
        <w:keepNext/>
        <w:spacing w:before="320" w:after="160"/>
      </w:pPr>
      <w:r>
        <w:rPr>
          <w:rFonts w:ascii="Microsoft YaHei" w:hAnsi="Microsoft YaHei" w:eastAsia="Microsoft YaHei"/>
          <w:b/>
          <w:color w:val="4A779D"/>
          <w:sz w:val="26"/>
        </w:rPr>
        <w:t>5.2 资金面长表 lag-shift 滞后一日对齐</w:t>
      </w:r>
    </w:p>
    <w:p>
      <w:pPr>
        <w:spacing w:after="120" w:line="300" w:lineRule="auto"/>
      </w:pPr>
      <w:r>
        <w:rPr>
          <w:rFonts w:ascii="Microsoft YaHei" w:hAnsi="Microsoft YaHei" w:eastAsia="Microsoft YaHei"/>
          <w:color w:val="333333"/>
          <w:sz w:val="21"/>
        </w:rPr>
        <w:t>两融和北向资金数据通常由交易所在每日收盘后（EOD）才正式对外披露。因此，虽然数据记录的 trade_date 是 T 日，但如果回测在 T 日的交易决策中就使用了 T 日的两融数值，就等于提前获取了盘后公布的统计信息，属于隐性数据泄露。在 `load_capital_panel` 中，系统设计了严格的 shift(1) 对齐机制：</w:t>
        <w:br/>
        <w:t>aligned = pivot.reindex(pivot.index.union(trade_idx)).sort_index().shift(1).reindex(trade_idx)</w:t>
        <w:br/>
        <w:t>通过在合并时间轴并排序后强制调用 `shift(1)`，系统将 T 日发生的融券融资数据推后到 T+1 日的交易决策中才开始生效，从而在物理上保证了策略只能使用到“已发生且已公告”的晚间披露数据。</w:t>
      </w:r>
    </w:p>
    <w:p>
      <w:pPr>
        <w:keepNext/>
        <w:spacing w:before="320" w:after="160"/>
      </w:pPr>
      <w:r>
        <w:rPr>
          <w:rFonts w:ascii="Microsoft YaHei" w:hAnsi="Microsoft YaHei" w:eastAsia="Microsoft YaHei"/>
          <w:b/>
          <w:color w:val="4A779D"/>
          <w:sz w:val="26"/>
        </w:rPr>
        <w:t>5.3 宏观时序 monthly(M) 数据的 M+2 月初生效机制</w:t>
      </w:r>
    </w:p>
    <w:p>
      <w:pPr>
        <w:spacing w:after="120" w:line="300" w:lineRule="auto"/>
      </w:pPr>
      <w:r>
        <w:rPr>
          <w:rFonts w:ascii="Microsoft YaHei" w:hAnsi="Microsoft YaHei" w:eastAsia="Microsoft YaHei"/>
          <w:color w:val="333333"/>
          <w:sz w:val="21"/>
        </w:rPr>
        <w:t>宏观经济指标（如 CPI、PPI、M2 增速等）在统计上以月份为单位，但其数据公布时间通常存在 1 个月左右的滞后（例如 3 月份的 CPI 通常在 4 月中旬才公布）。如果在回测中直接在 3 月 31 日引用 3 月的 CPI，就犯了未来函数错误。系统在 `align_macro` 中实现了极度审慎的月度滞后机制：对于 monthly 宏观长表，解析月份 `m` 后，强制将索引重映射到 M+2 月的 1 号：</w:t>
        <w:br/>
        <w:t>df.index = m + pd.offsets.MonthBegin(2)</w:t>
        <w:br/>
        <w:t>这意味着，3 月份的宏观指标只在 5 月 1 日以后的交易日中才被前向填充（ffill）并对策略可见。这一极其保守的设计拉长了信息时滞，完全阻断了宏观因子回测的幸存者水份。</w:t>
      </w:r>
    </w:p>
    <w:p>
      <w:r>
        <w:br w:type="page"/>
      </w:r>
    </w:p>
    <w:p>
      <w:pPr>
        <w:keepNext/>
        <w:spacing w:before="440" w:after="200"/>
      </w:pPr>
      <w:r>
        <w:rPr>
          <w:rFonts w:ascii="Microsoft YaHei" w:hAnsi="Microsoft YaHei" w:eastAsia="Microsoft YaHei"/>
          <w:b/>
          <w:color w:val="1B365D"/>
          <w:sz w:val="32"/>
        </w:rPr>
        <w:t>第六章：islands.py 多岛屿遗传演化搜索与自进化目标函数</w:t>
      </w:r>
    </w:p>
    <w:p>
      <w:pPr>
        <w:keepNext/>
        <w:spacing w:before="320" w:after="160"/>
      </w:pPr>
      <w:r>
        <w:rPr>
          <w:rFonts w:ascii="Microsoft YaHei" w:hAnsi="Microsoft YaHei" w:eastAsia="Microsoft YaHei"/>
          <w:b/>
          <w:color w:val="4A779D"/>
          <w:sz w:val="26"/>
        </w:rPr>
        <w:t>6.1 遗传算法变异与交叉算子实现</w:t>
      </w:r>
    </w:p>
    <w:p>
      <w:pPr>
        <w:spacing w:after="120" w:line="300" w:lineRule="auto"/>
      </w:pPr>
      <w:r>
        <w:rPr>
          <w:rFonts w:ascii="Microsoft YaHei" w:hAnsi="Microsoft YaHei" w:eastAsia="Microsoft YaHei"/>
          <w:color w:val="333333"/>
          <w:sz w:val="21"/>
        </w:rPr>
        <w:t>系统的公式进化迭代逻辑由 `factory/autoresearch/islands.py` 的 `mutate_ast` 与 `crossover_ast` 驱动。变异算子 `mutate_ast` 会在白名单内的五大变异操作中随机选择 1~2 个进行演变：</w:t>
      </w:r>
    </w:p>
    <w:p>
      <w:pPr>
        <w:spacing w:after="120" w:line="300" w:lineRule="auto"/>
      </w:pPr>
      <w:r>
        <w:rPr>
          <w:rFonts w:ascii="Microsoft YaHei" w:hAnsi="Microsoft YaHei" w:eastAsia="Microsoft YaHei"/>
          <w:color w:val="333333"/>
          <w:sz w:val="21"/>
        </w:rPr>
        <w:t>1. `window` 窗口变异：对时序算子（如 `ts_mean`）的窗口参数乘以一个 `[0.5, 2.0]` 之间的随机数并取整，再裁剪到预设界限内；</w:t>
        <w:br/>
        <w:t>2. `weight` 权重变异：对因子的线性组合权重乘上随机波动率并有概率反转正负号，以调整子项方向；</w:t>
        <w:br/>
        <w:t>3. `swap_factor` 因子置换：随机替换叶子节点的输入因子；</w:t>
        <w:br/>
        <w:t>4. `transform` 算子变异：随机增加或删除标准化算子，如 `mad_clip` 离群值截断、`zscore` 标准化或 `rank` 横截面排序；</w:t>
        <w:br/>
        <w:t>5. `add_term` / `drop_term`：动态增删因子的子项项数，控制公式复杂度。</w:t>
        <w:br/>
        <w:t>杂交算子 `crossover_ast` 则提取两个优秀父代 AST 的 terms 列表，随机采样出 1~3 个 terms 合并为 linear_combo 子代，并合并其 Thesis 经济解释。</w:t>
      </w:r>
    </w:p>
    <w:p>
      <w:pPr>
        <w:keepNext/>
        <w:spacing w:before="320" w:after="160"/>
      </w:pPr>
      <w:r>
        <w:rPr>
          <w:rFonts w:ascii="Microsoft YaHei" w:hAnsi="Microsoft YaHei" w:eastAsia="Microsoft YaHei"/>
          <w:b/>
          <w:color w:val="4A779D"/>
          <w:sz w:val="26"/>
        </w:rPr>
        <w:t>6.2 岛屿进化循环与 ThreadPoolExecutor 异步并行评估</w:t>
      </w:r>
    </w:p>
    <w:p>
      <w:pPr>
        <w:spacing w:after="120" w:line="300" w:lineRule="auto"/>
      </w:pPr>
      <w:r>
        <w:rPr>
          <w:rFonts w:ascii="Microsoft YaHei" w:hAnsi="Microsoft YaHei" w:eastAsia="Microsoft YaHei"/>
          <w:color w:val="333333"/>
          <w:sz w:val="21"/>
        </w:rPr>
        <w:t>搜索算法主函数 `run_island_search` 在运行中，首先初始化 $N$ 个岛屿，每个岛屿根据独立的 rng 种子构建独立的初始种群。在每一代的进化循环中，为了加快计算速度，系统实现了异步评估逻辑。系统首先过滤出本代生成的所有尚未计算过 L0 绩效的 Candidate 列表，并开启多线程池进行高并发跑验证：</w:t>
        <w:br/>
        <w:t>with ThreadPoolExecutor(max_workers=min(len(to_eval), 8)) as executor:</w:t>
        <w:br/>
        <w:t xml:space="preserve">    jobs = {executor.submit(run_validation_pipeline, c, max_stage='l0', **pipe_kw): c for c in to_eval}</w:t>
        <w:br/>
        <w:t>并发 L0 评估完成后，系统再按照适应度函数对本代个体的 fitness 排序，保留 elites（精英个体），并继续变异产生子代。在每一代结束时，岛屿间执行 Ring Elite Migration（环形精英迁移）：将本岛最优个体复制到相邻岛屿的下一代种群中，实现了全局寻优的多样性。</w:t>
      </w:r>
    </w:p>
    <w:p>
      <w:pPr>
        <w:keepNext/>
        <w:spacing w:before="320" w:after="160"/>
      </w:pPr>
      <w:r>
        <w:rPr>
          <w:rFonts w:ascii="Microsoft YaHei" w:hAnsi="Microsoft YaHei" w:eastAsia="Microsoft YaHei"/>
          <w:b/>
          <w:color w:val="4A779D"/>
          <w:sz w:val="26"/>
        </w:rPr>
        <w:t>6.3 融入去相关与重发现硬闸的适应度函数</w:t>
      </w:r>
    </w:p>
    <w:p>
      <w:pPr>
        <w:spacing w:after="120" w:line="300" w:lineRule="auto"/>
      </w:pPr>
      <w:r>
        <w:rPr>
          <w:rFonts w:ascii="Microsoft YaHei" w:hAnsi="Microsoft YaHei" w:eastAsia="Microsoft YaHei"/>
          <w:color w:val="333333"/>
          <w:sz w:val="21"/>
        </w:rPr>
        <w:t>为了避免种群朝高相关性和高换手率方向坍缩，系统在 `fitness` 函数中构建了精细的多目标惩罚项：</w:t>
      </w:r>
    </w:p>
    <w:tbl>
      <w:tblPr>
        <w:tblW w:type="auto" w:w="0"/>
        <w:jc w:val="center"/>
        <w:tblLayout w:type="fixed"/>
        <w:tblLook w:firstColumn="1" w:firstRow="1" w:lastColumn="0" w:lastRow="0" w:noHBand="0" w:noVBand="1" w:val="04A0"/>
      </w:tblPr>
      <w:tblGrid>
        <w:gridCol w:w="9360"/>
      </w:tblGrid>
      <w:tr>
        <w:tc>
          <w:tcPr>
            <w:tcW w:type="dxa" w:w="8352"/>
            <w:shd w:fill="F4F6F9"/>
            <w:tcMar>
              <w:top w:w="160" w:type="dxa"/>
              <w:bottom w:w="160" w:type="dxa"/>
              <w:left w:w="200" w:type="dxa"/>
              <w:right w:w="160" w:type="dxa"/>
            </w:tcMar>
            <w:tcBorders>
              <w:left w:sz="24" w:val="single" w:color="4A779D" w:space="0"/>
              <w:top w:sz="0" w:val="none" w:color="auto" w:space="0"/>
              <w:bottom w:sz="0" w:val="none" w:color="auto" w:space="0"/>
              <w:right w:sz="0" w:val="none" w:color="auto" w:space="0"/>
            </w:tcBorders>
          </w:tcPr>
          <w:p>
            <w:pPr>
              <w:spacing w:after="0"/>
            </w:pPr>
            <w:r>
              <w:rPr>
                <w:rFonts w:ascii="Microsoft YaHei" w:hAnsi="Microsoft YaHei" w:eastAsia="Microsoft YaHei"/>
                <w:b/>
                <w:color w:val="1B365D"/>
                <w:sz w:val="20"/>
              </w:rPr>
              <w:t>★ 自进化适应度计算逻辑：</w:t>
              <w:br/>
            </w:r>
            <w:r>
              <w:rPr>
                <w:rFonts w:ascii="Microsoft YaHei" w:hAnsi="Microsoft YaHei" w:eastAsia="Microsoft YaHei"/>
                <w:color w:val="555555"/>
                <w:sz w:val="19"/>
              </w:rPr>
              <w:t>Fitness = (Edge_NW + novelty_weight * Novelty - corr_weight * Correlation - turnover_weight * Turnover) * priority_adjustment</w:t>
              <w:br/>
              <w:t>硬隔离闸门：当 corr_weight &gt; 0 时，如果新因子与在册 ACTIVE 策略组合的相关系数 Correlation 大于 rediscovery_corr (默认 0.50)，表示该因子的超额收益已被在册策略所捕获。系统会无视其多高的原始收益，强行将 Edge 判定为 0.0。这迫使高 IC 复制因子下沉至队列底部，逼出真正的低相关防御腿。</w:t>
            </w:r>
          </w:p>
        </w:tc>
      </w:tr>
    </w:tbl>
    <w:p>
      <w:pPr>
        <w:spacing w:before="0" w:after="80"/>
      </w:pPr>
    </w:p>
    <w:p>
      <w:pPr>
        <w:keepNext/>
        <w:spacing w:before="320" w:after="160"/>
      </w:pPr>
      <w:r>
        <w:rPr>
          <w:rFonts w:ascii="Microsoft YaHei" w:hAnsi="Microsoft YaHei" w:eastAsia="Microsoft YaHei"/>
          <w:b/>
          <w:color w:val="4A779D"/>
          <w:sz w:val="26"/>
        </w:rPr>
        <w:t>6.4 行为新颖度 Novelty 算法与换手代理计算</w:t>
      </w:r>
    </w:p>
    <w:p>
      <w:pPr>
        <w:spacing w:after="120" w:line="300" w:lineRule="auto"/>
      </w:pPr>
      <w:r>
        <w:rPr>
          <w:rFonts w:ascii="Microsoft YaHei" w:hAnsi="Microsoft YaHei" w:eastAsia="Microsoft YaHei"/>
          <w:color w:val="333333"/>
          <w:sz w:val="21"/>
        </w:rPr>
        <w:t>适应度中的 Novelty 项定义在 `factory/autoresearch/novelty.py` 中。算法首先采样 60 个交易日作为“行为评估日期”（`behavior_idx`）。随后计算候选因子的个股截面板。行为新颖度 `novelty_score` 的计算逻辑是：将新因子面板与已评估因子数据库及在册策略面板进行最近邻 Spearman 秩相关系数距离计算，如果与任何已有因子的距离过短，其 novelty_score 将大幅下降。换手代理项 `topn_turnover` 则计算候选因子 top_25 持仓在相邻周期的 Jaccard 流失率。通过这些风控前置，从源头上剔除了高换手的反转型垃圾因子。</w:t>
      </w:r>
    </w:p>
    <w:p>
      <w:r>
        <w:br w:type="page"/>
      </w:r>
    </w:p>
    <w:p>
      <w:pPr>
        <w:keepNext/>
        <w:spacing w:before="440" w:after="200"/>
      </w:pPr>
      <w:r>
        <w:rPr>
          <w:rFonts w:ascii="Microsoft YaHei" w:hAnsi="Microsoft YaHei" w:eastAsia="Microsoft YaHei"/>
          <w:b/>
          <w:color w:val="1B365D"/>
          <w:sz w:val="32"/>
        </w:rPr>
        <w:t>第七章：phase1_synthetic.py 仿真时空穿梭防未来函数测试</w:t>
      </w:r>
    </w:p>
    <w:p>
      <w:pPr>
        <w:keepNext/>
        <w:spacing w:before="320" w:after="160"/>
      </w:pPr>
      <w:r>
        <w:rPr>
          <w:rFonts w:ascii="Microsoft YaHei" w:hAnsi="Microsoft YaHei" w:eastAsia="Microsoft YaHei"/>
          <w:b/>
          <w:color w:val="4A779D"/>
          <w:sz w:val="26"/>
        </w:rPr>
        <w:t>7.1 仿真时空穿梭测试原理与干净/泄露数据集构建</w:t>
      </w:r>
    </w:p>
    <w:p>
      <w:pPr>
        <w:spacing w:after="120" w:line="300" w:lineRule="auto"/>
      </w:pPr>
      <w:r>
        <w:rPr>
          <w:rFonts w:ascii="Microsoft YaHei" w:hAnsi="Microsoft YaHei" w:eastAsia="Microsoft YaHei"/>
          <w:color w:val="333333"/>
          <w:sz w:val="21"/>
        </w:rPr>
        <w:t>虽然代码静态语法检查可以识别简单的未来函数，但对于复杂的算法实现或间接调用，静态分析极易漏诊。因此，`workflow/phase1_synthetic.py` 采用了一种创新的 numerical 仿真时空穿梭测试（Numerical Time-Travel Perturbation Audit）来对因子进行测谎。系统首先利用 `make_synthetic_clean` 构建了一个包含 120 天已知价格运动路径的“干净仿真数据集”：前 100 天价格平稳，第 105 天注入一个突发的 +10% 涨停板事件；股票 000001 包含 2:1 的复权调整，股票 000003 在第 90 天执行退市（日线置为 NaN）；财务数据在第 100 天（`avail_date`）进行披露。同时，利用 `make_synthetic_leaky` 构建一个刻意移除了 shift(1) 并误用复权价计算成交量的“污染泄露数据集”，以此作为测试基准。</w:t>
      </w:r>
    </w:p>
    <w:p>
      <w:pPr>
        <w:keepNext/>
        <w:spacing w:before="320" w:after="160"/>
      </w:pPr>
      <w:r>
        <w:rPr>
          <w:rFonts w:ascii="Microsoft YaHei" w:hAnsi="Microsoft YaHei" w:eastAsia="Microsoft YaHei"/>
          <w:b/>
          <w:color w:val="4A779D"/>
          <w:sz w:val="26"/>
        </w:rPr>
        <w:t>7.2 Timing 择时信号穿越测试代码级细节</w:t>
      </w:r>
    </w:p>
    <w:p>
      <w:pPr>
        <w:spacing w:after="120" w:line="300" w:lineRule="auto"/>
      </w:pPr>
      <w:r>
        <w:rPr>
          <w:rFonts w:ascii="Microsoft YaHei" w:hAnsi="Microsoft YaHei" w:eastAsia="Microsoft YaHei"/>
          <w:color w:val="333333"/>
          <w:sz w:val="21"/>
        </w:rPr>
        <w:t>择时信号如果使用了 T 日的大盘收盘价来预测 T 日的仓位，就等于在交易日决策时提前获取了当日收盘价，属于时序未来函数。在 `_check_timing_no_peek` 中，系统实现了两阶段的穿越审计：</w:t>
        <w:br/>
        <w:t>第一阶段：公式特征匹配。将策略输出的 timing 序列与正确的 `shift(1)` 序列和无 `shift` 的 leaky 序列进行位对齐比对，如果完全吻合 leaky 序列，直接判定为 FAIL。</w:t>
        <w:br/>
        <w:t>第二阶段：价格扰动测试。如果公式未能在第一阶段匹配，系统会强行对干净数据集在第 105 天（`gap_idx`）的收盘价乘上 0.3 倍（模拟大盘暴跌 70%）。随后运行策略的 timing 构造器 `timing_builder` 产生扰动后的信号 `t_pert`：</w:t>
      </w:r>
    </w:p>
    <w:tbl>
      <w:tblPr>
        <w:tblW w:type="auto" w:w="0"/>
        <w:jc w:val="center"/>
        <w:tblLayout w:type="fixed"/>
        <w:tblLook w:firstColumn="1" w:firstRow="1" w:lastColumn="0" w:lastRow="0" w:noHBand="0" w:noVBand="1" w:val="04A0"/>
      </w:tblPr>
      <w:tblGrid>
        <w:gridCol w:w="9360"/>
      </w:tblGrid>
      <w:tr>
        <w:tc>
          <w:tcPr>
            <w:tcW w:type="dxa" w:w="8352"/>
            <w:shd w:fill="2D3139"/>
            <w:tcMar>
              <w:top w:w="120" w:type="dxa"/>
              <w:bottom w:w="120" w:type="dxa"/>
              <w:left w:w="150" w:type="dxa"/>
              <w:right w:w="150" w:type="dxa"/>
            </w:tcMar>
            <w:tcBorders>
              <w:left w:sz="16" w:val="single" w:color="00E5FF" w:space="0"/>
              <w:top w:sz="0" w:val="none" w:color="auto" w:space="0"/>
              <w:bottom w:sz="0" w:val="none" w:color="auto" w:space="0"/>
              <w:right w:sz="0" w:val="none" w:color="auto" w:space="0"/>
            </w:tcBorders>
          </w:tcPr>
          <w:p>
            <w:pPr>
              <w:spacing w:after="0"/>
            </w:pPr>
            <w:r>
              <w:rPr>
                <w:rFonts w:ascii="Fira Code" w:hAnsi="Fira Code"/>
                <w:color w:val="DDDDDD"/>
                <w:sz w:val="17"/>
              </w:rPr>
              <w:t>t_orig = self.timing_builder(close, amount)</w:t>
              <w:br/>
              <w:t>t_pert = self.timing_builder(close_pert, amount)</w:t>
              <w:br/>
              <w:t>pre_mask = timing.index[:gap_idx]</w:t>
              <w:br/>
              <w:t>changed = any(not np.isclose(t_orig.loc[idx], t_pert.loc[idx], rtol=1e-3) for idx in pre_mask)</w:t>
            </w:r>
          </w:p>
        </w:tc>
      </w:tr>
    </w:tbl>
    <w:p>
      <w:pPr>
        <w:spacing w:before="0" w:after="80"/>
      </w:pPr>
    </w:p>
    <w:p>
      <w:pPr>
        <w:spacing w:after="120" w:line="300" w:lineRule="auto"/>
      </w:pPr>
      <w:r>
        <w:rPr>
          <w:rFonts w:ascii="Microsoft YaHei" w:hAnsi="Microsoft YaHei" w:eastAsia="Microsoft YaHei"/>
          <w:color w:val="333333"/>
          <w:sz w:val="21"/>
        </w:rPr>
        <w:t>扰动测试强行检验：如果在第 105 天的价格暴跌导致了 105 天之前的历史择时信号发生了任何微小改变，即代表策略在计算历史择时仓位时“偷看”了未来的价格，审计判定为 FAIL 并予以拦截。</w:t>
      </w:r>
    </w:p>
    <w:p>
      <w:pPr>
        <w:keepNext/>
        <w:spacing w:before="320" w:after="160"/>
      </w:pPr>
      <w:r>
        <w:rPr>
          <w:rFonts w:ascii="Microsoft YaHei" w:hAnsi="Microsoft YaHei" w:eastAsia="Microsoft YaHei"/>
          <w:b/>
          <w:color w:val="4A779D"/>
          <w:sz w:val="26"/>
        </w:rPr>
        <w:t>7.3 财务对齐 avail_date 审计与不复权量纲检测</w:t>
      </w:r>
    </w:p>
    <w:p>
      <w:pPr>
        <w:spacing w:after="120" w:line="300" w:lineRule="auto"/>
      </w:pPr>
      <w:r>
        <w:rPr>
          <w:rFonts w:ascii="Microsoft YaHei" w:hAnsi="Microsoft YaHei" w:eastAsia="Microsoft YaHei"/>
          <w:color w:val="333333"/>
          <w:sz w:val="21"/>
        </w:rPr>
        <w:t>在 `_check_fundamental_alignment` 财务审计中，系统利用 000001 股票在第 100 天的利润爆发数据进行对齐检验。审计程序计算 000001 与 000002 在第 100 天前后的因子差值变化。如果检测到财务信号在第 100 天之前就已经在因子值中有所体现（即 pre-avail 均值相比历史基准产生了 40% 以上的跳变），表明策略使用了财务报告期而非真实公告日对齐，判定为 FAIL 拦截。此外，在 `_check_amount_formula` 中，系统会精确计算输入策略的 amount 与 `volume * 100 * raw_close` 的差异。如果 amount 吻合 `volume * 100 * close`（使用复权价计算量纲），则会因为分母偏误判定为 FAIL，彻底封锁量纲错误。</w:t>
      </w:r>
    </w:p>
    <w:p>
      <w:r>
        <w:br w:type="page"/>
      </w:r>
    </w:p>
    <w:p>
      <w:pPr>
        <w:keepNext/>
        <w:spacing w:before="440" w:after="200"/>
      </w:pPr>
      <w:r>
        <w:rPr>
          <w:rFonts w:ascii="Microsoft YaHei" w:hAnsi="Microsoft YaHei" w:eastAsia="Microsoft YaHei"/>
          <w:b/>
          <w:color w:val="1B365D"/>
          <w:sz w:val="32"/>
        </w:rPr>
        <w:t>第八章：run_daily.py 与 paper_engine.py 生产日更与 T+1 模拟盘结算</w:t>
      </w:r>
    </w:p>
    <w:p>
      <w:pPr>
        <w:keepNext/>
        <w:spacing w:before="320" w:after="160"/>
      </w:pPr>
      <w:r>
        <w:rPr>
          <w:rFonts w:ascii="Microsoft YaHei" w:hAnsi="Microsoft YaHei" w:eastAsia="Microsoft YaHei"/>
          <w:b/>
          <w:color w:val="4A779D"/>
          <w:sz w:val="26"/>
        </w:rPr>
        <w:t>8.1 run_daily.py 生产信号调度逻辑</w:t>
      </w:r>
    </w:p>
    <w:p>
      <w:pPr>
        <w:spacing w:after="120" w:line="300" w:lineRule="auto"/>
      </w:pPr>
      <w:r>
        <w:rPr>
          <w:rFonts w:ascii="Microsoft YaHei" w:hAnsi="Microsoft YaHei" w:eastAsia="Microsoft YaHei"/>
          <w:color w:val="333333"/>
          <w:sz w:val="21"/>
        </w:rPr>
        <w:t>系统每日盘后的生产入口定义在 `factor_research/run_daily.py` 中。脚本运行时首先检查并加载当前的有效部署配置（`load_active_deployment`），提取分配到 `equity_alpha` 轨道的在册策略 spec 描述。随后调用 `load_price_panels` 载入 warmup_start 起点的全历史数据，利用 `build_executable_strategy` 类生成当天的因子面板与择时指标。主调度逻辑基于 `decide_action` 函数判定今日是否需要执行调仓交易：</w:t>
      </w:r>
    </w:p>
    <w:tbl>
      <w:tblPr>
        <w:tblW w:type="auto" w:w="0"/>
        <w:jc w:val="center"/>
        <w:tblLayout w:type="fixed"/>
        <w:tblLook w:firstColumn="1" w:firstRow="1" w:lastColumn="0" w:lastRow="0" w:noHBand="0" w:noVBand="1" w:val="04A0"/>
      </w:tblPr>
      <w:tblGrid>
        <w:gridCol w:w="9360"/>
      </w:tblGrid>
      <w:tr>
        <w:tc>
          <w:tcPr>
            <w:tcW w:type="dxa" w:w="8352"/>
            <w:shd w:fill="2D3139"/>
            <w:tcMar>
              <w:top w:w="120" w:type="dxa"/>
              <w:bottom w:w="120" w:type="dxa"/>
              <w:left w:w="150" w:type="dxa"/>
              <w:right w:w="150" w:type="dxa"/>
            </w:tcMar>
            <w:tcBorders>
              <w:left w:sz="16" w:val="single" w:color="00E5FF" w:space="0"/>
              <w:top w:sz="0" w:val="none" w:color="auto" w:space="0"/>
              <w:bottom w:sz="0" w:val="none" w:color="auto" w:space="0"/>
              <w:right w:sz="0" w:val="none" w:color="auto" w:space="0"/>
            </w:tcBorders>
          </w:tcPr>
          <w:p>
            <w:pPr>
              <w:spacing w:after="0"/>
            </w:pPr>
            <w:r>
              <w:rPr>
                <w:rFonts w:ascii="Fira Code" w:hAnsi="Fira Code"/>
                <w:color w:val="DDDDDD"/>
                <w:sz w:val="17"/>
              </w:rPr>
              <w:t>def decide_action(trade_dates, last_date, in_market, state, rebalance_days):</w:t>
              <w:br/>
              <w:t xml:space="preserve">    position = state.get('current_position', 'cash')</w:t>
              <w:br/>
              <w:t xml:space="preserve">    if not in_market:</w:t>
              <w:br/>
              <w:t xml:space="preserve">        return (True, '择时转空清仓', '清仓') if position == 'invested' else (False, '观望', '空仓')</w:t>
              <w:br/>
              <w:t xml:space="preserve">    if position != 'invested':</w:t>
              <w:br/>
              <w:t xml:space="preserve">        return True, '择时转多建仓', '建仓买入'</w:t>
              <w:br/>
              <w:t xml:space="preserve">    last_rebal = pd.Timestamp(state.get('last_rebalance_date'))</w:t>
              <w:br/>
              <w:t xml:space="preserve">    gap = int(((trade_dates &gt; last_rebal) &amp; (trade_dates &lt;= last_date)).sum())</w:t>
              <w:br/>
              <w:t xml:space="preserve">    if gap &gt;= rebalance_days:</w:t>
              <w:br/>
              <w:t xml:space="preserve">        return True, f'调仓间隔 {gap} 天', '调仓买入'</w:t>
              <w:br/>
              <w:t xml:space="preserve">    return False, '维持原仓位', '维持原仓位'</w:t>
            </w:r>
          </w:p>
        </w:tc>
      </w:tr>
    </w:tbl>
    <w:p>
      <w:pPr>
        <w:spacing w:before="0" w:after="80"/>
      </w:pPr>
    </w:p>
    <w:p>
      <w:pPr>
        <w:spacing w:after="120" w:line="300" w:lineRule="auto"/>
      </w:pPr>
      <w:r>
        <w:rPr>
          <w:rFonts w:ascii="Microsoft YaHei" w:hAnsi="Microsoft YaHei" w:eastAsia="Microsoft YaHei"/>
          <w:color w:val="333333"/>
          <w:sz w:val="21"/>
        </w:rPr>
        <w:t>若交易允许（allowed 为 True），日更程序将持仓指令写入 `signals/YYYY-MM-DD.json`，并持久化当前仓位状态到 `state.json`；若 allowed 状态为 False，则自动将信号降级到 `signals/drafts/` 目录下，并锁定交易台面。</w:t>
      </w:r>
    </w:p>
    <w:p>
      <w:pPr>
        <w:keepNext/>
        <w:spacing w:before="320" w:after="160"/>
      </w:pPr>
      <w:r>
        <w:rPr>
          <w:rFonts w:ascii="Microsoft YaHei" w:hAnsi="Microsoft YaHei" w:eastAsia="Microsoft YaHei"/>
          <w:b/>
          <w:color w:val="4A779D"/>
          <w:sz w:val="26"/>
        </w:rPr>
        <w:t>8.2 paper_engine.py 自动模拟交易结算细节</w:t>
      </w:r>
    </w:p>
    <w:p>
      <w:pPr>
        <w:spacing w:after="120" w:line="300" w:lineRule="auto"/>
      </w:pPr>
      <w:r>
        <w:rPr>
          <w:rFonts w:ascii="Microsoft YaHei" w:hAnsi="Microsoft YaHei" w:eastAsia="Microsoft YaHei"/>
          <w:color w:val="333333"/>
          <w:sz w:val="21"/>
        </w:rPr>
        <w:t>系统的全自动模拟盘托管在 `portfolio/paper_engine.py` 中，独立于任何真实券商接口以防安全溢出。每天盘后，模拟盘执行 T+1 结算。在结算多头持仓时，结算引擎从 `daily_raw/` 目录加载个股的不复权收盘价，真实扣减买卖双边佣金、过户费及印花税，并在 T+1 日调仓时以开盘均价或 VWAP 计算成交，扣除滑点。为了实现完全逼真的仿真，订单模拟器 `OrderSimulator` 强行限制：如果目标买入股票在调仓日发生全天停牌，或者开盘即一字涨停板，订单结算自动判定为‘买入受阻’并予以撤单；同理，若持仓股发生停牌或一字跌停板，订单自动判定为‘卖出受阻’并继续持有，以诚实模拟流动性冻结对净值的真实拖累。交易完成后，空闲资金会自动申购 511010 国债 ETF 以实现利息覆盖。</w:t>
      </w:r>
    </w:p>
    <w:p>
      <w:r>
        <w:br w:type="page"/>
      </w:r>
    </w:p>
    <w:p>
      <w:pPr>
        <w:keepNext/>
        <w:spacing w:before="440" w:after="200"/>
      </w:pPr>
      <w:r>
        <w:rPr>
          <w:rFonts w:ascii="Microsoft YaHei" w:hAnsi="Microsoft YaHei" w:eastAsia="Microsoft YaHei"/>
          <w:b/>
          <w:color w:val="1B365D"/>
          <w:sz w:val="32"/>
        </w:rPr>
        <w:t>第九章：系统治理、金库保护与 Holdout 边界管理</w:t>
      </w:r>
    </w:p>
    <w:p>
      <w:pPr>
        <w:keepNext/>
        <w:spacing w:before="320" w:after="160"/>
      </w:pPr>
      <w:r>
        <w:rPr>
          <w:rFonts w:ascii="Microsoft YaHei" w:hAnsi="Microsoft YaHei" w:eastAsia="Microsoft YaHei"/>
          <w:b/>
          <w:color w:val="4A779D"/>
          <w:sz w:val="26"/>
        </w:rPr>
        <w:t>9.1 黄金金库物理隔离与 hash-lock 配置钉死</w:t>
      </w:r>
    </w:p>
    <w:p>
      <w:pPr>
        <w:spacing w:after="120" w:line="300" w:lineRule="auto"/>
      </w:pPr>
      <w:r>
        <w:rPr>
          <w:rFonts w:ascii="Microsoft YaHei" w:hAnsi="Microsoft YaHei" w:eastAsia="Microsoft YaHei"/>
          <w:color w:val="333333"/>
          <w:sz w:val="21"/>
        </w:rPr>
        <w:t>在学术和工业量化研发中，为了防止由于反复测试同一个数据集而产生的“样本外数据污染”，平台强制设立了 Holdout 黄金金库防线（Genesis 设在 2025-01-01 之后的数据段）。金库期内的 Parquet 文件在回测执行时被完全裁剪不读。为了从机制上杜绝研究员或 Agent 擅自前移金库起始日以获取好曲线，系统在 `app_config/holdout_boundary_history.jsonl` 中对金库配置文件进行了加密哈希锁定。CI 静态校验程序在编译检查时会强行验证：`hash_sha256(holdout_start_date) == LOCKED_HASH`，任何未通过决策委员会审计通过的手工改动，都将导致 CI 和生产日更 Fail-Closed 崩溃，在根本上守护了金库边界的严肃性。</w:t>
      </w:r>
    </w:p>
    <w:p>
      <w:pPr>
        <w:keepNext/>
        <w:spacing w:before="320" w:after="160"/>
      </w:pPr>
      <w:r>
        <w:rPr>
          <w:rFonts w:ascii="Microsoft YaHei" w:hAnsi="Microsoft YaHei" w:eastAsia="Microsoft YaHei"/>
          <w:b/>
          <w:color w:val="4A779D"/>
          <w:sz w:val="26"/>
        </w:rPr>
        <w:t>9.2 金库边界“只进不退”单向递增协议</w:t>
      </w:r>
    </w:p>
    <w:p>
      <w:pPr>
        <w:spacing w:after="120" w:line="300" w:lineRule="auto"/>
      </w:pPr>
      <w:r>
        <w:rPr>
          <w:rFonts w:ascii="Microsoft YaHei" w:hAnsi="Microsoft YaHei" w:eastAsia="Microsoft YaHei"/>
          <w:color w:val="333333"/>
          <w:sz w:val="21"/>
        </w:rPr>
        <w:t>金库边界往前移动（即暴露出更多的历史数据作为已知训练集）必须遵循严格的单向递增协议（Monotonicity Protocol），由唯一的管理模块 `governance.holdout.migrate_holdout_boundary()` 承载。该函数在执行时，首先加载 append-only 的历史边界账本 `holdout_boundary_history.jsonl`，提取当前的 active 最大边界。如果传入的新边界日期小于或等于当前边界，函数直接抛出 `HoldoutBoundaryRegression` 严重异常并退出 1。这在物理机制上杜绝了‘将已泄露的样本外数据重新装回金库以欺骗检验’的数据作弊漏洞，实现了量化记录的单向时间轴前进约束。</w:t>
      </w:r>
    </w:p>
    <w:p>
      <w:r>
        <w:br w:type="page"/>
      </w:r>
    </w:p>
    <w:p>
      <w:pPr>
        <w:keepNext/>
        <w:spacing w:before="440" w:after="200"/>
      </w:pPr>
      <w:r>
        <w:rPr>
          <w:rFonts w:ascii="Microsoft YaHei" w:hAnsi="Microsoft YaHei" w:eastAsia="Microsoft YaHei"/>
          <w:b/>
          <w:color w:val="1B365D"/>
          <w:sz w:val="32"/>
        </w:rPr>
        <w:t>第十章：系统避坑教训（Lessons）与 ADR 架构变迁</w:t>
      </w:r>
    </w:p>
    <w:p>
      <w:pPr>
        <w:keepNext/>
        <w:spacing w:before="320" w:after="160"/>
      </w:pPr>
      <w:r>
        <w:rPr>
          <w:rFonts w:ascii="Microsoft YaHei" w:hAnsi="Microsoft YaHei" w:eastAsia="Microsoft YaHei"/>
          <w:b/>
          <w:color w:val="4A779D"/>
          <w:sz w:val="26"/>
        </w:rPr>
        <w:t>10.1 核心技术决策（ADR）演进整理</w:t>
      </w:r>
    </w:p>
    <w:p>
      <w:pPr>
        <w:spacing w:after="120" w:line="300" w:lineRule="auto"/>
      </w:pPr>
      <w:r>
        <w:rPr>
          <w:rFonts w:ascii="Microsoft YaHei" w:hAnsi="Microsoft YaHei" w:eastAsia="Microsoft YaHei"/>
          <w:color w:val="333333"/>
          <w:sz w:val="21"/>
        </w:rPr>
        <w:t>ASTCOK QUANT 系统通过架构决策记录（ADR）固化了系统的多次重大调整。核心包括：</w:t>
        <w:br/>
        <w:t>ADR-020 废除了以往手工填报策略 metrics 的漏洞，强制规定 standalone 策略注册必须通过 DSR 显著性 p-value &lt; 0.05 门槛，并将 illiquidity v3.1 等 7 个未达标的 standalone 版本自动降级为“参考”；</w:t>
        <w:br/>
        <w:t>ADR-021 将回测和验证流程的所有时间切片均在 `holdout_start` 前截断，防止了 promote 流程信息穿越；</w:t>
        <w:br/>
        <w:t>ADR-024 针对小盘 size/v2.0 因子，在 DSR=0.086 接近过门但未过门时，拒绝妥协或调参，将其降级为‘参考’并仅建立纸面前向旁路，坚决捍卫多重检验纪律。</w:t>
      </w:r>
    </w:p>
    <w:p>
      <w:pPr>
        <w:keepNext/>
        <w:spacing w:before="320" w:after="160"/>
      </w:pPr>
      <w:r>
        <w:rPr>
          <w:rFonts w:ascii="Microsoft YaHei" w:hAnsi="Microsoft YaHei" w:eastAsia="Microsoft YaHei"/>
          <w:b/>
          <w:color w:val="4A779D"/>
          <w:sz w:val="26"/>
        </w:rPr>
        <w:t>10.2 三大代码级历史避坑教训</w:t>
      </w:r>
    </w:p>
    <w:p>
      <w:pPr>
        <w:spacing w:after="120" w:line="300" w:lineRule="auto"/>
      </w:pPr>
      <w:r>
        <w:rPr>
          <w:rFonts w:ascii="Microsoft YaHei" w:hAnsi="Microsoft YaHei" w:eastAsia="Microsoft YaHei"/>
          <w:color w:val="333333"/>
          <w:sz w:val="21"/>
        </w:rPr>
        <w:t>在系统的开发历程中，量化研发组沉淀了三个惨痛的代码级教训（详见 `LESSONS.md`）：</w:t>
        <w:br/>
        <w:t>1. 科创板 688 成交量手股换算失误。在早期开发中，系统未处理科创板日线成交量为‘股’而主板为‘手’的 100 倍差异，导致 Amihud 因子分母金额放大 100 倍，错误地将低流动性科创股选为多头。修复后增加了 `exclude_star=True` 过滤。</w:t>
        <w:br/>
        <w:t>2. 腾讯后复权缺失回退静默事故。当第三方接口数据缺失时，自动降级为不复权收盘价，导致后复权价格中位数假暴跌 -59.6%，回测 NAV 直接中毒。为此设计了 `lake/invariants.py` 写不变量检测。</w:t>
        <w:br/>
        <w:t>3. Tushare 积分限速暴力崩溃。早期多线程拉取每日基本面导致触发接口限速而被封 IP。修复后改用串行拉取，且 call() 接口层在识别到 frequency limit 时立即 fail-fast 退避，严禁阻塞挂起。</w:t>
      </w:r>
    </w:p>
    <w:p>
      <w:r>
        <w:br w:type="page"/>
      </w:r>
    </w:p>
    <w:p>
      <w:pPr>
        <w:keepNext/>
        <w:spacing w:before="440" w:after="200"/>
      </w:pPr>
      <w:r>
        <w:rPr>
          <w:rFonts w:ascii="Microsoft YaHei" w:hAnsi="Microsoft YaHei" w:eastAsia="Microsoft YaHei"/>
          <w:b/>
          <w:color w:val="1B365D"/>
          <w:sz w:val="32"/>
        </w:rPr>
        <w:t>第十一章：系统未来演进与路线图规划</w:t>
      </w:r>
    </w:p>
    <w:p>
      <w:pPr>
        <w:keepNext/>
        <w:spacing w:before="320" w:after="160"/>
      </w:pPr>
      <w:r>
        <w:rPr>
          <w:rFonts w:ascii="Microsoft YaHei" w:hAnsi="Microsoft YaHei" w:eastAsia="Microsoft YaHei"/>
          <w:b/>
          <w:color w:val="4A779D"/>
          <w:sz w:val="26"/>
        </w:rPr>
        <w:t>11.1 互信息 L-1 过滤器与算力流优化</w:t>
      </w:r>
    </w:p>
    <w:p>
      <w:pPr>
        <w:spacing w:after="120" w:line="300" w:lineRule="auto"/>
      </w:pPr>
      <w:r>
        <w:rPr>
          <w:rFonts w:ascii="Microsoft YaHei" w:hAnsi="Microsoft YaHei" w:eastAsia="Microsoft YaHei"/>
          <w:color w:val="333333"/>
          <w:sz w:val="21"/>
        </w:rPr>
        <w:t>根据 2026-06-23 互信息审计结果，系统下一步的首要优化是开发并挂载 L-1 级别的互信息（Mutual Information）聚类过滤器。在遗传搜索开始前，对输入因子的 AST 进行语义互信息度量。一旦发现新因子的特征信息与在册组合或历史已评估因子的互信息距离小于设定值（如 2.0），直接在 L0 之前予以阻断。这将帮助系统释放约 38% 的同质化算力浪费，将计算算力集中在量价突破和盈利变化率等空白生态位。</w:t>
      </w:r>
    </w:p>
    <w:p>
      <w:pPr>
        <w:keepNext/>
        <w:spacing w:before="320" w:after="160"/>
      </w:pPr>
      <w:r>
        <w:rPr>
          <w:rFonts w:ascii="Microsoft YaHei" w:hAnsi="Microsoft YaHei" w:eastAsia="Microsoft YaHei"/>
          <w:b/>
          <w:color w:val="4A779D"/>
          <w:sz w:val="26"/>
        </w:rPr>
        <w:t>11.2 组合优化器与事件驱动中央调度</w:t>
      </w:r>
    </w:p>
    <w:p>
      <w:pPr>
        <w:spacing w:after="120" w:line="300" w:lineRule="auto"/>
      </w:pPr>
      <w:r>
        <w:rPr>
          <w:rFonts w:ascii="Microsoft YaHei" w:hAnsi="Microsoft YaHei" w:eastAsia="Microsoft YaHei"/>
          <w:color w:val="333333"/>
          <w:sz w:val="21"/>
        </w:rPr>
        <w:t>系统将持续打磨在册策略的多策略组合配置层。实现基于 SLSQP 算法的 cost-aware 组合再平衡器，在考虑个股流动性冲击与行业偏离度约束的前提下，求出最优权重分配。同时，将 launchd 定时轮询升级为基于消息队列（如 Redis / Celery）的全自动事件驱动中央调度层，当交易所收盘数据就绪信号送达时，自动触发增量更新、9-Gate 校验及 paper_engine 自动跟单撮合，构建起业界领先的、高科学纪律性的量化 OS 运行系统。</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