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9CD8E">
      <w:pPr>
        <w:spacing w:line="360" w:lineRule="auto"/>
        <w:rPr>
          <w:highlight w:val="none"/>
        </w:rPr>
      </w:pPr>
    </w:p>
    <w:p w14:paraId="71F446EF">
      <w:pPr>
        <w:spacing w:line="360" w:lineRule="auto"/>
        <w:rPr>
          <w:highlight w:val="none"/>
        </w:rPr>
      </w:pPr>
    </w:p>
    <w:p w14:paraId="726E9CFF">
      <w:pPr>
        <w:spacing w:line="360" w:lineRule="auto"/>
        <w:rPr>
          <w:highlight w:val="none"/>
        </w:rPr>
      </w:pPr>
    </w:p>
    <w:p w14:paraId="676B2358">
      <w:pPr>
        <w:spacing w:line="360" w:lineRule="auto"/>
        <w:rPr>
          <w:highlight w:val="none"/>
        </w:rPr>
      </w:pPr>
    </w:p>
    <w:p w14:paraId="7428A652">
      <w:pPr>
        <w:spacing w:line="360" w:lineRule="auto"/>
        <w:rPr>
          <w:highlight w:val="none"/>
        </w:rPr>
      </w:pPr>
    </w:p>
    <w:p w14:paraId="4B9188CB">
      <w:pPr>
        <w:spacing w:line="360" w:lineRule="auto"/>
        <w:rPr>
          <w:highlight w:val="none"/>
        </w:rPr>
      </w:pPr>
    </w:p>
    <w:p w14:paraId="636634D8">
      <w:pPr>
        <w:spacing w:line="360" w:lineRule="auto"/>
        <w:rPr>
          <w:highlight w:val="none"/>
        </w:rPr>
      </w:pPr>
    </w:p>
    <w:p w14:paraId="7431C0C1">
      <w:pPr>
        <w:spacing w:line="360" w:lineRule="auto"/>
        <w:rPr>
          <w:highlight w:val="none"/>
        </w:rPr>
      </w:pPr>
    </w:p>
    <w:p w14:paraId="0D318A71">
      <w:pPr>
        <w:spacing w:line="360" w:lineRule="auto"/>
        <w:rPr>
          <w:highlight w:val="none"/>
        </w:rPr>
      </w:pPr>
    </w:p>
    <w:p w14:paraId="6B4CE5C7">
      <w:pPr>
        <w:bidi w:val="0"/>
        <w:jc w:val="center"/>
        <w:rPr>
          <w:rFonts w:hint="eastAsia"/>
          <w:b/>
          <w:bCs/>
          <w:sz w:val="48"/>
          <w:szCs w:val="48"/>
          <w:lang w:val="en-US"/>
        </w:rPr>
      </w:pPr>
      <w:bookmarkStart w:id="0" w:name="_Toc1916082050"/>
      <w:r>
        <w:rPr>
          <w:rFonts w:hint="eastAsia"/>
          <w:b/>
          <w:bCs/>
          <w:sz w:val="48"/>
          <w:szCs w:val="48"/>
          <w:lang w:val="en-US" w:eastAsia="zh-CN"/>
        </w:rPr>
        <w:t>石犀数据流动治理平台白皮书</w:t>
      </w:r>
      <w:bookmarkEnd w:id="0"/>
    </w:p>
    <w:p w14:paraId="0D61D6FC">
      <w:pPr>
        <w:spacing w:line="360" w:lineRule="auto"/>
        <w:rPr>
          <w:rFonts w:hint="eastAsia" w:ascii="宋体" w:hAnsi="宋体" w:eastAsia="宋体" w:cs="宋体"/>
          <w:highlight w:val="none"/>
        </w:rPr>
      </w:pPr>
    </w:p>
    <w:p w14:paraId="1908CCA4">
      <w:pPr>
        <w:bidi w:val="0"/>
        <w:spacing w:line="360" w:lineRule="auto"/>
        <w:jc w:val="center"/>
        <w:rPr>
          <w:rFonts w:hint="default" w:ascii="宋体" w:hAnsi="宋体" w:eastAsia="宋体" w:cs="宋体"/>
          <w:lang w:val="en-US" w:eastAsia="zh-CN"/>
        </w:rPr>
      </w:pPr>
      <w:r>
        <w:rPr>
          <w:rFonts w:hint="eastAsia" w:ascii="宋体" w:hAnsi="宋体" w:eastAsia="宋体" w:cs="宋体"/>
          <w:lang w:val="en-US" w:eastAsia="zh-CN"/>
        </w:rPr>
        <w:t>——数据流动治理，提升数据安全</w:t>
      </w:r>
    </w:p>
    <w:p w14:paraId="1BA5975C">
      <w:pPr>
        <w:spacing w:line="360" w:lineRule="auto"/>
        <w:rPr>
          <w:rFonts w:hint="eastAsia" w:ascii="宋体" w:hAnsi="宋体" w:eastAsia="宋体" w:cs="宋体"/>
          <w:highlight w:val="none"/>
        </w:rPr>
      </w:pPr>
    </w:p>
    <w:p w14:paraId="2B17B80E">
      <w:pPr>
        <w:spacing w:line="360" w:lineRule="auto"/>
        <w:rPr>
          <w:rFonts w:hint="eastAsia" w:ascii="宋体" w:hAnsi="宋体" w:eastAsia="宋体" w:cs="宋体"/>
          <w:highlight w:val="none"/>
        </w:rPr>
      </w:pPr>
    </w:p>
    <w:p w14:paraId="591483A0">
      <w:pPr>
        <w:spacing w:line="360" w:lineRule="auto"/>
        <w:rPr>
          <w:rFonts w:hint="eastAsia" w:ascii="宋体" w:hAnsi="宋体" w:eastAsia="宋体" w:cs="宋体"/>
          <w:highlight w:val="none"/>
        </w:rPr>
      </w:pPr>
    </w:p>
    <w:p w14:paraId="649DCB1E">
      <w:pPr>
        <w:spacing w:line="360" w:lineRule="auto"/>
        <w:rPr>
          <w:rFonts w:hint="eastAsia" w:ascii="宋体" w:hAnsi="宋体" w:eastAsia="宋体" w:cs="宋体"/>
          <w:highlight w:val="none"/>
        </w:rPr>
      </w:pPr>
    </w:p>
    <w:p w14:paraId="1685B270">
      <w:pPr>
        <w:spacing w:line="360" w:lineRule="auto"/>
        <w:rPr>
          <w:rFonts w:hint="eastAsia" w:ascii="宋体" w:hAnsi="宋体" w:eastAsia="宋体" w:cs="宋体"/>
          <w:highlight w:val="none"/>
        </w:rPr>
      </w:pPr>
    </w:p>
    <w:p w14:paraId="1D18A202">
      <w:pPr>
        <w:spacing w:line="360" w:lineRule="auto"/>
        <w:rPr>
          <w:rFonts w:hint="eastAsia" w:ascii="宋体" w:hAnsi="宋体" w:eastAsia="宋体" w:cs="宋体"/>
          <w:highlight w:val="none"/>
        </w:rPr>
      </w:pPr>
    </w:p>
    <w:p w14:paraId="3C447703">
      <w:pPr>
        <w:spacing w:line="360" w:lineRule="auto"/>
        <w:rPr>
          <w:rFonts w:hint="eastAsia" w:ascii="宋体" w:hAnsi="宋体" w:eastAsia="宋体" w:cs="宋体"/>
          <w:highlight w:val="none"/>
        </w:rPr>
      </w:pPr>
    </w:p>
    <w:p w14:paraId="37C5D75E">
      <w:pPr>
        <w:spacing w:line="360" w:lineRule="auto"/>
        <w:rPr>
          <w:rFonts w:hint="eastAsia" w:ascii="宋体" w:hAnsi="宋体" w:eastAsia="宋体" w:cs="宋体"/>
          <w:highlight w:val="none"/>
        </w:rPr>
      </w:pPr>
    </w:p>
    <w:p w14:paraId="406BDF53">
      <w:pPr>
        <w:spacing w:line="360" w:lineRule="auto"/>
        <w:rPr>
          <w:rFonts w:hint="eastAsia" w:ascii="宋体" w:hAnsi="宋体" w:eastAsia="宋体" w:cs="宋体"/>
          <w:highlight w:val="none"/>
        </w:rPr>
      </w:pPr>
    </w:p>
    <w:p w14:paraId="0FF2F1B3">
      <w:pPr>
        <w:spacing w:line="360" w:lineRule="auto"/>
        <w:rPr>
          <w:rFonts w:hint="eastAsia" w:ascii="宋体" w:hAnsi="宋体" w:eastAsia="宋体" w:cs="宋体"/>
          <w:highlight w:val="none"/>
        </w:rPr>
      </w:pPr>
    </w:p>
    <w:p w14:paraId="5EFFF354">
      <w:pPr>
        <w:bidi w:val="0"/>
        <w:jc w:val="center"/>
        <w:rPr>
          <w:rFonts w:hint="eastAsia"/>
          <w:sz w:val="28"/>
          <w:szCs w:val="36"/>
          <w:lang w:val="en-US" w:eastAsia="zh-CN"/>
        </w:rPr>
      </w:pPr>
      <w:bookmarkStart w:id="1" w:name="_Toc2073727585"/>
      <w:r>
        <w:rPr>
          <w:rFonts w:hint="eastAsia"/>
          <w:sz w:val="28"/>
          <w:szCs w:val="36"/>
          <w:lang w:val="en-US" w:eastAsia="zh-CN"/>
        </w:rPr>
        <w:t>深圳市石犀科技有限公司</w:t>
      </w:r>
      <w:bookmarkEnd w:id="1"/>
    </w:p>
    <w:p w14:paraId="20113C60">
      <w:pPr>
        <w:spacing w:line="360" w:lineRule="auto"/>
        <w:jc w:val="center"/>
        <w:rPr>
          <w:rFonts w:hint="eastAsia" w:ascii="宋体" w:hAnsi="宋体" w:eastAsia="宋体" w:cs="宋体"/>
          <w:sz w:val="28"/>
          <w:szCs w:val="36"/>
          <w:highlight w:val="none"/>
          <w:lang w:val="en-US" w:eastAsia="zh-CN"/>
        </w:rPr>
      </w:pPr>
      <w:r>
        <w:rPr>
          <w:rFonts w:hint="eastAsia" w:ascii="宋体" w:hAnsi="宋体" w:eastAsia="宋体" w:cs="宋体"/>
          <w:sz w:val="28"/>
          <w:szCs w:val="36"/>
          <w:highlight w:val="none"/>
          <w:lang w:val="en-US" w:eastAsia="zh-CN"/>
        </w:rPr>
        <w:t>2025年2月</w:t>
      </w:r>
    </w:p>
    <w:p w14:paraId="4D078520">
      <w:pPr>
        <w:rPr>
          <w:highlight w:val="none"/>
        </w:rPr>
      </w:pPr>
      <w:r>
        <w:rPr>
          <w:highlight w:val="none"/>
        </w:rPr>
        <w:br w:type="page"/>
      </w:r>
    </w:p>
    <w:sdt>
      <w:sdtPr>
        <w:rPr>
          <w:rFonts w:ascii="宋体" w:hAnsi="宋体" w:eastAsia="宋体" w:cstheme="minorBidi"/>
          <w:kern w:val="2"/>
          <w:sz w:val="21"/>
          <w:szCs w:val="24"/>
          <w:lang w:val="en-US" w:eastAsia="zh-CN" w:bidi="ar-SA"/>
        </w:rPr>
        <w:id w:val="607988760"/>
        <w15:color w:val="DBDBDB"/>
        <w:docPartObj>
          <w:docPartGallery w:val="Table of Contents"/>
          <w:docPartUnique/>
        </w:docPartObj>
      </w:sdtPr>
      <w:sdtEndPr>
        <w:rPr>
          <w:rFonts w:asciiTheme="minorHAnsi" w:hAnsiTheme="minorHAnsi" w:eastAsiaTheme="minorEastAsia" w:cstheme="minorBidi"/>
          <w:b/>
          <w:kern w:val="2"/>
          <w:sz w:val="21"/>
          <w:szCs w:val="24"/>
          <w:highlight w:val="none"/>
          <w:lang w:val="en-US" w:eastAsia="zh-CN" w:bidi="ar-SA"/>
        </w:rPr>
      </w:sdtEndPr>
      <w:sdtContent>
        <w:p w14:paraId="36CB365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B77B844">
          <w:pPr>
            <w:pStyle w:val="24"/>
            <w:tabs>
              <w:tab w:val="right" w:leader="dot" w:pos="8306"/>
            </w:tabs>
            <w:rPr>
              <w:b/>
            </w:rPr>
          </w:pPr>
          <w:r>
            <w:rPr>
              <w:highlight w:val="none"/>
            </w:rPr>
            <w:fldChar w:fldCharType="begin"/>
          </w:r>
          <w:r>
            <w:rPr>
              <w:highlight w:val="none"/>
            </w:rPr>
            <w:instrText xml:space="preserve">TOC \o "1-2" \h \u </w:instrText>
          </w:r>
          <w:r>
            <w:rPr>
              <w:highlight w:val="none"/>
            </w:rPr>
            <w:fldChar w:fldCharType="separate"/>
          </w:r>
          <w:r>
            <w:rPr>
              <w:b/>
              <w:highlight w:val="none"/>
            </w:rPr>
            <w:fldChar w:fldCharType="begin"/>
          </w:r>
          <w:r>
            <w:rPr>
              <w:b/>
              <w:highlight w:val="none"/>
            </w:rPr>
            <w:instrText xml:space="preserve"> HYPERLINK \l _Toc1627413932 </w:instrText>
          </w:r>
          <w:r>
            <w:rPr>
              <w:b/>
              <w:highlight w:val="none"/>
            </w:rPr>
            <w:fldChar w:fldCharType="separate"/>
          </w:r>
          <w:r>
            <w:rPr>
              <w:b/>
            </w:rPr>
            <w:t>1. 背景介绍</w:t>
          </w:r>
          <w:r>
            <w:rPr>
              <w:b/>
            </w:rPr>
            <w:tab/>
          </w:r>
          <w:r>
            <w:rPr>
              <w:b/>
            </w:rPr>
            <w:fldChar w:fldCharType="begin"/>
          </w:r>
          <w:r>
            <w:rPr>
              <w:b/>
            </w:rPr>
            <w:instrText xml:space="preserve"> PAGEREF _Toc1627413932 \h </w:instrText>
          </w:r>
          <w:r>
            <w:rPr>
              <w:b/>
            </w:rPr>
            <w:fldChar w:fldCharType="separate"/>
          </w:r>
          <w:r>
            <w:rPr>
              <w:b/>
            </w:rPr>
            <w:t>4</w:t>
          </w:r>
          <w:r>
            <w:rPr>
              <w:b/>
            </w:rPr>
            <w:fldChar w:fldCharType="end"/>
          </w:r>
          <w:r>
            <w:rPr>
              <w:b/>
              <w:highlight w:val="none"/>
            </w:rPr>
            <w:fldChar w:fldCharType="end"/>
          </w:r>
        </w:p>
        <w:p w14:paraId="6769202F">
          <w:pPr>
            <w:pStyle w:val="25"/>
            <w:tabs>
              <w:tab w:val="right" w:leader="dot" w:pos="8306"/>
            </w:tabs>
          </w:pPr>
          <w:r>
            <w:rPr>
              <w:highlight w:val="none"/>
            </w:rPr>
            <w:fldChar w:fldCharType="begin"/>
          </w:r>
          <w:r>
            <w:rPr>
              <w:highlight w:val="none"/>
            </w:rPr>
            <w:instrText xml:space="preserve"> HYPERLINK \l _Toc1594226932 </w:instrText>
          </w:r>
          <w:r>
            <w:rPr>
              <w:highlight w:val="none"/>
            </w:rPr>
            <w:fldChar w:fldCharType="separate"/>
          </w:r>
          <w:r>
            <w:t>1.1. 高危风险事件层出不穷</w:t>
          </w:r>
          <w:r>
            <w:tab/>
          </w:r>
          <w:r>
            <w:fldChar w:fldCharType="begin"/>
          </w:r>
          <w:r>
            <w:instrText xml:space="preserve"> PAGEREF _Toc1594226932 \h </w:instrText>
          </w:r>
          <w:r>
            <w:fldChar w:fldCharType="separate"/>
          </w:r>
          <w:r>
            <w:t>4</w:t>
          </w:r>
          <w:r>
            <w:fldChar w:fldCharType="end"/>
          </w:r>
          <w:r>
            <w:rPr>
              <w:highlight w:val="none"/>
            </w:rPr>
            <w:fldChar w:fldCharType="end"/>
          </w:r>
        </w:p>
        <w:p w14:paraId="11629711">
          <w:pPr>
            <w:pStyle w:val="25"/>
            <w:tabs>
              <w:tab w:val="right" w:leader="dot" w:pos="8306"/>
            </w:tabs>
          </w:pPr>
          <w:r>
            <w:rPr>
              <w:highlight w:val="none"/>
            </w:rPr>
            <w:fldChar w:fldCharType="begin"/>
          </w:r>
          <w:r>
            <w:rPr>
              <w:highlight w:val="none"/>
            </w:rPr>
            <w:instrText xml:space="preserve"> HYPERLINK \l _Toc18582505 </w:instrText>
          </w:r>
          <w:r>
            <w:rPr>
              <w:highlight w:val="none"/>
            </w:rPr>
            <w:fldChar w:fldCharType="separate"/>
          </w:r>
          <w:r>
            <w:t>1.2. 数据流动治理已成刚需</w:t>
          </w:r>
          <w:r>
            <w:tab/>
          </w:r>
          <w:r>
            <w:fldChar w:fldCharType="begin"/>
          </w:r>
          <w:r>
            <w:instrText xml:space="preserve"> PAGEREF _Toc18582505 \h </w:instrText>
          </w:r>
          <w:r>
            <w:fldChar w:fldCharType="separate"/>
          </w:r>
          <w:r>
            <w:t>4</w:t>
          </w:r>
          <w:r>
            <w:fldChar w:fldCharType="end"/>
          </w:r>
          <w:r>
            <w:rPr>
              <w:highlight w:val="none"/>
            </w:rPr>
            <w:fldChar w:fldCharType="end"/>
          </w:r>
        </w:p>
        <w:p w14:paraId="0D4D4E7B">
          <w:pPr>
            <w:pStyle w:val="24"/>
            <w:tabs>
              <w:tab w:val="right" w:leader="dot" w:pos="8306"/>
            </w:tabs>
            <w:rPr>
              <w:b/>
            </w:rPr>
          </w:pPr>
          <w:r>
            <w:rPr>
              <w:b/>
              <w:highlight w:val="none"/>
            </w:rPr>
            <w:fldChar w:fldCharType="begin"/>
          </w:r>
          <w:r>
            <w:rPr>
              <w:b/>
              <w:highlight w:val="none"/>
            </w:rPr>
            <w:instrText xml:space="preserve"> HYPERLINK \l _Toc931032720 </w:instrText>
          </w:r>
          <w:r>
            <w:rPr>
              <w:b/>
              <w:highlight w:val="none"/>
            </w:rPr>
            <w:fldChar w:fldCharType="separate"/>
          </w:r>
          <w:r>
            <w:rPr>
              <w:b/>
            </w:rPr>
            <w:t>2. 产品概述</w:t>
          </w:r>
          <w:r>
            <w:rPr>
              <w:b/>
            </w:rPr>
            <w:tab/>
          </w:r>
          <w:r>
            <w:rPr>
              <w:b/>
            </w:rPr>
            <w:fldChar w:fldCharType="begin"/>
          </w:r>
          <w:r>
            <w:rPr>
              <w:b/>
            </w:rPr>
            <w:instrText xml:space="preserve"> PAGEREF _Toc931032720 \h </w:instrText>
          </w:r>
          <w:r>
            <w:rPr>
              <w:b/>
            </w:rPr>
            <w:fldChar w:fldCharType="separate"/>
          </w:r>
          <w:r>
            <w:rPr>
              <w:b/>
            </w:rPr>
            <w:t>6</w:t>
          </w:r>
          <w:r>
            <w:rPr>
              <w:b/>
            </w:rPr>
            <w:fldChar w:fldCharType="end"/>
          </w:r>
          <w:r>
            <w:rPr>
              <w:b/>
              <w:highlight w:val="none"/>
            </w:rPr>
            <w:fldChar w:fldCharType="end"/>
          </w:r>
        </w:p>
        <w:p w14:paraId="1C2F090A">
          <w:pPr>
            <w:pStyle w:val="25"/>
            <w:tabs>
              <w:tab w:val="right" w:leader="dot" w:pos="8306"/>
            </w:tabs>
          </w:pPr>
          <w:r>
            <w:rPr>
              <w:highlight w:val="none"/>
            </w:rPr>
            <w:fldChar w:fldCharType="begin"/>
          </w:r>
          <w:r>
            <w:rPr>
              <w:highlight w:val="none"/>
            </w:rPr>
            <w:instrText xml:space="preserve"> HYPERLINK \l _Toc1301072998 </w:instrText>
          </w:r>
          <w:r>
            <w:rPr>
              <w:highlight w:val="none"/>
            </w:rPr>
            <w:fldChar w:fldCharType="separate"/>
          </w:r>
          <w:r>
            <w:t>2.1. 产品简介</w:t>
          </w:r>
          <w:r>
            <w:tab/>
          </w:r>
          <w:r>
            <w:fldChar w:fldCharType="begin"/>
          </w:r>
          <w:r>
            <w:instrText xml:space="preserve"> PAGEREF _Toc1301072998 \h </w:instrText>
          </w:r>
          <w:r>
            <w:fldChar w:fldCharType="separate"/>
          </w:r>
          <w:r>
            <w:t>6</w:t>
          </w:r>
          <w:r>
            <w:fldChar w:fldCharType="end"/>
          </w:r>
          <w:r>
            <w:rPr>
              <w:highlight w:val="none"/>
            </w:rPr>
            <w:fldChar w:fldCharType="end"/>
          </w:r>
        </w:p>
        <w:p w14:paraId="5027FA53">
          <w:pPr>
            <w:pStyle w:val="25"/>
            <w:tabs>
              <w:tab w:val="right" w:leader="dot" w:pos="8306"/>
            </w:tabs>
          </w:pPr>
          <w:r>
            <w:rPr>
              <w:highlight w:val="none"/>
            </w:rPr>
            <w:fldChar w:fldCharType="begin"/>
          </w:r>
          <w:r>
            <w:rPr>
              <w:highlight w:val="none"/>
            </w:rPr>
            <w:instrText xml:space="preserve"> HYPERLINK \l _Toc1455383632 </w:instrText>
          </w:r>
          <w:r>
            <w:rPr>
              <w:highlight w:val="none"/>
            </w:rPr>
            <w:fldChar w:fldCharType="separate"/>
          </w:r>
          <w:r>
            <w:t>2.2. 产品架构</w:t>
          </w:r>
          <w:r>
            <w:tab/>
          </w:r>
          <w:r>
            <w:fldChar w:fldCharType="begin"/>
          </w:r>
          <w:r>
            <w:instrText xml:space="preserve"> PAGEREF _Toc1455383632 \h </w:instrText>
          </w:r>
          <w:r>
            <w:fldChar w:fldCharType="separate"/>
          </w:r>
          <w:r>
            <w:t>6</w:t>
          </w:r>
          <w:r>
            <w:fldChar w:fldCharType="end"/>
          </w:r>
          <w:r>
            <w:rPr>
              <w:highlight w:val="none"/>
            </w:rPr>
            <w:fldChar w:fldCharType="end"/>
          </w:r>
        </w:p>
        <w:p w14:paraId="63AE63EE">
          <w:pPr>
            <w:pStyle w:val="25"/>
            <w:tabs>
              <w:tab w:val="right" w:leader="dot" w:pos="8306"/>
            </w:tabs>
          </w:pPr>
          <w:r>
            <w:rPr>
              <w:highlight w:val="none"/>
            </w:rPr>
            <w:fldChar w:fldCharType="begin"/>
          </w:r>
          <w:r>
            <w:rPr>
              <w:highlight w:val="none"/>
            </w:rPr>
            <w:instrText xml:space="preserve"> HYPERLINK \l _Toc793963694 </w:instrText>
          </w:r>
          <w:r>
            <w:rPr>
              <w:highlight w:val="none"/>
            </w:rPr>
            <w:fldChar w:fldCharType="separate"/>
          </w:r>
          <w:r>
            <w:t>2.3. 部署方式</w:t>
          </w:r>
          <w:r>
            <w:tab/>
          </w:r>
          <w:r>
            <w:fldChar w:fldCharType="begin"/>
          </w:r>
          <w:r>
            <w:instrText xml:space="preserve"> PAGEREF _Toc793963694 \h </w:instrText>
          </w:r>
          <w:r>
            <w:fldChar w:fldCharType="separate"/>
          </w:r>
          <w:r>
            <w:t>7</w:t>
          </w:r>
          <w:r>
            <w:fldChar w:fldCharType="end"/>
          </w:r>
          <w:r>
            <w:rPr>
              <w:highlight w:val="none"/>
            </w:rPr>
            <w:fldChar w:fldCharType="end"/>
          </w:r>
        </w:p>
        <w:p w14:paraId="1A13E67D">
          <w:pPr>
            <w:pStyle w:val="24"/>
            <w:tabs>
              <w:tab w:val="right" w:leader="dot" w:pos="8306"/>
            </w:tabs>
            <w:rPr>
              <w:b/>
            </w:rPr>
          </w:pPr>
          <w:r>
            <w:rPr>
              <w:b/>
              <w:highlight w:val="none"/>
            </w:rPr>
            <w:fldChar w:fldCharType="begin"/>
          </w:r>
          <w:r>
            <w:rPr>
              <w:b/>
              <w:highlight w:val="none"/>
            </w:rPr>
            <w:instrText xml:space="preserve"> HYPERLINK \l _Toc375246290 </w:instrText>
          </w:r>
          <w:r>
            <w:rPr>
              <w:b/>
              <w:highlight w:val="none"/>
            </w:rPr>
            <w:fldChar w:fldCharType="separate"/>
          </w:r>
          <w:r>
            <w:rPr>
              <w:b/>
            </w:rPr>
            <w:t>3. 关键能力</w:t>
          </w:r>
          <w:r>
            <w:rPr>
              <w:b/>
            </w:rPr>
            <w:tab/>
          </w:r>
          <w:r>
            <w:rPr>
              <w:b/>
            </w:rPr>
            <w:fldChar w:fldCharType="begin"/>
          </w:r>
          <w:r>
            <w:rPr>
              <w:b/>
            </w:rPr>
            <w:instrText xml:space="preserve"> PAGEREF _Toc375246290 \h </w:instrText>
          </w:r>
          <w:r>
            <w:rPr>
              <w:b/>
            </w:rPr>
            <w:fldChar w:fldCharType="separate"/>
          </w:r>
          <w:r>
            <w:rPr>
              <w:b/>
            </w:rPr>
            <w:t>8</w:t>
          </w:r>
          <w:r>
            <w:rPr>
              <w:b/>
            </w:rPr>
            <w:fldChar w:fldCharType="end"/>
          </w:r>
          <w:r>
            <w:rPr>
              <w:b/>
              <w:highlight w:val="none"/>
            </w:rPr>
            <w:fldChar w:fldCharType="end"/>
          </w:r>
        </w:p>
        <w:p w14:paraId="398FDF74">
          <w:pPr>
            <w:pStyle w:val="25"/>
            <w:tabs>
              <w:tab w:val="right" w:leader="dot" w:pos="8306"/>
            </w:tabs>
          </w:pPr>
          <w:r>
            <w:rPr>
              <w:highlight w:val="none"/>
            </w:rPr>
            <w:fldChar w:fldCharType="begin"/>
          </w:r>
          <w:r>
            <w:rPr>
              <w:highlight w:val="none"/>
            </w:rPr>
            <w:instrText xml:space="preserve"> HYPERLINK \l _Toc1752408438 </w:instrText>
          </w:r>
          <w:r>
            <w:rPr>
              <w:highlight w:val="none"/>
            </w:rPr>
            <w:fldChar w:fldCharType="separate"/>
          </w:r>
          <w:r>
            <w:t>3.1. 能力版图</w:t>
          </w:r>
          <w:r>
            <w:tab/>
          </w:r>
          <w:r>
            <w:fldChar w:fldCharType="begin"/>
          </w:r>
          <w:r>
            <w:instrText xml:space="preserve"> PAGEREF _Toc1752408438 \h </w:instrText>
          </w:r>
          <w:r>
            <w:fldChar w:fldCharType="separate"/>
          </w:r>
          <w:r>
            <w:t>8</w:t>
          </w:r>
          <w:r>
            <w:fldChar w:fldCharType="end"/>
          </w:r>
          <w:r>
            <w:rPr>
              <w:highlight w:val="none"/>
            </w:rPr>
            <w:fldChar w:fldCharType="end"/>
          </w:r>
        </w:p>
        <w:p w14:paraId="40B56C4E">
          <w:pPr>
            <w:pStyle w:val="25"/>
            <w:tabs>
              <w:tab w:val="right" w:leader="dot" w:pos="8306"/>
            </w:tabs>
          </w:pPr>
          <w:r>
            <w:rPr>
              <w:highlight w:val="none"/>
            </w:rPr>
            <w:fldChar w:fldCharType="begin"/>
          </w:r>
          <w:r>
            <w:rPr>
              <w:highlight w:val="none"/>
            </w:rPr>
            <w:instrText xml:space="preserve"> HYPERLINK \l _Toc2137882508 </w:instrText>
          </w:r>
          <w:r>
            <w:rPr>
              <w:highlight w:val="none"/>
            </w:rPr>
            <w:fldChar w:fldCharType="separate"/>
          </w:r>
          <w:r>
            <w:t>3.2. 全景态势多维分析</w:t>
          </w:r>
          <w:r>
            <w:tab/>
          </w:r>
          <w:r>
            <w:fldChar w:fldCharType="begin"/>
          </w:r>
          <w:r>
            <w:instrText xml:space="preserve"> PAGEREF _Toc2137882508 \h </w:instrText>
          </w:r>
          <w:r>
            <w:fldChar w:fldCharType="separate"/>
          </w:r>
          <w:r>
            <w:t>8</w:t>
          </w:r>
          <w:r>
            <w:fldChar w:fldCharType="end"/>
          </w:r>
          <w:r>
            <w:rPr>
              <w:highlight w:val="none"/>
            </w:rPr>
            <w:fldChar w:fldCharType="end"/>
          </w:r>
        </w:p>
        <w:p w14:paraId="42A09350">
          <w:pPr>
            <w:pStyle w:val="25"/>
            <w:tabs>
              <w:tab w:val="right" w:leader="dot" w:pos="8306"/>
            </w:tabs>
          </w:pPr>
          <w:r>
            <w:rPr>
              <w:highlight w:val="none"/>
            </w:rPr>
            <w:fldChar w:fldCharType="begin"/>
          </w:r>
          <w:r>
            <w:rPr>
              <w:highlight w:val="none"/>
            </w:rPr>
            <w:instrText xml:space="preserve"> HYPERLINK \l _Toc1842413999 </w:instrText>
          </w:r>
          <w:r>
            <w:rPr>
              <w:highlight w:val="none"/>
            </w:rPr>
            <w:fldChar w:fldCharType="separate"/>
          </w:r>
          <w:r>
            <w:t>3.3. 全栈资产深度盘点</w:t>
          </w:r>
          <w:r>
            <w:tab/>
          </w:r>
          <w:r>
            <w:fldChar w:fldCharType="begin"/>
          </w:r>
          <w:r>
            <w:instrText xml:space="preserve"> PAGEREF _Toc1842413999 \h </w:instrText>
          </w:r>
          <w:r>
            <w:fldChar w:fldCharType="separate"/>
          </w:r>
          <w:r>
            <w:t>9</w:t>
          </w:r>
          <w:r>
            <w:fldChar w:fldCharType="end"/>
          </w:r>
          <w:r>
            <w:rPr>
              <w:highlight w:val="none"/>
            </w:rPr>
            <w:fldChar w:fldCharType="end"/>
          </w:r>
        </w:p>
        <w:p w14:paraId="3D5F0C15">
          <w:pPr>
            <w:pStyle w:val="25"/>
            <w:tabs>
              <w:tab w:val="right" w:leader="dot" w:pos="8306"/>
            </w:tabs>
          </w:pPr>
          <w:r>
            <w:rPr>
              <w:highlight w:val="none"/>
            </w:rPr>
            <w:fldChar w:fldCharType="begin"/>
          </w:r>
          <w:r>
            <w:rPr>
              <w:highlight w:val="none"/>
            </w:rPr>
            <w:instrText xml:space="preserve"> HYPERLINK \l _Toc885375100 </w:instrText>
          </w:r>
          <w:r>
            <w:rPr>
              <w:highlight w:val="none"/>
            </w:rPr>
            <w:fldChar w:fldCharType="separate"/>
          </w:r>
          <w:r>
            <w:t>3.4. 全域用户安全治理</w:t>
          </w:r>
          <w:r>
            <w:tab/>
          </w:r>
          <w:r>
            <w:fldChar w:fldCharType="begin"/>
          </w:r>
          <w:r>
            <w:instrText xml:space="preserve"> PAGEREF _Toc885375100 \h </w:instrText>
          </w:r>
          <w:r>
            <w:fldChar w:fldCharType="separate"/>
          </w:r>
          <w:r>
            <w:t>11</w:t>
          </w:r>
          <w:r>
            <w:fldChar w:fldCharType="end"/>
          </w:r>
          <w:r>
            <w:rPr>
              <w:highlight w:val="none"/>
            </w:rPr>
            <w:fldChar w:fldCharType="end"/>
          </w:r>
        </w:p>
        <w:p w14:paraId="29D3353E">
          <w:pPr>
            <w:pStyle w:val="25"/>
            <w:tabs>
              <w:tab w:val="right" w:leader="dot" w:pos="8306"/>
            </w:tabs>
          </w:pPr>
          <w:r>
            <w:rPr>
              <w:highlight w:val="none"/>
            </w:rPr>
            <w:fldChar w:fldCharType="begin"/>
          </w:r>
          <w:r>
            <w:rPr>
              <w:highlight w:val="none"/>
            </w:rPr>
            <w:instrText xml:space="preserve"> HYPERLINK \l _Toc585115637 </w:instrText>
          </w:r>
          <w:r>
            <w:rPr>
              <w:highlight w:val="none"/>
            </w:rPr>
            <w:fldChar w:fldCharType="separate"/>
          </w:r>
          <w:r>
            <w:t>3.5. 全量报告智能总结</w:t>
          </w:r>
          <w:r>
            <w:tab/>
          </w:r>
          <w:r>
            <w:fldChar w:fldCharType="begin"/>
          </w:r>
          <w:r>
            <w:instrText xml:space="preserve"> PAGEREF _Toc585115637 \h </w:instrText>
          </w:r>
          <w:r>
            <w:fldChar w:fldCharType="separate"/>
          </w:r>
          <w:r>
            <w:t>12</w:t>
          </w:r>
          <w:r>
            <w:fldChar w:fldCharType="end"/>
          </w:r>
          <w:r>
            <w:rPr>
              <w:highlight w:val="none"/>
            </w:rPr>
            <w:fldChar w:fldCharType="end"/>
          </w:r>
        </w:p>
        <w:p w14:paraId="6A7F5B06">
          <w:pPr>
            <w:pStyle w:val="25"/>
            <w:tabs>
              <w:tab w:val="right" w:leader="dot" w:pos="8306"/>
            </w:tabs>
          </w:pPr>
          <w:r>
            <w:rPr>
              <w:highlight w:val="none"/>
            </w:rPr>
            <w:fldChar w:fldCharType="begin"/>
          </w:r>
          <w:r>
            <w:rPr>
              <w:highlight w:val="none"/>
            </w:rPr>
            <w:instrText xml:space="preserve"> HYPERLINK \l _Toc710891446 </w:instrText>
          </w:r>
          <w:r>
            <w:rPr>
              <w:highlight w:val="none"/>
            </w:rPr>
            <w:fldChar w:fldCharType="separate"/>
          </w:r>
          <w:r>
            <w:t>3.6. 全域数据精准溯源</w:t>
          </w:r>
          <w:r>
            <w:tab/>
          </w:r>
          <w:r>
            <w:fldChar w:fldCharType="begin"/>
          </w:r>
          <w:r>
            <w:instrText xml:space="preserve"> PAGEREF _Toc710891446 \h </w:instrText>
          </w:r>
          <w:r>
            <w:fldChar w:fldCharType="separate"/>
          </w:r>
          <w:r>
            <w:t>13</w:t>
          </w:r>
          <w:r>
            <w:fldChar w:fldCharType="end"/>
          </w:r>
          <w:r>
            <w:rPr>
              <w:highlight w:val="none"/>
            </w:rPr>
            <w:fldChar w:fldCharType="end"/>
          </w:r>
        </w:p>
        <w:p w14:paraId="0B765ABF">
          <w:pPr>
            <w:pStyle w:val="25"/>
            <w:tabs>
              <w:tab w:val="right" w:leader="dot" w:pos="8306"/>
            </w:tabs>
          </w:pPr>
          <w:r>
            <w:rPr>
              <w:highlight w:val="none"/>
            </w:rPr>
            <w:fldChar w:fldCharType="begin"/>
          </w:r>
          <w:r>
            <w:rPr>
              <w:highlight w:val="none"/>
            </w:rPr>
            <w:instrText xml:space="preserve"> HYPERLINK \l _Toc1501004661 </w:instrText>
          </w:r>
          <w:r>
            <w:rPr>
              <w:highlight w:val="none"/>
            </w:rPr>
            <w:fldChar w:fldCharType="separate"/>
          </w:r>
          <w:r>
            <w:t>3.7. 全维风险闭环管控</w:t>
          </w:r>
          <w:r>
            <w:tab/>
          </w:r>
          <w:r>
            <w:fldChar w:fldCharType="begin"/>
          </w:r>
          <w:r>
            <w:instrText xml:space="preserve"> PAGEREF _Toc1501004661 \h </w:instrText>
          </w:r>
          <w:r>
            <w:fldChar w:fldCharType="separate"/>
          </w:r>
          <w:r>
            <w:t>14</w:t>
          </w:r>
          <w:r>
            <w:fldChar w:fldCharType="end"/>
          </w:r>
          <w:r>
            <w:rPr>
              <w:highlight w:val="none"/>
            </w:rPr>
            <w:fldChar w:fldCharType="end"/>
          </w:r>
        </w:p>
        <w:p w14:paraId="128C0E5B">
          <w:pPr>
            <w:pStyle w:val="25"/>
            <w:tabs>
              <w:tab w:val="right" w:leader="dot" w:pos="8306"/>
            </w:tabs>
            <w:rPr>
              <w:b/>
            </w:rPr>
          </w:pPr>
          <w:r>
            <w:rPr>
              <w:highlight w:val="none"/>
            </w:rPr>
            <w:fldChar w:fldCharType="begin"/>
          </w:r>
          <w:r>
            <w:rPr>
              <w:highlight w:val="none"/>
            </w:rPr>
            <w:instrText xml:space="preserve"> HYPERLINK \l _Toc894936118 </w:instrText>
          </w:r>
          <w:r>
            <w:rPr>
              <w:highlight w:val="none"/>
            </w:rPr>
            <w:fldChar w:fldCharType="separate"/>
          </w:r>
          <w:r>
            <w:t>3.8. 全场景综合治理</w:t>
          </w:r>
          <w:r>
            <w:tab/>
          </w:r>
          <w:r>
            <w:fldChar w:fldCharType="begin"/>
          </w:r>
          <w:r>
            <w:instrText xml:space="preserve"> PAGEREF _Toc894936118 \h </w:instrText>
          </w:r>
          <w:r>
            <w:fldChar w:fldCharType="separate"/>
          </w:r>
          <w:r>
            <w:t>16</w:t>
          </w:r>
          <w:r>
            <w:fldChar w:fldCharType="end"/>
          </w:r>
          <w:r>
            <w:rPr>
              <w:highlight w:val="none"/>
            </w:rPr>
            <w:fldChar w:fldCharType="end"/>
          </w:r>
        </w:p>
        <w:p w14:paraId="52819D68">
          <w:pPr>
            <w:pStyle w:val="24"/>
            <w:tabs>
              <w:tab w:val="right" w:leader="dot" w:pos="8306"/>
            </w:tabs>
            <w:rPr>
              <w:b/>
            </w:rPr>
          </w:pPr>
          <w:r>
            <w:rPr>
              <w:b/>
              <w:highlight w:val="none"/>
            </w:rPr>
            <w:fldChar w:fldCharType="begin"/>
          </w:r>
          <w:r>
            <w:rPr>
              <w:b/>
              <w:highlight w:val="none"/>
            </w:rPr>
            <w:instrText xml:space="preserve"> HYPERLINK \l _Toc1054740083 </w:instrText>
          </w:r>
          <w:r>
            <w:rPr>
              <w:b/>
              <w:highlight w:val="none"/>
            </w:rPr>
            <w:fldChar w:fldCharType="separate"/>
          </w:r>
          <w:r>
            <w:rPr>
              <w:b/>
            </w:rPr>
            <w:t>4. 核心优势</w:t>
          </w:r>
          <w:r>
            <w:rPr>
              <w:b/>
            </w:rPr>
            <w:tab/>
          </w:r>
          <w:r>
            <w:rPr>
              <w:b/>
            </w:rPr>
            <w:fldChar w:fldCharType="begin"/>
          </w:r>
          <w:r>
            <w:rPr>
              <w:b/>
            </w:rPr>
            <w:instrText xml:space="preserve"> PAGEREF _Toc1054740083 \h </w:instrText>
          </w:r>
          <w:r>
            <w:rPr>
              <w:b/>
            </w:rPr>
            <w:fldChar w:fldCharType="separate"/>
          </w:r>
          <w:r>
            <w:rPr>
              <w:b/>
            </w:rPr>
            <w:t>17</w:t>
          </w:r>
          <w:r>
            <w:rPr>
              <w:b/>
            </w:rPr>
            <w:fldChar w:fldCharType="end"/>
          </w:r>
          <w:r>
            <w:rPr>
              <w:b/>
              <w:highlight w:val="none"/>
            </w:rPr>
            <w:fldChar w:fldCharType="end"/>
          </w:r>
        </w:p>
        <w:p w14:paraId="1453F911">
          <w:pPr>
            <w:pStyle w:val="25"/>
            <w:tabs>
              <w:tab w:val="right" w:leader="dot" w:pos="8306"/>
            </w:tabs>
          </w:pPr>
          <w:r>
            <w:rPr>
              <w:highlight w:val="none"/>
            </w:rPr>
            <w:fldChar w:fldCharType="begin"/>
          </w:r>
          <w:r>
            <w:rPr>
              <w:highlight w:val="none"/>
            </w:rPr>
            <w:instrText xml:space="preserve"> HYPERLINK \l _Toc1686552643 </w:instrText>
          </w:r>
          <w:r>
            <w:rPr>
              <w:highlight w:val="none"/>
            </w:rPr>
            <w:fldChar w:fldCharType="separate"/>
          </w:r>
          <w:r>
            <w:t>4.1. 统一平台闭环数据流动安全</w:t>
          </w:r>
          <w:r>
            <w:tab/>
          </w:r>
          <w:r>
            <w:fldChar w:fldCharType="begin"/>
          </w:r>
          <w:r>
            <w:instrText xml:space="preserve"> PAGEREF _Toc1686552643 \h </w:instrText>
          </w:r>
          <w:r>
            <w:fldChar w:fldCharType="separate"/>
          </w:r>
          <w:r>
            <w:t>17</w:t>
          </w:r>
          <w:r>
            <w:fldChar w:fldCharType="end"/>
          </w:r>
          <w:r>
            <w:rPr>
              <w:highlight w:val="none"/>
            </w:rPr>
            <w:fldChar w:fldCharType="end"/>
          </w:r>
        </w:p>
        <w:p w14:paraId="25ED91A9">
          <w:pPr>
            <w:pStyle w:val="25"/>
            <w:tabs>
              <w:tab w:val="right" w:leader="dot" w:pos="8306"/>
            </w:tabs>
          </w:pPr>
          <w:r>
            <w:rPr>
              <w:highlight w:val="none"/>
            </w:rPr>
            <w:fldChar w:fldCharType="begin"/>
          </w:r>
          <w:r>
            <w:rPr>
              <w:highlight w:val="none"/>
            </w:rPr>
            <w:instrText xml:space="preserve"> HYPERLINK \l _Toc1253614148 </w:instrText>
          </w:r>
          <w:r>
            <w:rPr>
              <w:highlight w:val="none"/>
            </w:rPr>
            <w:fldChar w:fldCharType="separate"/>
          </w:r>
          <w:r>
            <w:t>4.2. 灵活编排插件满足个性化需求</w:t>
          </w:r>
          <w:r>
            <w:tab/>
          </w:r>
          <w:r>
            <w:fldChar w:fldCharType="begin"/>
          </w:r>
          <w:r>
            <w:instrText xml:space="preserve"> PAGEREF _Toc1253614148 \h </w:instrText>
          </w:r>
          <w:r>
            <w:fldChar w:fldCharType="separate"/>
          </w:r>
          <w:r>
            <w:t>17</w:t>
          </w:r>
          <w:r>
            <w:fldChar w:fldCharType="end"/>
          </w:r>
          <w:r>
            <w:rPr>
              <w:highlight w:val="none"/>
            </w:rPr>
            <w:fldChar w:fldCharType="end"/>
          </w:r>
        </w:p>
        <w:p w14:paraId="5A1D3684">
          <w:pPr>
            <w:pStyle w:val="25"/>
            <w:tabs>
              <w:tab w:val="right" w:leader="dot" w:pos="8306"/>
            </w:tabs>
          </w:pPr>
          <w:r>
            <w:rPr>
              <w:highlight w:val="none"/>
            </w:rPr>
            <w:fldChar w:fldCharType="begin"/>
          </w:r>
          <w:r>
            <w:rPr>
              <w:highlight w:val="none"/>
            </w:rPr>
            <w:instrText xml:space="preserve"> HYPERLINK \l _Toc530924719 </w:instrText>
          </w:r>
          <w:r>
            <w:rPr>
              <w:highlight w:val="none"/>
            </w:rPr>
            <w:fldChar w:fldCharType="separate"/>
          </w:r>
          <w:r>
            <w:t>4.3. 多维用户识别构建身份安全</w:t>
          </w:r>
          <w:r>
            <w:tab/>
          </w:r>
          <w:r>
            <w:fldChar w:fldCharType="begin"/>
          </w:r>
          <w:r>
            <w:instrText xml:space="preserve"> PAGEREF _Toc530924719 \h </w:instrText>
          </w:r>
          <w:r>
            <w:fldChar w:fldCharType="separate"/>
          </w:r>
          <w:r>
            <w:t>18</w:t>
          </w:r>
          <w:r>
            <w:fldChar w:fldCharType="end"/>
          </w:r>
          <w:r>
            <w:rPr>
              <w:highlight w:val="none"/>
            </w:rPr>
            <w:fldChar w:fldCharType="end"/>
          </w:r>
        </w:p>
        <w:p w14:paraId="11B569F0">
          <w:pPr>
            <w:pStyle w:val="25"/>
            <w:tabs>
              <w:tab w:val="right" w:leader="dot" w:pos="8306"/>
            </w:tabs>
          </w:pPr>
          <w:r>
            <w:rPr>
              <w:highlight w:val="none"/>
            </w:rPr>
            <w:fldChar w:fldCharType="begin"/>
          </w:r>
          <w:r>
            <w:rPr>
              <w:highlight w:val="none"/>
            </w:rPr>
            <w:instrText xml:space="preserve"> HYPERLINK \l _Toc457198948 </w:instrText>
          </w:r>
          <w:r>
            <w:rPr>
              <w:highlight w:val="none"/>
            </w:rPr>
            <w:fldChar w:fldCharType="separate"/>
          </w:r>
          <w:r>
            <w:t>4.4. 丰富规则精准锁定潜在风险</w:t>
          </w:r>
          <w:r>
            <w:tab/>
          </w:r>
          <w:r>
            <w:fldChar w:fldCharType="begin"/>
          </w:r>
          <w:r>
            <w:instrText xml:space="preserve"> PAGEREF _Toc457198948 \h </w:instrText>
          </w:r>
          <w:r>
            <w:fldChar w:fldCharType="separate"/>
          </w:r>
          <w:r>
            <w:t>18</w:t>
          </w:r>
          <w:r>
            <w:fldChar w:fldCharType="end"/>
          </w:r>
          <w:r>
            <w:rPr>
              <w:highlight w:val="none"/>
            </w:rPr>
            <w:fldChar w:fldCharType="end"/>
          </w:r>
        </w:p>
        <w:p w14:paraId="538B8C6E">
          <w:pPr>
            <w:pStyle w:val="25"/>
            <w:tabs>
              <w:tab w:val="right" w:leader="dot" w:pos="8306"/>
            </w:tabs>
          </w:pPr>
          <w:r>
            <w:rPr>
              <w:highlight w:val="none"/>
            </w:rPr>
            <w:fldChar w:fldCharType="begin"/>
          </w:r>
          <w:r>
            <w:rPr>
              <w:highlight w:val="none"/>
            </w:rPr>
            <w:instrText xml:space="preserve"> HYPERLINK \l _Toc446230070 </w:instrText>
          </w:r>
          <w:r>
            <w:rPr>
              <w:highlight w:val="none"/>
            </w:rPr>
            <w:fldChar w:fldCharType="separate"/>
          </w:r>
          <w:r>
            <w:t>4.5. 前沿架构设计打造领先性能</w:t>
          </w:r>
          <w:r>
            <w:tab/>
          </w:r>
          <w:r>
            <w:fldChar w:fldCharType="begin"/>
          </w:r>
          <w:r>
            <w:instrText xml:space="preserve"> PAGEREF _Toc446230070 \h </w:instrText>
          </w:r>
          <w:r>
            <w:fldChar w:fldCharType="separate"/>
          </w:r>
          <w:r>
            <w:t>19</w:t>
          </w:r>
          <w:r>
            <w:fldChar w:fldCharType="end"/>
          </w:r>
          <w:r>
            <w:rPr>
              <w:highlight w:val="none"/>
            </w:rPr>
            <w:fldChar w:fldCharType="end"/>
          </w:r>
        </w:p>
        <w:p w14:paraId="5E57A16F">
          <w:pPr>
            <w:pStyle w:val="25"/>
            <w:tabs>
              <w:tab w:val="right" w:leader="dot" w:pos="8306"/>
            </w:tabs>
          </w:pPr>
          <w:r>
            <w:rPr>
              <w:highlight w:val="none"/>
            </w:rPr>
            <w:fldChar w:fldCharType="begin"/>
          </w:r>
          <w:r>
            <w:rPr>
              <w:highlight w:val="none"/>
            </w:rPr>
            <w:instrText xml:space="preserve"> HYPERLINK \l _Toc775891166 </w:instrText>
          </w:r>
          <w:r>
            <w:rPr>
              <w:highlight w:val="none"/>
            </w:rPr>
            <w:fldChar w:fldCharType="separate"/>
          </w:r>
          <w:r>
            <w:t>4.6. 可扩展平台全面适配多种环境</w:t>
          </w:r>
          <w:r>
            <w:tab/>
          </w:r>
          <w:r>
            <w:fldChar w:fldCharType="begin"/>
          </w:r>
          <w:r>
            <w:instrText xml:space="preserve"> PAGEREF _Toc775891166 \h </w:instrText>
          </w:r>
          <w:r>
            <w:fldChar w:fldCharType="separate"/>
          </w:r>
          <w:r>
            <w:t>19</w:t>
          </w:r>
          <w:r>
            <w:fldChar w:fldCharType="end"/>
          </w:r>
          <w:r>
            <w:rPr>
              <w:highlight w:val="none"/>
            </w:rPr>
            <w:fldChar w:fldCharType="end"/>
          </w:r>
        </w:p>
        <w:p w14:paraId="6BFCDFDD">
          <w:pPr>
            <w:pStyle w:val="24"/>
            <w:tabs>
              <w:tab w:val="right" w:leader="dot" w:pos="8306"/>
            </w:tabs>
            <w:rPr>
              <w:b/>
            </w:rPr>
          </w:pPr>
          <w:r>
            <w:rPr>
              <w:b/>
              <w:highlight w:val="none"/>
            </w:rPr>
            <w:fldChar w:fldCharType="begin"/>
          </w:r>
          <w:r>
            <w:rPr>
              <w:b/>
              <w:highlight w:val="none"/>
            </w:rPr>
            <w:instrText xml:space="preserve"> HYPERLINK \l _Toc882122378 </w:instrText>
          </w:r>
          <w:r>
            <w:rPr>
              <w:b/>
              <w:highlight w:val="none"/>
            </w:rPr>
            <w:fldChar w:fldCharType="separate"/>
          </w:r>
          <w:r>
            <w:rPr>
              <w:b/>
            </w:rPr>
            <w:t>5. 客户价值</w:t>
          </w:r>
          <w:r>
            <w:rPr>
              <w:b/>
            </w:rPr>
            <w:tab/>
          </w:r>
          <w:r>
            <w:rPr>
              <w:b/>
            </w:rPr>
            <w:fldChar w:fldCharType="begin"/>
          </w:r>
          <w:r>
            <w:rPr>
              <w:b/>
            </w:rPr>
            <w:instrText xml:space="preserve"> PAGEREF _Toc882122378 \h </w:instrText>
          </w:r>
          <w:r>
            <w:rPr>
              <w:b/>
            </w:rPr>
            <w:fldChar w:fldCharType="separate"/>
          </w:r>
          <w:r>
            <w:rPr>
              <w:b/>
            </w:rPr>
            <w:t>20</w:t>
          </w:r>
          <w:r>
            <w:rPr>
              <w:b/>
            </w:rPr>
            <w:fldChar w:fldCharType="end"/>
          </w:r>
          <w:r>
            <w:rPr>
              <w:b/>
              <w:highlight w:val="none"/>
            </w:rPr>
            <w:fldChar w:fldCharType="end"/>
          </w:r>
        </w:p>
        <w:p w14:paraId="53A98620">
          <w:pPr>
            <w:pStyle w:val="25"/>
            <w:tabs>
              <w:tab w:val="right" w:leader="dot" w:pos="8306"/>
            </w:tabs>
          </w:pPr>
          <w:r>
            <w:rPr>
              <w:highlight w:val="none"/>
            </w:rPr>
            <w:fldChar w:fldCharType="begin"/>
          </w:r>
          <w:r>
            <w:rPr>
              <w:highlight w:val="none"/>
            </w:rPr>
            <w:instrText xml:space="preserve"> HYPERLINK \l _Toc1751191805 </w:instrText>
          </w:r>
          <w:r>
            <w:rPr>
              <w:highlight w:val="none"/>
            </w:rPr>
            <w:fldChar w:fldCharType="separate"/>
          </w:r>
          <w:r>
            <w:t>5.1. 数据流动安全</w:t>
          </w:r>
          <w:r>
            <w:tab/>
          </w:r>
          <w:r>
            <w:fldChar w:fldCharType="begin"/>
          </w:r>
          <w:r>
            <w:instrText xml:space="preserve"> PAGEREF _Toc1751191805 \h </w:instrText>
          </w:r>
          <w:r>
            <w:fldChar w:fldCharType="separate"/>
          </w:r>
          <w:r>
            <w:t>20</w:t>
          </w:r>
          <w:r>
            <w:fldChar w:fldCharType="end"/>
          </w:r>
          <w:r>
            <w:rPr>
              <w:highlight w:val="none"/>
            </w:rPr>
            <w:fldChar w:fldCharType="end"/>
          </w:r>
        </w:p>
        <w:p w14:paraId="298331C2">
          <w:pPr>
            <w:pStyle w:val="25"/>
            <w:tabs>
              <w:tab w:val="right" w:leader="dot" w:pos="8306"/>
            </w:tabs>
          </w:pPr>
          <w:r>
            <w:rPr>
              <w:highlight w:val="none"/>
            </w:rPr>
            <w:fldChar w:fldCharType="begin"/>
          </w:r>
          <w:r>
            <w:rPr>
              <w:highlight w:val="none"/>
            </w:rPr>
            <w:instrText xml:space="preserve"> HYPERLINK \l _Toc1017284500 </w:instrText>
          </w:r>
          <w:r>
            <w:rPr>
              <w:highlight w:val="none"/>
            </w:rPr>
            <w:fldChar w:fldCharType="separate"/>
          </w:r>
          <w:r>
            <w:t>5.2. 数据安全合规</w:t>
          </w:r>
          <w:r>
            <w:tab/>
          </w:r>
          <w:r>
            <w:fldChar w:fldCharType="begin"/>
          </w:r>
          <w:r>
            <w:instrText xml:space="preserve"> PAGEREF _Toc1017284500 \h </w:instrText>
          </w:r>
          <w:r>
            <w:fldChar w:fldCharType="separate"/>
          </w:r>
          <w:r>
            <w:t>20</w:t>
          </w:r>
          <w:r>
            <w:fldChar w:fldCharType="end"/>
          </w:r>
          <w:r>
            <w:rPr>
              <w:highlight w:val="none"/>
            </w:rPr>
            <w:fldChar w:fldCharType="end"/>
          </w:r>
        </w:p>
        <w:p w14:paraId="0DD005DA">
          <w:pPr>
            <w:pStyle w:val="25"/>
            <w:tabs>
              <w:tab w:val="right" w:leader="dot" w:pos="8306"/>
            </w:tabs>
          </w:pPr>
          <w:r>
            <w:rPr>
              <w:highlight w:val="none"/>
            </w:rPr>
            <w:fldChar w:fldCharType="begin"/>
          </w:r>
          <w:r>
            <w:rPr>
              <w:highlight w:val="none"/>
            </w:rPr>
            <w:instrText xml:space="preserve"> HYPERLINK \l _Toc1383277733 </w:instrText>
          </w:r>
          <w:r>
            <w:rPr>
              <w:highlight w:val="none"/>
            </w:rPr>
            <w:fldChar w:fldCharType="separate"/>
          </w:r>
          <w:r>
            <w:t>5.3. 业务安全防护</w:t>
          </w:r>
          <w:r>
            <w:tab/>
          </w:r>
          <w:r>
            <w:fldChar w:fldCharType="begin"/>
          </w:r>
          <w:r>
            <w:instrText xml:space="preserve"> PAGEREF _Toc1383277733 \h </w:instrText>
          </w:r>
          <w:r>
            <w:fldChar w:fldCharType="separate"/>
          </w:r>
          <w:r>
            <w:t>20</w:t>
          </w:r>
          <w:r>
            <w:fldChar w:fldCharType="end"/>
          </w:r>
          <w:r>
            <w:rPr>
              <w:highlight w:val="none"/>
            </w:rPr>
            <w:fldChar w:fldCharType="end"/>
          </w:r>
        </w:p>
        <w:p w14:paraId="03C484C4">
          <w:pPr>
            <w:pStyle w:val="25"/>
            <w:tabs>
              <w:tab w:val="right" w:leader="dot" w:pos="8306"/>
            </w:tabs>
          </w:pPr>
          <w:r>
            <w:rPr>
              <w:highlight w:val="none"/>
            </w:rPr>
            <w:fldChar w:fldCharType="begin"/>
          </w:r>
          <w:r>
            <w:rPr>
              <w:highlight w:val="none"/>
            </w:rPr>
            <w:instrText xml:space="preserve"> HYPERLINK \l _Toc90896109 </w:instrText>
          </w:r>
          <w:r>
            <w:rPr>
              <w:highlight w:val="none"/>
            </w:rPr>
            <w:fldChar w:fldCharType="separate"/>
          </w:r>
          <w:r>
            <w:t>5.4. 业务运行稳定</w:t>
          </w:r>
          <w:r>
            <w:tab/>
          </w:r>
          <w:r>
            <w:fldChar w:fldCharType="begin"/>
          </w:r>
          <w:r>
            <w:instrText xml:space="preserve"> PAGEREF _Toc90896109 \h </w:instrText>
          </w:r>
          <w:r>
            <w:fldChar w:fldCharType="separate"/>
          </w:r>
          <w:r>
            <w:t>21</w:t>
          </w:r>
          <w:r>
            <w:fldChar w:fldCharType="end"/>
          </w:r>
          <w:r>
            <w:rPr>
              <w:highlight w:val="none"/>
            </w:rPr>
            <w:fldChar w:fldCharType="end"/>
          </w:r>
        </w:p>
        <w:p w14:paraId="60F94DC4">
          <w:pPr>
            <w:pStyle w:val="25"/>
            <w:tabs>
              <w:tab w:val="right" w:leader="dot" w:pos="8306"/>
            </w:tabs>
          </w:pPr>
          <w:r>
            <w:rPr>
              <w:highlight w:val="none"/>
            </w:rPr>
            <w:fldChar w:fldCharType="begin"/>
          </w:r>
          <w:r>
            <w:rPr>
              <w:highlight w:val="none"/>
            </w:rPr>
            <w:instrText xml:space="preserve"> HYPERLINK \l _Toc830030946 </w:instrText>
          </w:r>
          <w:r>
            <w:rPr>
              <w:highlight w:val="none"/>
            </w:rPr>
            <w:fldChar w:fldCharType="separate"/>
          </w:r>
          <w:r>
            <w:t>5.5. 业务运营加速</w:t>
          </w:r>
          <w:r>
            <w:tab/>
          </w:r>
          <w:r>
            <w:fldChar w:fldCharType="begin"/>
          </w:r>
          <w:r>
            <w:instrText xml:space="preserve"> PAGEREF _Toc830030946 \h </w:instrText>
          </w:r>
          <w:r>
            <w:fldChar w:fldCharType="separate"/>
          </w:r>
          <w:r>
            <w:t>21</w:t>
          </w:r>
          <w:r>
            <w:fldChar w:fldCharType="end"/>
          </w:r>
          <w:r>
            <w:rPr>
              <w:highlight w:val="none"/>
            </w:rPr>
            <w:fldChar w:fldCharType="end"/>
          </w:r>
        </w:p>
        <w:p w14:paraId="0DD9AEF9">
          <w:pPr>
            <w:pStyle w:val="25"/>
            <w:tabs>
              <w:tab w:val="right" w:leader="dot" w:pos="8306"/>
            </w:tabs>
          </w:pPr>
          <w:r>
            <w:rPr>
              <w:highlight w:val="none"/>
            </w:rPr>
            <w:fldChar w:fldCharType="begin"/>
          </w:r>
          <w:r>
            <w:rPr>
              <w:highlight w:val="none"/>
            </w:rPr>
            <w:instrText xml:space="preserve"> HYPERLINK \l _Toc276338510 </w:instrText>
          </w:r>
          <w:r>
            <w:rPr>
              <w:highlight w:val="none"/>
            </w:rPr>
            <w:fldChar w:fldCharType="separate"/>
          </w:r>
          <w:r>
            <w:t>5.6. 一站式运维</w:t>
          </w:r>
          <w:r>
            <w:tab/>
          </w:r>
          <w:r>
            <w:fldChar w:fldCharType="begin"/>
          </w:r>
          <w:r>
            <w:instrText xml:space="preserve"> PAGEREF _Toc276338510 \h </w:instrText>
          </w:r>
          <w:r>
            <w:fldChar w:fldCharType="separate"/>
          </w:r>
          <w:r>
            <w:t>21</w:t>
          </w:r>
          <w:r>
            <w:fldChar w:fldCharType="end"/>
          </w:r>
          <w:r>
            <w:rPr>
              <w:highlight w:val="none"/>
            </w:rPr>
            <w:fldChar w:fldCharType="end"/>
          </w:r>
        </w:p>
        <w:p w14:paraId="3EB9B8A5">
          <w:pPr>
            <w:pStyle w:val="24"/>
            <w:tabs>
              <w:tab w:val="right" w:leader="dot" w:pos="8306"/>
            </w:tabs>
            <w:rPr>
              <w:b/>
            </w:rPr>
          </w:pPr>
          <w:r>
            <w:rPr>
              <w:b/>
              <w:highlight w:val="none"/>
            </w:rPr>
            <w:fldChar w:fldCharType="begin"/>
          </w:r>
          <w:r>
            <w:rPr>
              <w:b/>
              <w:highlight w:val="none"/>
            </w:rPr>
            <w:instrText xml:space="preserve"> HYPERLINK \l _Toc1561692756 </w:instrText>
          </w:r>
          <w:r>
            <w:rPr>
              <w:b/>
              <w:highlight w:val="none"/>
            </w:rPr>
            <w:fldChar w:fldCharType="separate"/>
          </w:r>
          <w:r>
            <w:rPr>
              <w:b/>
            </w:rPr>
            <w:t>6. 应用场景</w:t>
          </w:r>
          <w:r>
            <w:rPr>
              <w:b/>
            </w:rPr>
            <w:tab/>
          </w:r>
          <w:r>
            <w:rPr>
              <w:b/>
            </w:rPr>
            <w:fldChar w:fldCharType="begin"/>
          </w:r>
          <w:r>
            <w:rPr>
              <w:b/>
            </w:rPr>
            <w:instrText xml:space="preserve"> PAGEREF _Toc1561692756 \h </w:instrText>
          </w:r>
          <w:r>
            <w:rPr>
              <w:b/>
            </w:rPr>
            <w:fldChar w:fldCharType="separate"/>
          </w:r>
          <w:r>
            <w:rPr>
              <w:b/>
            </w:rPr>
            <w:t>23</w:t>
          </w:r>
          <w:r>
            <w:rPr>
              <w:b/>
            </w:rPr>
            <w:fldChar w:fldCharType="end"/>
          </w:r>
          <w:r>
            <w:rPr>
              <w:b/>
              <w:highlight w:val="none"/>
            </w:rPr>
            <w:fldChar w:fldCharType="end"/>
          </w:r>
        </w:p>
        <w:p w14:paraId="3DA6F82C">
          <w:pPr>
            <w:pStyle w:val="25"/>
            <w:tabs>
              <w:tab w:val="right" w:leader="dot" w:pos="8306"/>
            </w:tabs>
          </w:pPr>
          <w:r>
            <w:rPr>
              <w:highlight w:val="none"/>
            </w:rPr>
            <w:fldChar w:fldCharType="begin"/>
          </w:r>
          <w:r>
            <w:rPr>
              <w:highlight w:val="none"/>
            </w:rPr>
            <w:instrText xml:space="preserve"> HYPERLINK \l _Toc825016458 </w:instrText>
          </w:r>
          <w:r>
            <w:rPr>
              <w:highlight w:val="none"/>
            </w:rPr>
            <w:fldChar w:fldCharType="separate"/>
          </w:r>
          <w:r>
            <w:t>6.1. 业务代理安全发布</w:t>
          </w:r>
          <w:r>
            <w:tab/>
          </w:r>
          <w:r>
            <w:fldChar w:fldCharType="begin"/>
          </w:r>
          <w:r>
            <w:instrText xml:space="preserve"> PAGEREF _Toc825016458 \h </w:instrText>
          </w:r>
          <w:r>
            <w:fldChar w:fldCharType="separate"/>
          </w:r>
          <w:r>
            <w:t>23</w:t>
          </w:r>
          <w:r>
            <w:fldChar w:fldCharType="end"/>
          </w:r>
          <w:r>
            <w:rPr>
              <w:highlight w:val="none"/>
            </w:rPr>
            <w:fldChar w:fldCharType="end"/>
          </w:r>
        </w:p>
        <w:p w14:paraId="3CD3CE03">
          <w:pPr>
            <w:pStyle w:val="25"/>
            <w:tabs>
              <w:tab w:val="right" w:leader="dot" w:pos="8306"/>
            </w:tabs>
          </w:pPr>
          <w:r>
            <w:rPr>
              <w:highlight w:val="none"/>
            </w:rPr>
            <w:fldChar w:fldCharType="begin"/>
          </w:r>
          <w:r>
            <w:rPr>
              <w:highlight w:val="none"/>
            </w:rPr>
            <w:instrText xml:space="preserve"> HYPERLINK \l _Toc1897184574 </w:instrText>
          </w:r>
          <w:r>
            <w:rPr>
              <w:highlight w:val="none"/>
            </w:rPr>
            <w:fldChar w:fldCharType="separate"/>
          </w:r>
          <w:r>
            <w:t>6.2. API安全治理</w:t>
          </w:r>
          <w:r>
            <w:tab/>
          </w:r>
          <w:r>
            <w:fldChar w:fldCharType="begin"/>
          </w:r>
          <w:r>
            <w:instrText xml:space="preserve"> PAGEREF _Toc1897184574 \h </w:instrText>
          </w:r>
          <w:r>
            <w:fldChar w:fldCharType="separate"/>
          </w:r>
          <w:r>
            <w:t>24</w:t>
          </w:r>
          <w:r>
            <w:fldChar w:fldCharType="end"/>
          </w:r>
          <w:r>
            <w:rPr>
              <w:highlight w:val="none"/>
            </w:rPr>
            <w:fldChar w:fldCharType="end"/>
          </w:r>
        </w:p>
        <w:p w14:paraId="314DD035">
          <w:pPr>
            <w:pStyle w:val="25"/>
            <w:tabs>
              <w:tab w:val="right" w:leader="dot" w:pos="8306"/>
            </w:tabs>
          </w:pPr>
          <w:r>
            <w:rPr>
              <w:highlight w:val="none"/>
            </w:rPr>
            <w:fldChar w:fldCharType="begin"/>
          </w:r>
          <w:r>
            <w:rPr>
              <w:highlight w:val="none"/>
            </w:rPr>
            <w:instrText xml:space="preserve"> HYPERLINK \l _Toc143944562 </w:instrText>
          </w:r>
          <w:r>
            <w:rPr>
              <w:highlight w:val="none"/>
            </w:rPr>
            <w:fldChar w:fldCharType="separate"/>
          </w:r>
          <w:r>
            <w:t>6.3. 核心数字资产盘点</w:t>
          </w:r>
          <w:r>
            <w:tab/>
          </w:r>
          <w:r>
            <w:fldChar w:fldCharType="begin"/>
          </w:r>
          <w:r>
            <w:instrText xml:space="preserve"> PAGEREF _Toc143944562 \h </w:instrText>
          </w:r>
          <w:r>
            <w:fldChar w:fldCharType="separate"/>
          </w:r>
          <w:r>
            <w:t>25</w:t>
          </w:r>
          <w:r>
            <w:fldChar w:fldCharType="end"/>
          </w:r>
          <w:r>
            <w:rPr>
              <w:highlight w:val="none"/>
            </w:rPr>
            <w:fldChar w:fldCharType="end"/>
          </w:r>
        </w:p>
        <w:p w14:paraId="1B60ACCC">
          <w:pPr>
            <w:pStyle w:val="25"/>
            <w:tabs>
              <w:tab w:val="right" w:leader="dot" w:pos="8306"/>
            </w:tabs>
          </w:pPr>
          <w:r>
            <w:rPr>
              <w:highlight w:val="none"/>
            </w:rPr>
            <w:fldChar w:fldCharType="begin"/>
          </w:r>
          <w:r>
            <w:rPr>
              <w:highlight w:val="none"/>
            </w:rPr>
            <w:instrText xml:space="preserve"> HYPERLINK \l _Toc1209667012 </w:instrText>
          </w:r>
          <w:r>
            <w:rPr>
              <w:highlight w:val="none"/>
            </w:rPr>
            <w:fldChar w:fldCharType="separate"/>
          </w:r>
          <w:r>
            <w:t>6.4. 数据资产分类分级</w:t>
          </w:r>
          <w:r>
            <w:tab/>
          </w:r>
          <w:r>
            <w:fldChar w:fldCharType="begin"/>
          </w:r>
          <w:r>
            <w:instrText xml:space="preserve"> PAGEREF _Toc1209667012 \h </w:instrText>
          </w:r>
          <w:r>
            <w:fldChar w:fldCharType="separate"/>
          </w:r>
          <w:r>
            <w:t>26</w:t>
          </w:r>
          <w:r>
            <w:fldChar w:fldCharType="end"/>
          </w:r>
          <w:r>
            <w:rPr>
              <w:highlight w:val="none"/>
            </w:rPr>
            <w:fldChar w:fldCharType="end"/>
          </w:r>
        </w:p>
        <w:p w14:paraId="6BB78686">
          <w:pPr>
            <w:pStyle w:val="25"/>
            <w:tabs>
              <w:tab w:val="right" w:leader="dot" w:pos="8306"/>
            </w:tabs>
          </w:pPr>
          <w:r>
            <w:rPr>
              <w:highlight w:val="none"/>
            </w:rPr>
            <w:fldChar w:fldCharType="begin"/>
          </w:r>
          <w:r>
            <w:rPr>
              <w:highlight w:val="none"/>
            </w:rPr>
            <w:instrText xml:space="preserve"> HYPERLINK \l _Toc645784535 </w:instrText>
          </w:r>
          <w:r>
            <w:rPr>
              <w:highlight w:val="none"/>
            </w:rPr>
            <w:fldChar w:fldCharType="separate"/>
          </w:r>
          <w:r>
            <w:t>6.5. 数据流动安全综合治理</w:t>
          </w:r>
          <w:r>
            <w:tab/>
          </w:r>
          <w:r>
            <w:fldChar w:fldCharType="begin"/>
          </w:r>
          <w:r>
            <w:instrText xml:space="preserve"> PAGEREF _Toc645784535 \h </w:instrText>
          </w:r>
          <w:r>
            <w:fldChar w:fldCharType="separate"/>
          </w:r>
          <w:r>
            <w:t>27</w:t>
          </w:r>
          <w:r>
            <w:fldChar w:fldCharType="end"/>
          </w:r>
          <w:r>
            <w:rPr>
              <w:highlight w:val="none"/>
            </w:rPr>
            <w:fldChar w:fldCharType="end"/>
          </w:r>
        </w:p>
        <w:p w14:paraId="2C789895">
          <w:pPr>
            <w:pStyle w:val="25"/>
            <w:tabs>
              <w:tab w:val="right" w:leader="dot" w:pos="8306"/>
            </w:tabs>
          </w:pPr>
          <w:r>
            <w:rPr>
              <w:highlight w:val="none"/>
            </w:rPr>
            <w:fldChar w:fldCharType="begin"/>
          </w:r>
          <w:r>
            <w:rPr>
              <w:highlight w:val="none"/>
            </w:rPr>
            <w:instrText xml:space="preserve"> HYPERLINK \l _Toc318327807 </w:instrText>
          </w:r>
          <w:r>
            <w:rPr>
              <w:highlight w:val="none"/>
            </w:rPr>
            <w:fldChar w:fldCharType="separate"/>
          </w:r>
          <w:r>
            <w:t>6.6. 数据流动安全溯源分析</w:t>
          </w:r>
          <w:r>
            <w:tab/>
          </w:r>
          <w:r>
            <w:fldChar w:fldCharType="begin"/>
          </w:r>
          <w:r>
            <w:instrText xml:space="preserve"> PAGEREF _Toc318327807 \h </w:instrText>
          </w:r>
          <w:r>
            <w:fldChar w:fldCharType="separate"/>
          </w:r>
          <w:r>
            <w:t>27</w:t>
          </w:r>
          <w:r>
            <w:fldChar w:fldCharType="end"/>
          </w:r>
          <w:r>
            <w:rPr>
              <w:highlight w:val="none"/>
            </w:rPr>
            <w:fldChar w:fldCharType="end"/>
          </w:r>
        </w:p>
        <w:p w14:paraId="4245F4C9">
          <w:pPr>
            <w:pStyle w:val="25"/>
            <w:tabs>
              <w:tab w:val="right" w:leader="dot" w:pos="8306"/>
            </w:tabs>
          </w:pPr>
          <w:r>
            <w:rPr>
              <w:highlight w:val="none"/>
            </w:rPr>
            <w:fldChar w:fldCharType="begin"/>
          </w:r>
          <w:r>
            <w:rPr>
              <w:highlight w:val="none"/>
            </w:rPr>
            <w:instrText xml:space="preserve"> HYPERLINK \l _Toc753687572 </w:instrText>
          </w:r>
          <w:r>
            <w:rPr>
              <w:highlight w:val="none"/>
            </w:rPr>
            <w:fldChar w:fldCharType="separate"/>
          </w:r>
          <w:r>
            <w:t>6.7. 业务攻击安全防护（HW）</w:t>
          </w:r>
          <w:r>
            <w:tab/>
          </w:r>
          <w:r>
            <w:fldChar w:fldCharType="begin"/>
          </w:r>
          <w:r>
            <w:instrText xml:space="preserve"> PAGEREF _Toc753687572 \h </w:instrText>
          </w:r>
          <w:r>
            <w:fldChar w:fldCharType="separate"/>
          </w:r>
          <w:r>
            <w:t>28</w:t>
          </w:r>
          <w:r>
            <w:fldChar w:fldCharType="end"/>
          </w:r>
          <w:r>
            <w:rPr>
              <w:highlight w:val="none"/>
            </w:rPr>
            <w:fldChar w:fldCharType="end"/>
          </w:r>
        </w:p>
        <w:p w14:paraId="6100DC3B">
          <w:pPr>
            <w:pStyle w:val="25"/>
            <w:tabs>
              <w:tab w:val="right" w:leader="dot" w:pos="8306"/>
            </w:tabs>
          </w:pPr>
          <w:r>
            <w:rPr>
              <w:highlight w:val="none"/>
            </w:rPr>
            <w:fldChar w:fldCharType="begin"/>
          </w:r>
          <w:r>
            <w:rPr>
              <w:highlight w:val="none"/>
            </w:rPr>
            <w:instrText xml:space="preserve"> HYPERLINK \l _Toc1368472598 </w:instrText>
          </w:r>
          <w:r>
            <w:rPr>
              <w:highlight w:val="none"/>
            </w:rPr>
            <w:fldChar w:fldCharType="separate"/>
          </w:r>
          <w:r>
            <w:t>6.8. 用户安全专项审计</w:t>
          </w:r>
          <w:r>
            <w:tab/>
          </w:r>
          <w:r>
            <w:fldChar w:fldCharType="begin"/>
          </w:r>
          <w:r>
            <w:instrText xml:space="preserve"> PAGEREF _Toc1368472598 \h </w:instrText>
          </w:r>
          <w:r>
            <w:fldChar w:fldCharType="separate"/>
          </w:r>
          <w:r>
            <w:t>30</w:t>
          </w:r>
          <w:r>
            <w:fldChar w:fldCharType="end"/>
          </w:r>
          <w:r>
            <w:rPr>
              <w:highlight w:val="none"/>
            </w:rPr>
            <w:fldChar w:fldCharType="end"/>
          </w:r>
        </w:p>
        <w:p w14:paraId="7C76A87C">
          <w:pPr>
            <w:pStyle w:val="25"/>
            <w:tabs>
              <w:tab w:val="right" w:leader="dot" w:pos="8306"/>
            </w:tabs>
          </w:pPr>
          <w:r>
            <w:rPr>
              <w:highlight w:val="none"/>
            </w:rPr>
            <w:fldChar w:fldCharType="begin"/>
          </w:r>
          <w:r>
            <w:rPr>
              <w:highlight w:val="none"/>
            </w:rPr>
            <w:instrText xml:space="preserve"> HYPERLINK \l _Toc369095216 </w:instrText>
          </w:r>
          <w:r>
            <w:rPr>
              <w:highlight w:val="none"/>
            </w:rPr>
            <w:fldChar w:fldCharType="separate"/>
          </w:r>
          <w:r>
            <w:t>6.9. 数据安全专项审计</w:t>
          </w:r>
          <w:r>
            <w:tab/>
          </w:r>
          <w:r>
            <w:fldChar w:fldCharType="begin"/>
          </w:r>
          <w:r>
            <w:instrText xml:space="preserve"> PAGEREF _Toc369095216 \h </w:instrText>
          </w:r>
          <w:r>
            <w:fldChar w:fldCharType="separate"/>
          </w:r>
          <w:r>
            <w:t>31</w:t>
          </w:r>
          <w:r>
            <w:fldChar w:fldCharType="end"/>
          </w:r>
          <w:r>
            <w:rPr>
              <w:highlight w:val="none"/>
            </w:rPr>
            <w:fldChar w:fldCharType="end"/>
          </w:r>
        </w:p>
        <w:p w14:paraId="03FB3AD0">
          <w:pPr>
            <w:spacing w:line="360" w:lineRule="auto"/>
          </w:pPr>
          <w:r>
            <w:rPr>
              <w:b/>
              <w:highlight w:val="none"/>
            </w:rPr>
            <w:fldChar w:fldCharType="end"/>
          </w:r>
        </w:p>
      </w:sdtContent>
    </w:sdt>
    <w:p w14:paraId="47389BFA">
      <w:pPr>
        <w:spacing w:line="360" w:lineRule="auto"/>
        <w:rPr>
          <w:highlight w:val="none"/>
        </w:rPr>
      </w:pPr>
      <w:r>
        <w:rPr>
          <w:b/>
          <w:bCs/>
          <w:position w:val="-32"/>
        </w:rPr>
        <w:drawing>
          <wp:anchor distT="0" distB="0" distL="0" distR="0" simplePos="0" relativeHeight="251659264" behindDoc="0" locked="0" layoutInCell="1" allowOverlap="1">
            <wp:simplePos x="0" y="0"/>
            <wp:positionH relativeFrom="column">
              <wp:posOffset>-1139825</wp:posOffset>
            </wp:positionH>
            <wp:positionV relativeFrom="paragraph">
              <wp:posOffset>2306955</wp:posOffset>
            </wp:positionV>
            <wp:extent cx="7559675" cy="1036320"/>
            <wp:effectExtent l="0" t="0" r="9525" b="508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6"/>
                    <a:stretch>
                      <a:fillRect/>
                    </a:stretch>
                  </pic:blipFill>
                  <pic:spPr>
                    <a:xfrm>
                      <a:off x="0" y="0"/>
                      <a:ext cx="7560309" cy="1036899"/>
                    </a:xfrm>
                    <a:prstGeom prst="rect">
                      <a:avLst/>
                    </a:prstGeom>
                  </pic:spPr>
                </pic:pic>
              </a:graphicData>
            </a:graphic>
          </wp:anchor>
        </w:drawing>
      </w:r>
      <w:r>
        <w:rPr>
          <w:highlight w:val="none"/>
        </w:rPr>
        <w:br w:type="page"/>
      </w:r>
    </w:p>
    <w:p w14:paraId="3DC39CC7">
      <w:pPr>
        <w:pStyle w:val="11"/>
        <w:rPr>
          <w:b/>
        </w:rPr>
      </w:pPr>
      <w:bookmarkStart w:id="2" w:name="_Toc2023905374"/>
      <w:bookmarkStart w:id="3" w:name="_Toc709992965"/>
      <w:r>
        <w:rPr>
          <w:b/>
        </w:rPr>
        <w:t>说明：</w:t>
      </w:r>
      <w:bookmarkEnd w:id="2"/>
      <w:bookmarkEnd w:id="3"/>
    </w:p>
    <w:p w14:paraId="42E1F5FA">
      <w:pPr>
        <w:pStyle w:val="11"/>
      </w:pPr>
      <w:r>
        <w:t>“数据流动治理”是深圳市石犀科技有限公司（以下简称石犀科技）在洞察企业等组织数字化建设与转型</w:t>
      </w:r>
      <w:bookmarkStart w:id="110" w:name="_GoBack"/>
      <w:bookmarkEnd w:id="110"/>
      <w:r>
        <w:t>趋势深化的背景、紧紧抓住数据越来越多数据流动越来越频繁的现状、力图解决传统多设备串糖葫芦部署模式重繁难贵</w:t>
      </w:r>
      <w:r>
        <w:rPr>
          <w:rFonts w:hint="eastAsia"/>
          <w:lang w:val="en-US" w:eastAsia="zh-CN"/>
        </w:rPr>
        <w:t>等</w:t>
      </w:r>
      <w:r>
        <w:t>弊端，创造性推出的全新形态、全新架构、全新理念的新产品方案。</w:t>
      </w:r>
    </w:p>
    <w:p w14:paraId="0E2C9D4E">
      <w:pPr>
        <w:pStyle w:val="11"/>
      </w:pPr>
      <w:r>
        <w:t>石犀科技作为数据流动治理平台的开创者、发明者、布道者，将持续快速发展产品功能特性，将继续塑造数据流动的领域范畴。在此过程中，石犀科技将最新的研究成果总结为本白皮书。</w:t>
      </w:r>
    </w:p>
    <w:p w14:paraId="4B549E2E">
      <w:pPr>
        <w:pStyle w:val="11"/>
      </w:pPr>
      <w:r>
        <w:t>本白皮书既是对当前石犀数据流动治理平台（以下简称石犀平台）功能特性的总结与归纳，同时也是石犀平台已经明确功能规划的记录与展望。</w:t>
      </w:r>
    </w:p>
    <w:p w14:paraId="21FD0BAA">
      <w:pPr>
        <w:pStyle w:val="11"/>
      </w:pPr>
      <w:r>
        <w:t>请知悉。</w:t>
      </w:r>
    </w:p>
    <w:p w14:paraId="49910A9A">
      <w:pPr>
        <w:spacing w:line="360" w:lineRule="auto"/>
        <w:rPr>
          <w:rFonts w:hint="eastAsia" w:ascii="宋体" w:hAnsi="宋体" w:eastAsia="宋体" w:cs="宋体"/>
          <w:lang w:val="en-US" w:eastAsia="zh-CN"/>
        </w:rPr>
      </w:pPr>
      <w:r>
        <w:rPr>
          <w:rFonts w:hint="eastAsia" w:ascii="宋体" w:hAnsi="宋体" w:eastAsia="宋体" w:cs="宋体"/>
          <w:lang w:val="en-US" w:eastAsia="zh-CN"/>
        </w:rPr>
        <w:br w:type="page"/>
      </w:r>
    </w:p>
    <w:p w14:paraId="5DF1A857">
      <w:pPr>
        <w:pStyle w:val="2"/>
        <w:pageBreakBefore w:val="0"/>
        <w:numPr>
          <w:ilvl w:val="0"/>
          <w:numId w:val="3"/>
        </w:numPr>
        <w:kinsoku/>
        <w:wordWrap/>
        <w:overflowPunct/>
        <w:topLinePunct w:val="0"/>
        <w:autoSpaceDE/>
        <w:autoSpaceDN/>
        <w:bidi w:val="0"/>
        <w:snapToGrid/>
        <w:spacing w:before="60" w:after="60" w:line="312" w:lineRule="auto"/>
        <w:textAlignment w:val="auto"/>
      </w:pPr>
      <w:bookmarkStart w:id="4" w:name="_Toc1415095711"/>
      <w:bookmarkStart w:id="5" w:name="_Toc1627413932"/>
      <w:r>
        <w:t>背景介绍</w:t>
      </w:r>
      <w:bookmarkEnd w:id="4"/>
      <w:bookmarkEnd w:id="5"/>
    </w:p>
    <w:p w14:paraId="1D7D3C5D">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pPr>
      <w:r>
        <w:t>数字化时代，数据已成为推动社会进步与经济发展的核心驱动力</w:t>
      </w:r>
      <w:r>
        <w:rPr>
          <w:rFonts w:hint="eastAsia"/>
          <w:lang w:val="en-US" w:eastAsia="zh-CN"/>
        </w:rPr>
        <w:t>之一</w:t>
      </w:r>
      <w:r>
        <w:t>。但随着数据量的爆发式增长和数据流动的日益频繁，安全问题愈发严峻，特别是高危风险事件防控难度大，给数据流动的安全</w:t>
      </w:r>
      <w:r>
        <w:rPr>
          <w:rFonts w:hint="eastAsia"/>
          <w:lang w:val="en-US" w:eastAsia="zh-CN"/>
        </w:rPr>
        <w:t>缺乏</w:t>
      </w:r>
      <w:r>
        <w:t>治理</w:t>
      </w:r>
      <w:r>
        <w:rPr>
          <w:rFonts w:hint="eastAsia"/>
          <w:lang w:val="en-US" w:eastAsia="zh-CN"/>
        </w:rPr>
        <w:t>给企业、政府、医院、学校等组织</w:t>
      </w:r>
      <w:r>
        <w:t>带来了前所未有的挑战。</w:t>
      </w:r>
    </w:p>
    <w:p w14:paraId="62CE7BED">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6" w:name="_Toc132224252"/>
      <w:bookmarkStart w:id="7" w:name="_Toc1594226932"/>
      <w:r>
        <w:t>高危风险事件层出不穷</w:t>
      </w:r>
      <w:bookmarkEnd w:id="6"/>
      <w:bookmarkEnd w:id="7"/>
    </w:p>
    <w:p w14:paraId="028C7882">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pPr>
      <w:r>
        <w:t>近年来，全球范围内数据泄露、数据滥用、网络攻击等风险事件频发，不仅严重威胁个人隐私和企业商业机密安全，还可能对国家安全造成重大影响。Verizon发布的《2024年度数据泄露调查报告》显示，1/3网络安全事件为数据泄露事件，其中高达93%由攻击行为引发。在各类攻击中，</w:t>
      </w:r>
      <w:r>
        <w:rPr>
          <w:b w:val="0"/>
          <w:i w:val="0"/>
          <w:strike w:val="0"/>
          <w:u w:val="none"/>
        </w:rPr>
        <w:t>网络钓鱼持续攀升，20%的用户遭遇过网络钓鱼</w:t>
      </w:r>
      <w:r>
        <w:t>，勒索攻击占比也达到了32%，特别是，利用漏洞发动的攻击增长率高达180%。同时，涉及第三方的违规行为占比15%，与去年相比增长68%，进一步说明数据安全环境愈发复杂。在企业</w:t>
      </w:r>
      <w:r>
        <w:rPr>
          <w:rFonts w:hint="eastAsia"/>
          <w:lang w:val="en-US" w:eastAsia="zh-CN"/>
        </w:rPr>
        <w:t>数字化</w:t>
      </w:r>
      <w:r>
        <w:t>转型的大背景下，核心数据的使用和暴露逐渐增多，在提升企业生产效能的同时，也带来了更多的安全隐患。因此，加强数据流动治理，构建完整、专业、智能的数据流动治理平台，以应对高危风险事件的挑战，已成为数字化转型的重中之重。</w:t>
      </w:r>
    </w:p>
    <w:p w14:paraId="23539F0D">
      <w:pPr>
        <w:pageBreakBefore w:val="0"/>
        <w:kinsoku/>
        <w:wordWrap/>
        <w:overflowPunct/>
        <w:topLinePunct w:val="0"/>
        <w:autoSpaceDE/>
        <w:autoSpaceDN/>
        <w:bidi w:val="0"/>
        <w:snapToGrid/>
        <w:spacing w:before="60" w:after="60" w:line="312" w:lineRule="auto"/>
        <w:jc w:val="center"/>
        <w:textAlignment w:val="auto"/>
      </w:pPr>
      <w:r>
        <w:drawing>
          <wp:inline distT="0" distB="0" distL="0" distR="0">
            <wp:extent cx="4191000" cy="2150745"/>
            <wp:effectExtent l="0" t="0" r="0" b="8255"/>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7"/>
                    <a:stretch>
                      <a:fillRect/>
                    </a:stretch>
                  </pic:blipFill>
                  <pic:spPr>
                    <a:xfrm>
                      <a:off x="0" y="0"/>
                      <a:ext cx="4191000" cy="2150745"/>
                    </a:xfrm>
                    <a:prstGeom prst="rect">
                      <a:avLst/>
                    </a:prstGeom>
                  </pic:spPr>
                </pic:pic>
              </a:graphicData>
            </a:graphic>
          </wp:inline>
        </w:drawing>
      </w:r>
    </w:p>
    <w:p w14:paraId="5D4D3E64">
      <w:pPr>
        <w:pStyle w:val="45"/>
        <w:pageBreakBefore w:val="0"/>
        <w:kinsoku/>
        <w:wordWrap/>
        <w:overflowPunct/>
        <w:topLinePunct w:val="0"/>
        <w:autoSpaceDE/>
        <w:autoSpaceDN/>
        <w:bidi w:val="0"/>
        <w:snapToGrid/>
        <w:spacing w:before="60" w:after="60" w:line="312" w:lineRule="auto"/>
        <w:textAlignment w:val="auto"/>
      </w:pPr>
      <w:r>
        <w:t>图1-1</w:t>
      </w:r>
      <w:r>
        <w:rPr>
          <w:rFonts w:hint="eastAsia"/>
          <w:lang w:val="en-US" w:eastAsia="zh-CN"/>
        </w:rPr>
        <w:t xml:space="preserve"> </w:t>
      </w:r>
      <w:r>
        <w:t>2024数据泄露趋势图</w:t>
      </w:r>
    </w:p>
    <w:p w14:paraId="639AB577">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8" w:name="_Toc1794912366"/>
      <w:bookmarkStart w:id="9" w:name="_Toc18582505"/>
      <w:r>
        <w:t>数据流动治理已成刚需</w:t>
      </w:r>
      <w:bookmarkEnd w:id="8"/>
      <w:bookmarkEnd w:id="9"/>
    </w:p>
    <w:p w14:paraId="69BBB29C">
      <w:pPr>
        <w:pStyle w:val="11"/>
        <w:pageBreakBefore w:val="0"/>
        <w:kinsoku/>
        <w:wordWrap/>
        <w:overflowPunct/>
        <w:topLinePunct w:val="0"/>
        <w:autoSpaceDE/>
        <w:autoSpaceDN/>
        <w:bidi w:val="0"/>
        <w:snapToGrid/>
        <w:spacing w:before="60" w:after="60" w:afterLines="0" w:line="312" w:lineRule="auto"/>
        <w:textAlignment w:val="auto"/>
      </w:pPr>
      <w:r>
        <w:t>在利益驱动下，数据的争夺日益激烈，导致数据泄露事件数量逐年攀升。犯罪团伙和黑灰产受实际利益驱使，大肆窃取组织数据，外部攻击呈现出高频、高危害的特性，且攻击手法日益复杂多变，专业化和定制化程度不断上升。数据泄露的规模持续扩大，给企业带来的威胁也在不断加剧。传统防护体系已难以有效抵御这类新型网络攻击，如何防护成为组织</w:t>
      </w:r>
      <w:r>
        <w:rPr>
          <w:rFonts w:hint="eastAsia"/>
          <w:lang w:eastAsia="zh-CN"/>
        </w:rPr>
        <w:t>亟须解决的</w:t>
      </w:r>
      <w:r>
        <w:t>难题：</w:t>
      </w:r>
    </w:p>
    <w:p w14:paraId="472BBC3C">
      <w:pPr>
        <w:pStyle w:val="11"/>
        <w:pageBreakBefore w:val="0"/>
        <w:kinsoku/>
        <w:wordWrap/>
        <w:overflowPunct/>
        <w:topLinePunct w:val="0"/>
        <w:autoSpaceDE/>
        <w:autoSpaceDN/>
        <w:bidi w:val="0"/>
        <w:snapToGrid/>
        <w:spacing w:before="60" w:after="60" w:afterLines="0" w:line="312" w:lineRule="auto"/>
        <w:textAlignment w:val="auto"/>
        <w:rPr>
          <w:color w:val="000000" w:themeColor="text1"/>
          <w14:textFill>
            <w14:solidFill>
              <w14:schemeClr w14:val="tx1"/>
            </w14:solidFill>
          </w14:textFill>
        </w:rPr>
      </w:pPr>
      <w:r>
        <w:rPr>
          <w:b/>
          <w:color w:val="000000" w:themeColor="text1"/>
          <w14:textFill>
            <w14:solidFill>
              <w14:schemeClr w14:val="tx1"/>
            </w14:solidFill>
          </w14:textFill>
        </w:rPr>
        <w:t>流动数据难保护</w:t>
      </w:r>
      <w:r>
        <w:rPr>
          <w:color w:val="000000" w:themeColor="text1"/>
          <w14:textFill>
            <w14:solidFill>
              <w14:schemeClr w14:val="tx1"/>
            </w14:solidFill>
          </w14:textFill>
        </w:rPr>
        <w:t>：随着数据的频繁调用，传统的数据防泄密已无法充分保护流动中的数据资产；</w:t>
      </w:r>
    </w:p>
    <w:p w14:paraId="6FF18ED9">
      <w:pPr>
        <w:pStyle w:val="11"/>
        <w:pageBreakBefore w:val="0"/>
        <w:kinsoku/>
        <w:wordWrap/>
        <w:overflowPunct/>
        <w:topLinePunct w:val="0"/>
        <w:autoSpaceDE/>
        <w:autoSpaceDN/>
        <w:bidi w:val="0"/>
        <w:snapToGrid/>
        <w:spacing w:before="60" w:after="60" w:afterLines="0" w:line="312" w:lineRule="auto"/>
        <w:textAlignment w:val="auto"/>
        <w:rPr>
          <w:color w:val="000000" w:themeColor="text1"/>
          <w14:textFill>
            <w14:solidFill>
              <w14:schemeClr w14:val="tx1"/>
            </w14:solidFill>
          </w14:textFill>
        </w:rPr>
      </w:pPr>
      <w:r>
        <w:rPr>
          <w:b/>
          <w:color w:val="000000" w:themeColor="text1"/>
          <w14:textFill>
            <w14:solidFill>
              <w14:schemeClr w14:val="tx1"/>
            </w14:solidFill>
          </w14:textFill>
        </w:rPr>
        <w:t>分级分类难落地</w:t>
      </w:r>
      <w:r>
        <w:rPr>
          <w:color w:val="000000" w:themeColor="text1"/>
          <w14:textFill>
            <w14:solidFill>
              <w14:schemeClr w14:val="tx1"/>
            </w14:solidFill>
          </w14:textFill>
        </w:rPr>
        <w:t>：分类分级成为数据安全的基础，但如何快速有效实施动态数据的分级分类仍是当前面临的难题；</w:t>
      </w:r>
    </w:p>
    <w:p w14:paraId="56B82B50">
      <w:pPr>
        <w:pStyle w:val="11"/>
        <w:pageBreakBefore w:val="0"/>
        <w:kinsoku/>
        <w:wordWrap/>
        <w:overflowPunct/>
        <w:topLinePunct w:val="0"/>
        <w:autoSpaceDE/>
        <w:autoSpaceDN/>
        <w:bidi w:val="0"/>
        <w:snapToGrid/>
        <w:spacing w:before="60" w:after="60" w:afterLines="0" w:line="312" w:lineRule="auto"/>
        <w:textAlignment w:val="auto"/>
        <w:rPr>
          <w:color w:val="000000" w:themeColor="text1"/>
          <w14:textFill>
            <w14:solidFill>
              <w14:schemeClr w14:val="tx1"/>
            </w14:solidFill>
          </w14:textFill>
        </w:rPr>
      </w:pPr>
      <w:r>
        <w:rPr>
          <w:b/>
          <w:color w:val="000000" w:themeColor="text1"/>
          <w14:textFill>
            <w14:solidFill>
              <w14:schemeClr w14:val="tx1"/>
            </w14:solidFill>
          </w14:textFill>
        </w:rPr>
        <w:t>资产全貌难梳理</w:t>
      </w:r>
      <w:r>
        <w:rPr>
          <w:color w:val="000000" w:themeColor="text1"/>
          <w14:textFill>
            <w14:solidFill>
              <w14:schemeClr w14:val="tx1"/>
            </w14:solidFill>
          </w14:textFill>
        </w:rPr>
        <w:t>：敏感数据广泛分布于不同的资产类别和管理体系下，使得企业难以全面梳理其IT资产和全景；</w:t>
      </w:r>
    </w:p>
    <w:p w14:paraId="23E3E374">
      <w:pPr>
        <w:pStyle w:val="11"/>
        <w:pageBreakBefore w:val="0"/>
        <w:kinsoku/>
        <w:wordWrap/>
        <w:overflowPunct/>
        <w:topLinePunct w:val="0"/>
        <w:autoSpaceDE/>
        <w:autoSpaceDN/>
        <w:bidi w:val="0"/>
        <w:snapToGrid/>
        <w:spacing w:before="60" w:after="60" w:afterLines="0" w:line="312" w:lineRule="auto"/>
        <w:textAlignment w:val="auto"/>
      </w:pPr>
      <w:r>
        <w:rPr>
          <w:b/>
          <w:color w:val="000000" w:themeColor="text1"/>
          <w14:textFill>
            <w14:solidFill>
              <w14:schemeClr w14:val="tx1"/>
            </w14:solidFill>
          </w14:textFill>
        </w:rPr>
        <w:t>用户行为难管理</w:t>
      </w:r>
      <w:r>
        <w:rPr>
          <w:color w:val="000000" w:themeColor="text1"/>
          <w14:textFill>
            <w14:solidFill>
              <w14:schemeClr w14:val="tx1"/>
            </w14:solidFill>
          </w14:textFill>
        </w:rPr>
        <w:t>：数据安全</w:t>
      </w:r>
      <w:r>
        <w:rPr>
          <w:color w:val="000000"/>
        </w:rPr>
        <w:t>不可忽略人的因素，如何做好用户行为的分析和治理是数据</w:t>
      </w:r>
      <w:r>
        <w:rPr>
          <w:rFonts w:hint="eastAsia"/>
          <w:color w:val="000000"/>
          <w:lang w:val="en-US" w:eastAsia="zh-CN"/>
        </w:rPr>
        <w:t>流动</w:t>
      </w:r>
      <w:r>
        <w:rPr>
          <w:color w:val="000000"/>
        </w:rPr>
        <w:t>治理的难点和关键</w:t>
      </w:r>
      <w:r>
        <w:t>。</w:t>
      </w:r>
    </w:p>
    <w:p w14:paraId="65E1B156">
      <w:pPr>
        <w:pStyle w:val="11"/>
        <w:pageBreakBefore w:val="0"/>
        <w:kinsoku/>
        <w:wordWrap/>
        <w:overflowPunct/>
        <w:topLinePunct w:val="0"/>
        <w:autoSpaceDE/>
        <w:autoSpaceDN/>
        <w:bidi w:val="0"/>
        <w:snapToGrid/>
        <w:spacing w:before="60" w:after="60" w:afterLines="0" w:line="312" w:lineRule="auto"/>
        <w:textAlignment w:val="auto"/>
        <w:rPr>
          <w:color w:val="000000"/>
        </w:rPr>
      </w:pPr>
      <w:r>
        <w:rPr>
          <w:color w:val="000000"/>
        </w:rPr>
        <w:t>因此，数据安全策略的制定需要综合考虑人、应用、数据、流动路径、途经站点等综合因素，既要求对静态资产的治理，更需要对流动过程进行全面分析和治理。然而，传统的安全产品和方案仅能解决碎片化的场景问题，</w:t>
      </w:r>
      <w:r>
        <w:rPr>
          <w:rFonts w:hint="eastAsia"/>
          <w:color w:val="000000"/>
          <w:lang w:eastAsia="zh-CN"/>
        </w:rPr>
        <w:t>企业亟须</w:t>
      </w:r>
      <w:r>
        <w:rPr>
          <w:color w:val="000000"/>
        </w:rPr>
        <w:t>一套更完整更贴合实际需求更易扩展的数据流动治理解决方案。因此，石犀科技推出了石犀数据流动治理平台。</w:t>
      </w:r>
    </w:p>
    <w:p w14:paraId="6861F6BA">
      <w:pPr>
        <w:pageBreakBefore w:val="0"/>
        <w:kinsoku/>
        <w:wordWrap/>
        <w:overflowPunct/>
        <w:topLinePunct w:val="0"/>
        <w:autoSpaceDE/>
        <w:autoSpaceDN/>
        <w:bidi w:val="0"/>
        <w:snapToGrid/>
        <w:spacing w:before="60" w:after="60" w:line="312" w:lineRule="auto"/>
        <w:textAlignment w:val="auto"/>
      </w:pPr>
      <w:r>
        <w:br w:type="page"/>
      </w:r>
    </w:p>
    <w:p w14:paraId="006D3A2F">
      <w:pPr>
        <w:pStyle w:val="2"/>
        <w:pageBreakBefore w:val="0"/>
        <w:numPr>
          <w:ilvl w:val="0"/>
          <w:numId w:val="3"/>
        </w:numPr>
        <w:kinsoku/>
        <w:wordWrap/>
        <w:overflowPunct/>
        <w:topLinePunct w:val="0"/>
        <w:autoSpaceDE/>
        <w:autoSpaceDN/>
        <w:bidi w:val="0"/>
        <w:snapToGrid/>
        <w:spacing w:before="60" w:after="60" w:line="312" w:lineRule="auto"/>
        <w:textAlignment w:val="auto"/>
      </w:pPr>
      <w:bookmarkStart w:id="10" w:name="_Toc1389345953"/>
      <w:bookmarkStart w:id="11" w:name="_Toc931032720"/>
      <w:r>
        <w:t>产品概述</w:t>
      </w:r>
      <w:bookmarkEnd w:id="10"/>
      <w:bookmarkEnd w:id="11"/>
    </w:p>
    <w:p w14:paraId="2222485B">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12" w:name="_Toc1147738240"/>
      <w:bookmarkStart w:id="13" w:name="_Toc1301072998"/>
      <w:r>
        <w:t>产品简介</w:t>
      </w:r>
      <w:bookmarkEnd w:id="12"/>
      <w:bookmarkEnd w:id="13"/>
    </w:p>
    <w:p w14:paraId="059C8CDD">
      <w:pPr>
        <w:pStyle w:val="11"/>
        <w:spacing w:before="60" w:after="60" w:afterLines="0" w:line="312" w:lineRule="auto"/>
      </w:pPr>
      <w:r>
        <w:t>石犀数据流动治理平台（SR-DFGP，</w:t>
      </w:r>
      <w:r>
        <w:rPr>
          <w:color w:val="000000"/>
        </w:rPr>
        <w:t>以下简称“石犀平台”</w:t>
      </w:r>
      <w:r>
        <w:t>）是石犀科技有限公司自主研发的一款面向业务</w:t>
      </w:r>
      <w:r>
        <w:rPr>
          <w:rFonts w:hint="eastAsia"/>
          <w:lang w:val="en-US" w:eastAsia="zh-CN"/>
        </w:rPr>
        <w:t>应用系统</w:t>
      </w:r>
      <w:r>
        <w:t>和数据流动的综合性治理平台。由总控、引擎和插件三部分组成：</w:t>
      </w:r>
    </w:p>
    <w:p w14:paraId="43326C53">
      <w:pPr>
        <w:pStyle w:val="11"/>
        <w:pageBreakBefore w:val="0"/>
        <w:kinsoku/>
        <w:wordWrap/>
        <w:overflowPunct/>
        <w:topLinePunct w:val="0"/>
        <w:autoSpaceDE/>
        <w:autoSpaceDN/>
        <w:bidi w:val="0"/>
        <w:snapToGrid/>
        <w:spacing w:before="60" w:after="60" w:afterLines="0" w:line="312" w:lineRule="auto"/>
        <w:textAlignment w:val="auto"/>
        <w:rPr>
          <w:color w:val="000000" w:themeColor="text1"/>
          <w14:textFill>
            <w14:solidFill>
              <w14:schemeClr w14:val="tx1"/>
            </w14:solidFill>
          </w14:textFill>
        </w:rPr>
      </w:pPr>
      <w:r>
        <w:rPr>
          <w:b/>
          <w:color w:val="000000" w:themeColor="text1"/>
          <w14:textFill>
            <w14:solidFill>
              <w14:schemeClr w14:val="tx1"/>
            </w14:solidFill>
          </w14:textFill>
        </w:rPr>
        <w:t>总控</w:t>
      </w:r>
      <w:r>
        <w:rPr>
          <w:color w:val="000000" w:themeColor="text1"/>
          <w14:textFill>
            <w14:solidFill>
              <w14:schemeClr w14:val="tx1"/>
            </w14:solidFill>
          </w14:textFill>
        </w:rPr>
        <w:t>：统一控制中心，全局管控、配置和管理引擎的各种策略、汇总和分析业务运行等数据，实现面向客户业务的数据</w:t>
      </w:r>
      <w:r>
        <w:rPr>
          <w:rFonts w:hint="eastAsia"/>
          <w:color w:val="000000" w:themeColor="text1"/>
          <w:lang w:val="en-US" w:eastAsia="zh-CN"/>
          <w14:textFill>
            <w14:solidFill>
              <w14:schemeClr w14:val="tx1"/>
            </w14:solidFill>
          </w14:textFill>
        </w:rPr>
        <w:t>流动</w:t>
      </w:r>
      <w:r>
        <w:rPr>
          <w:color w:val="000000" w:themeColor="text1"/>
          <w14:textFill>
            <w14:solidFill>
              <w14:schemeClr w14:val="tx1"/>
            </w14:solidFill>
          </w14:textFill>
        </w:rPr>
        <w:t>治理和安全防护。</w:t>
      </w:r>
    </w:p>
    <w:p w14:paraId="01F6B785">
      <w:pPr>
        <w:pStyle w:val="11"/>
        <w:pageBreakBefore w:val="0"/>
        <w:kinsoku/>
        <w:wordWrap/>
        <w:overflowPunct/>
        <w:topLinePunct w:val="0"/>
        <w:autoSpaceDE/>
        <w:autoSpaceDN/>
        <w:bidi w:val="0"/>
        <w:snapToGrid/>
        <w:spacing w:before="60" w:after="60" w:afterLines="0" w:line="312" w:lineRule="auto"/>
        <w:textAlignment w:val="auto"/>
        <w:rPr>
          <w:color w:val="000000" w:themeColor="text1"/>
          <w14:textFill>
            <w14:solidFill>
              <w14:schemeClr w14:val="tx1"/>
            </w14:solidFill>
          </w14:textFill>
        </w:rPr>
      </w:pPr>
      <w:r>
        <w:rPr>
          <w:b/>
          <w:color w:val="000000" w:themeColor="text1"/>
          <w14:textFill>
            <w14:solidFill>
              <w14:schemeClr w14:val="tx1"/>
            </w14:solidFill>
          </w14:textFill>
        </w:rPr>
        <w:t>引擎</w:t>
      </w:r>
      <w:r>
        <w:rPr>
          <w:color w:val="000000" w:themeColor="text1"/>
          <w14:textFill>
            <w14:solidFill>
              <w14:schemeClr w14:val="tx1"/>
            </w14:solidFill>
          </w14:textFill>
        </w:rPr>
        <w:t>：流量采集和处理中心，支持HTTP、HTTPS等多种主流通信协议，通过流量引擎、</w:t>
      </w:r>
      <w:r>
        <w:rPr>
          <w:color w:val="000000" w:themeColor="text1"/>
          <w14:textFill>
            <w14:solidFill>
              <w14:schemeClr w14:val="tx1"/>
            </w14:solidFill>
          </w14:textFill>
        </w:rPr>
        <w:t>镜像引擎</w:t>
      </w:r>
      <w:r>
        <w:rPr>
          <w:color w:val="000000" w:themeColor="text1"/>
          <w14:textFill>
            <w14:solidFill>
              <w14:schemeClr w14:val="tx1"/>
            </w14:solidFill>
          </w14:textFill>
        </w:rPr>
        <w:t>的独立或协同工作，灵活满足不同场景下的数据流动采集、分析和管理需求。</w:t>
      </w:r>
    </w:p>
    <w:p w14:paraId="51994F71">
      <w:pPr>
        <w:pStyle w:val="11"/>
        <w:pageBreakBefore w:val="0"/>
        <w:kinsoku/>
        <w:wordWrap/>
        <w:overflowPunct/>
        <w:topLinePunct w:val="0"/>
        <w:autoSpaceDE/>
        <w:autoSpaceDN/>
        <w:bidi w:val="0"/>
        <w:snapToGrid/>
        <w:spacing w:before="60" w:after="60" w:afterLines="0" w:line="312" w:lineRule="auto"/>
        <w:textAlignment w:val="auto"/>
      </w:pPr>
      <w:r>
        <w:rPr>
          <w:b/>
          <w:color w:val="000000" w:themeColor="text1"/>
          <w14:textFill>
            <w14:solidFill>
              <w14:schemeClr w14:val="tx1"/>
            </w14:solidFill>
          </w14:textFill>
        </w:rPr>
        <w:t>插件</w:t>
      </w:r>
      <w:r>
        <w:rPr>
          <w:color w:val="000000" w:themeColor="text1"/>
          <w14:textFill>
            <w14:solidFill>
              <w14:schemeClr w14:val="tx1"/>
            </w14:solidFill>
          </w14:textFill>
        </w:rPr>
        <w:t>：安全能力</w:t>
      </w:r>
      <w:r>
        <w:t>组件，涵盖网络运维、身份认证、数据安全、应用安全以及业务安全等多方面的能力。</w:t>
      </w:r>
    </w:p>
    <w:p w14:paraId="1564DDAE">
      <w:pPr>
        <w:pStyle w:val="11"/>
        <w:pageBreakBefore w:val="0"/>
        <w:kinsoku/>
        <w:wordWrap/>
        <w:overflowPunct/>
        <w:topLinePunct w:val="0"/>
        <w:autoSpaceDE/>
        <w:autoSpaceDN/>
        <w:bidi w:val="0"/>
        <w:snapToGrid/>
        <w:spacing w:before="60" w:after="60" w:afterLines="0" w:line="312" w:lineRule="auto"/>
        <w:textAlignment w:val="auto"/>
      </w:pPr>
      <w:r>
        <w:t>石犀平台实现了数据资产、用户、流动过程、途经站点等全方位、全链条安全防护，最终保障业务稳定、资产安全，同时还能实现业务提效，确保企业数据和流动过程安全、合规、高效。</w:t>
      </w:r>
    </w:p>
    <w:p w14:paraId="286C548C">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14" w:name="_Toc1338482326"/>
      <w:bookmarkStart w:id="15" w:name="_Toc1455383632"/>
      <w:r>
        <w:t>产品架构</w:t>
      </w:r>
      <w:bookmarkEnd w:id="14"/>
      <w:bookmarkEnd w:id="15"/>
    </w:p>
    <w:p w14:paraId="4EF62041">
      <w:pPr>
        <w:pageBreakBefore w:val="0"/>
        <w:kinsoku/>
        <w:wordWrap/>
        <w:overflowPunct/>
        <w:topLinePunct w:val="0"/>
        <w:autoSpaceDE/>
        <w:autoSpaceDN/>
        <w:bidi w:val="0"/>
        <w:snapToGrid/>
        <w:spacing w:before="60" w:after="60" w:line="312" w:lineRule="auto"/>
        <w:ind w:left="336"/>
        <w:textAlignment w:val="auto"/>
      </w:pPr>
      <w:r>
        <w:drawing>
          <wp:inline distT="0" distB="0" distL="0" distR="0">
            <wp:extent cx="5274310" cy="3579495"/>
            <wp:effectExtent l="0" t="0" r="8890" b="1905"/>
            <wp:docPr id="1" name="picture" descr="descript"/>
            <wp:cNvGraphicFramePr/>
            <a:graphic xmlns:a="http://schemas.openxmlformats.org/drawingml/2006/main">
              <a:graphicData uri="http://schemas.openxmlformats.org/drawingml/2006/picture">
                <pic:pic xmlns:pic="http://schemas.openxmlformats.org/drawingml/2006/picture">
                  <pic:nvPicPr>
                    <pic:cNvPr id="1" name="picture" descr="descript"/>
                    <pic:cNvPicPr/>
                  </pic:nvPicPr>
                  <pic:blipFill>
                    <a:blip r:embed="rId8"/>
                    <a:stretch>
                      <a:fillRect/>
                    </a:stretch>
                  </pic:blipFill>
                  <pic:spPr>
                    <a:xfrm>
                      <a:off x="0" y="0"/>
                      <a:ext cx="5274310" cy="3579495"/>
                    </a:xfrm>
                    <a:prstGeom prst="rect">
                      <a:avLst/>
                    </a:prstGeom>
                  </pic:spPr>
                </pic:pic>
              </a:graphicData>
            </a:graphic>
          </wp:inline>
        </w:drawing>
      </w:r>
    </w:p>
    <w:p w14:paraId="6CC75B1F">
      <w:pPr>
        <w:pStyle w:val="45"/>
        <w:pageBreakBefore w:val="0"/>
        <w:kinsoku/>
        <w:wordWrap/>
        <w:overflowPunct/>
        <w:topLinePunct w:val="0"/>
        <w:autoSpaceDE/>
        <w:autoSpaceDN/>
        <w:bidi w:val="0"/>
        <w:snapToGrid/>
        <w:spacing w:before="60" w:after="60" w:line="312" w:lineRule="auto"/>
        <w:textAlignment w:val="auto"/>
      </w:pPr>
      <w:r>
        <w:t>图2-1产品架构图</w:t>
      </w:r>
    </w:p>
    <w:p w14:paraId="43750FEB">
      <w:pPr>
        <w:pageBreakBefore w:val="0"/>
        <w:pBdr>
          <w:bottom w:val="none" w:color="auto" w:sz="0" w:space="0"/>
        </w:pBdr>
        <w:kinsoku/>
        <w:wordWrap/>
        <w:overflowPunct/>
        <w:topLinePunct w:val="0"/>
        <w:autoSpaceDE/>
        <w:autoSpaceDN/>
        <w:bidi w:val="0"/>
        <w:snapToGrid/>
        <w:spacing w:before="60" w:after="60" w:line="312" w:lineRule="auto"/>
        <w:textAlignment w:val="auto"/>
        <w:rPr>
          <w:sz w:val="24"/>
          <w:szCs w:val="32"/>
        </w:rPr>
      </w:pPr>
      <w:r>
        <w:rPr>
          <w:sz w:val="24"/>
          <w:szCs w:val="32"/>
        </w:rPr>
        <w:tab/>
      </w:r>
      <w:r>
        <w:rPr>
          <w:sz w:val="24"/>
          <w:szCs w:val="32"/>
        </w:rPr>
        <w:t>石犀平台产品架构主要分为四层：基础支撑层、安全组件层、管控层、用户场景层。采用“平台+</w:t>
      </w:r>
      <w:r>
        <w:rPr>
          <w:rFonts w:hint="eastAsia"/>
          <w:sz w:val="24"/>
          <w:szCs w:val="32"/>
          <w:lang w:val="en-US" w:eastAsia="zh-CN"/>
        </w:rPr>
        <w:t>插件</w:t>
      </w:r>
      <w:r>
        <w:rPr>
          <w:sz w:val="24"/>
          <w:szCs w:val="32"/>
        </w:rPr>
        <w:t>”的设计模式，可根据</w:t>
      </w:r>
      <w:r>
        <w:rPr>
          <w:rFonts w:hint="eastAsia"/>
          <w:sz w:val="24"/>
          <w:szCs w:val="32"/>
          <w:lang w:val="en-US" w:eastAsia="zh-CN"/>
        </w:rPr>
        <w:t>需求</w:t>
      </w:r>
      <w:r>
        <w:rPr>
          <w:sz w:val="24"/>
          <w:szCs w:val="32"/>
        </w:rPr>
        <w:t>场景对</w:t>
      </w:r>
      <w:r>
        <w:rPr>
          <w:rFonts w:hint="eastAsia"/>
          <w:sz w:val="24"/>
          <w:szCs w:val="32"/>
          <w:lang w:val="en-US" w:eastAsia="zh-CN"/>
        </w:rPr>
        <w:t>插件和</w:t>
      </w:r>
      <w:r>
        <w:rPr>
          <w:sz w:val="24"/>
          <w:szCs w:val="32"/>
        </w:rPr>
        <w:t>能力组件进行灵活编排</w:t>
      </w:r>
      <w:r>
        <w:rPr>
          <w:rFonts w:hint="eastAsia"/>
          <w:sz w:val="24"/>
          <w:szCs w:val="32"/>
          <w:lang w:val="en-US" w:eastAsia="zh-CN"/>
        </w:rPr>
        <w:t>与</w:t>
      </w:r>
      <w:r>
        <w:rPr>
          <w:sz w:val="24"/>
          <w:szCs w:val="32"/>
        </w:rPr>
        <w:t>组装，满足</w:t>
      </w:r>
      <w:r>
        <w:rPr>
          <w:rFonts w:hint="eastAsia"/>
          <w:sz w:val="24"/>
          <w:szCs w:val="32"/>
          <w:lang w:val="en-US" w:eastAsia="zh-CN"/>
        </w:rPr>
        <w:t>多</w:t>
      </w:r>
      <w:r>
        <w:rPr>
          <w:sz w:val="24"/>
          <w:szCs w:val="32"/>
        </w:rPr>
        <w:t>种应用场景。此外，石犀平台为用户提供上帝视角洞察数据流动全景，提供一站式运维工作平台，实现“采集</w:t>
      </w:r>
      <w:r>
        <w:rPr>
          <w:rFonts w:hint="eastAsia"/>
          <w:sz w:val="24"/>
          <w:szCs w:val="32"/>
          <w:lang w:eastAsia="zh-CN"/>
        </w:rPr>
        <w:t>－</w:t>
      </w:r>
      <w:r>
        <w:rPr>
          <w:sz w:val="24"/>
          <w:szCs w:val="32"/>
        </w:rPr>
        <w:t>识别</w:t>
      </w:r>
      <w:r>
        <w:rPr>
          <w:rFonts w:hint="eastAsia"/>
          <w:sz w:val="24"/>
          <w:szCs w:val="32"/>
          <w:lang w:eastAsia="zh-CN"/>
        </w:rPr>
        <w:t>－</w:t>
      </w:r>
      <w:r>
        <w:rPr>
          <w:sz w:val="24"/>
          <w:szCs w:val="32"/>
        </w:rPr>
        <w:t>分析</w:t>
      </w:r>
      <w:r>
        <w:rPr>
          <w:rFonts w:hint="eastAsia"/>
          <w:sz w:val="24"/>
          <w:szCs w:val="32"/>
          <w:lang w:eastAsia="zh-CN"/>
        </w:rPr>
        <w:t>－</w:t>
      </w:r>
      <w:r>
        <w:rPr>
          <w:sz w:val="24"/>
          <w:szCs w:val="32"/>
        </w:rPr>
        <w:t>治理”完整安全闭环管控。</w:t>
      </w:r>
    </w:p>
    <w:p w14:paraId="5037D9FE">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16" w:name="_Toc981250757"/>
      <w:bookmarkStart w:id="17" w:name="_Toc793963694"/>
      <w:r>
        <w:t>部署方式</w:t>
      </w:r>
      <w:bookmarkEnd w:id="16"/>
      <w:bookmarkEnd w:id="17"/>
    </w:p>
    <w:p w14:paraId="271BD385">
      <w:pPr>
        <w:pStyle w:val="11"/>
        <w:pageBreakBefore w:val="0"/>
        <w:kinsoku/>
        <w:wordWrap/>
        <w:overflowPunct/>
        <w:topLinePunct w:val="0"/>
        <w:autoSpaceDE/>
        <w:autoSpaceDN/>
        <w:bidi w:val="0"/>
        <w:snapToGrid/>
        <w:spacing w:before="60" w:after="60" w:afterLines="0" w:line="312" w:lineRule="auto"/>
        <w:textAlignment w:val="auto"/>
      </w:pPr>
      <w:r>
        <w:t>石犀总控作为</w:t>
      </w:r>
      <w:r>
        <w:rPr>
          <w:color w:val="000000"/>
        </w:rPr>
        <w:t>石犀平台的控制中心，需要</w:t>
      </w:r>
      <w:r>
        <w:t>独立部署在服务器上，而引擎作为流量采集和控制节点，需要基于实际需求选择部署方式，流量引擎和镜像引擎的产品功能和使用场景不同，可以同时部署也可以按需部署。</w:t>
      </w:r>
    </w:p>
    <w:p w14:paraId="613BE65F">
      <w:pPr>
        <w:pStyle w:val="11"/>
        <w:pageBreakBefore w:val="0"/>
        <w:kinsoku/>
        <w:wordWrap/>
        <w:overflowPunct/>
        <w:topLinePunct w:val="0"/>
        <w:autoSpaceDE/>
        <w:autoSpaceDN/>
        <w:bidi w:val="0"/>
        <w:snapToGrid/>
        <w:spacing w:before="60" w:after="60" w:afterLines="0" w:line="312" w:lineRule="auto"/>
        <w:textAlignment w:val="auto"/>
      </w:pPr>
      <w:r>
        <w:t>不同引擎的部署模式如下：</w:t>
      </w:r>
    </w:p>
    <w:p w14:paraId="03E46CB4">
      <w:pPr>
        <w:bidi w:val="0"/>
        <w:ind w:firstLine="420" w:firstLineChars="0"/>
        <w:rPr>
          <w:b/>
          <w:bCs/>
          <w:sz w:val="24"/>
          <w:szCs w:val="32"/>
        </w:rPr>
      </w:pPr>
      <w:bookmarkStart w:id="18" w:name="_Toc1831906247"/>
      <w:r>
        <w:rPr>
          <w:b/>
          <w:bCs/>
          <w:sz w:val="24"/>
          <w:szCs w:val="32"/>
        </w:rPr>
        <w:t>流量引擎（代理模式/透明模式）</w:t>
      </w:r>
      <w:bookmarkEnd w:id="18"/>
    </w:p>
    <w:p w14:paraId="2DC78C10">
      <w:pPr>
        <w:keepNext w:val="0"/>
        <w:keepLines w:val="0"/>
        <w:pageBreakBefore w:val="0"/>
        <w:widowControl/>
        <w:suppressLineNumbers w:val="0"/>
        <w:kinsoku/>
        <w:wordWrap/>
        <w:overflowPunct/>
        <w:topLinePunct w:val="0"/>
        <w:autoSpaceDE/>
        <w:autoSpaceDN/>
        <w:bidi w:val="0"/>
        <w:snapToGrid/>
        <w:spacing w:before="60" w:beforeAutospacing="0" w:after="60" w:afterAutospacing="0" w:line="312" w:lineRule="auto"/>
        <w:ind w:left="0" w:right="0" w:firstLineChars="0"/>
        <w:contextualSpacing/>
        <w:jc w:val="center"/>
        <w:textAlignment w:val="auto"/>
        <w:rPr>
          <w:rFonts w:hint="eastAsia"/>
          <w:color w:val="000000" w:themeColor="text1"/>
          <w:kern w:val="0"/>
          <w:sz w:val="22"/>
          <w:szCs w:val="24"/>
          <w:lang w:val="en-US" w:eastAsia="zh-CN" w:bidi="ar"/>
          <w14:textFill>
            <w14:solidFill>
              <w14:schemeClr w14:val="tx1"/>
            </w14:solidFill>
          </w14:textFill>
        </w:rPr>
      </w:pPr>
      <w:r>
        <w:rPr>
          <w:rFonts w:hint="eastAsia"/>
          <w:color w:val="000000" w:themeColor="text1"/>
          <w:kern w:val="0"/>
          <w:sz w:val="22"/>
          <w:szCs w:val="24"/>
          <w:lang w:val="en-US" w:eastAsia="zh-CN" w:bidi="ar"/>
          <w14:textFill>
            <w14:solidFill>
              <w14:schemeClr w14:val="tx1"/>
            </w14:solidFill>
          </w14:textFill>
        </w:rPr>
        <w:drawing>
          <wp:inline distT="0" distB="0" distL="0" distR="0">
            <wp:extent cx="5274310" cy="1770380"/>
            <wp:effectExtent l="0" t="0" r="8890" b="7620"/>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9"/>
                    <a:srcRect/>
                    <a:stretch>
                      <a:fillRect/>
                    </a:stretch>
                  </pic:blipFill>
                  <pic:spPr>
                    <a:xfrm>
                      <a:off x="0" y="0"/>
                      <a:ext cx="5274310" cy="1770380"/>
                    </a:xfrm>
                    <a:prstGeom prst="rect">
                      <a:avLst/>
                    </a:prstGeom>
                  </pic:spPr>
                </pic:pic>
              </a:graphicData>
            </a:graphic>
          </wp:inline>
        </w:drawing>
      </w:r>
    </w:p>
    <w:p w14:paraId="65DE16E1">
      <w:pPr>
        <w:pStyle w:val="45"/>
        <w:pageBreakBefore w:val="0"/>
        <w:widowControl/>
        <w:kinsoku/>
        <w:wordWrap/>
        <w:overflowPunct/>
        <w:topLinePunct w:val="0"/>
        <w:autoSpaceDE/>
        <w:autoSpaceDN/>
        <w:bidi w:val="0"/>
        <w:snapToGrid/>
        <w:spacing w:before="60" w:after="60" w:line="312" w:lineRule="auto"/>
        <w:textAlignment w:val="auto"/>
        <w:rPr>
          <w:color w:val="000000" w:themeColor="text1"/>
          <w14:textFill>
            <w14:solidFill>
              <w14:schemeClr w14:val="tx1"/>
            </w14:solidFill>
          </w14:textFill>
        </w:rPr>
      </w:pPr>
      <w:r>
        <w:rPr>
          <w:color w:val="000000" w:themeColor="text1"/>
          <w14:textFill>
            <w14:solidFill>
              <w14:schemeClr w14:val="tx1"/>
            </w14:solidFill>
          </w14:textFill>
        </w:rPr>
        <w:t>图2-2流量引擎部署方式</w:t>
      </w:r>
    </w:p>
    <w:p w14:paraId="07263880">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b/>
          <w:color w:val="000000" w:themeColor="text1"/>
          <w14:textFill>
            <w14:solidFill>
              <w14:schemeClr w14:val="tx1"/>
            </w14:solidFill>
          </w14:textFill>
        </w:rPr>
      </w:pPr>
      <w:r>
        <w:rPr>
          <w:b/>
          <w:color w:val="000000" w:themeColor="text1"/>
          <w14:textFill>
            <w14:solidFill>
              <w14:schemeClr w14:val="tx1"/>
            </w14:solidFill>
          </w14:textFill>
        </w:rPr>
        <w:t>镜像引擎（旁路模式）</w:t>
      </w:r>
    </w:p>
    <w:p w14:paraId="7141177F">
      <w:pPr>
        <w:keepNext w:val="0"/>
        <w:keepLines w:val="0"/>
        <w:pageBreakBefore w:val="0"/>
        <w:widowControl/>
        <w:suppressLineNumbers w:val="0"/>
        <w:pBdr>
          <w:bottom w:val="none" w:color="auto" w:sz="0" w:space="0"/>
        </w:pBdr>
        <w:kinsoku/>
        <w:wordWrap/>
        <w:overflowPunct/>
        <w:topLinePunct w:val="0"/>
        <w:autoSpaceDE/>
        <w:autoSpaceDN/>
        <w:bidi w:val="0"/>
        <w:snapToGrid/>
        <w:spacing w:before="60" w:beforeAutospacing="0" w:after="60" w:afterAutospacing="0" w:line="312" w:lineRule="auto"/>
        <w:ind w:left="0" w:right="0" w:firstLineChars="0"/>
        <w:contextualSpacing/>
        <w:jc w:val="center"/>
        <w:textAlignment w:val="auto"/>
        <w:rPr>
          <w:rFonts w:hint="eastAsia"/>
          <w:color w:val="000000"/>
          <w:kern w:val="0"/>
          <w:sz w:val="22"/>
          <w:szCs w:val="24"/>
          <w:lang w:val="en-US" w:eastAsia="zh-CN" w:bidi="ar"/>
        </w:rPr>
      </w:pPr>
      <w:r>
        <w:rPr>
          <w:rFonts w:hint="eastAsia"/>
          <w:color w:val="000000"/>
          <w:kern w:val="0"/>
          <w:sz w:val="22"/>
          <w:szCs w:val="24"/>
          <w:lang w:val="en-US" w:eastAsia="zh-CN" w:bidi="ar"/>
        </w:rPr>
        <w:drawing>
          <wp:inline distT="0" distB="0" distL="0" distR="0">
            <wp:extent cx="5274310" cy="1985010"/>
            <wp:effectExtent l="0" t="0" r="8890" b="21590"/>
            <wp:docPr id="14" name="picture" descr="descript"/>
            <wp:cNvGraphicFramePr/>
            <a:graphic xmlns:a="http://schemas.openxmlformats.org/drawingml/2006/main">
              <a:graphicData uri="http://schemas.openxmlformats.org/drawingml/2006/picture">
                <pic:pic xmlns:pic="http://schemas.openxmlformats.org/drawingml/2006/picture">
                  <pic:nvPicPr>
                    <pic:cNvPr id="14" name="picture" descr="descript"/>
                    <pic:cNvPicPr/>
                  </pic:nvPicPr>
                  <pic:blipFill>
                    <a:blip r:embed="rId10"/>
                    <a:srcRect/>
                    <a:stretch>
                      <a:fillRect/>
                    </a:stretch>
                  </pic:blipFill>
                  <pic:spPr>
                    <a:xfrm>
                      <a:off x="0" y="0"/>
                      <a:ext cx="5274310" cy="1985010"/>
                    </a:xfrm>
                    <a:prstGeom prst="rect">
                      <a:avLst/>
                    </a:prstGeom>
                  </pic:spPr>
                </pic:pic>
              </a:graphicData>
            </a:graphic>
          </wp:inline>
        </w:drawing>
      </w:r>
    </w:p>
    <w:p w14:paraId="348DBEF9">
      <w:pPr>
        <w:pStyle w:val="45"/>
        <w:pageBreakBefore w:val="0"/>
        <w:widowControl/>
        <w:kinsoku/>
        <w:wordWrap/>
        <w:overflowPunct/>
        <w:topLinePunct w:val="0"/>
        <w:autoSpaceDE/>
        <w:autoSpaceDN/>
        <w:bidi w:val="0"/>
        <w:snapToGrid/>
        <w:spacing w:before="60" w:after="60" w:line="312" w:lineRule="auto"/>
        <w:textAlignment w:val="auto"/>
      </w:pPr>
      <w:r>
        <w:t>图2-</w:t>
      </w:r>
      <w:r>
        <w:rPr>
          <w:rFonts w:hint="eastAsia"/>
          <w:lang w:val="en-US" w:eastAsia="zh-CN"/>
        </w:rPr>
        <w:t>3</w:t>
      </w:r>
      <w:r>
        <w:t>镜像引擎部署方式</w:t>
      </w:r>
    </w:p>
    <w:p w14:paraId="69D5744C">
      <w:pPr>
        <w:pageBreakBefore w:val="0"/>
        <w:kinsoku/>
        <w:wordWrap/>
        <w:overflowPunct/>
        <w:topLinePunct w:val="0"/>
        <w:autoSpaceDE/>
        <w:autoSpaceDN/>
        <w:bidi w:val="0"/>
        <w:snapToGrid/>
        <w:spacing w:before="60" w:after="60" w:line="312" w:lineRule="auto"/>
        <w:textAlignment w:val="auto"/>
      </w:pPr>
    </w:p>
    <w:p w14:paraId="67D2C0F1">
      <w:pPr>
        <w:pStyle w:val="2"/>
        <w:pageBreakBefore w:val="0"/>
        <w:numPr>
          <w:ilvl w:val="0"/>
          <w:numId w:val="3"/>
        </w:numPr>
        <w:kinsoku/>
        <w:wordWrap/>
        <w:overflowPunct/>
        <w:topLinePunct w:val="0"/>
        <w:autoSpaceDE/>
        <w:autoSpaceDN/>
        <w:bidi w:val="0"/>
        <w:snapToGrid/>
        <w:spacing w:before="60" w:after="60" w:line="312" w:lineRule="auto"/>
        <w:textAlignment w:val="auto"/>
      </w:pPr>
      <w:bookmarkStart w:id="19" w:name="_Toc1354547586"/>
      <w:bookmarkStart w:id="20" w:name="_Toc375246290"/>
      <w:r>
        <w:t>关键能力</w:t>
      </w:r>
      <w:bookmarkEnd w:id="19"/>
      <w:bookmarkEnd w:id="20"/>
    </w:p>
    <w:p w14:paraId="2576BF1C">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21" w:name="_Toc407136055"/>
      <w:bookmarkStart w:id="22" w:name="_Toc1752408438"/>
      <w:r>
        <w:t>能力版图</w:t>
      </w:r>
      <w:bookmarkEnd w:id="21"/>
      <w:bookmarkEnd w:id="22"/>
    </w:p>
    <w:p w14:paraId="7223270C">
      <w:pPr>
        <w:pageBreakBefore w:val="0"/>
        <w:kinsoku/>
        <w:wordWrap/>
        <w:overflowPunct/>
        <w:topLinePunct w:val="0"/>
        <w:autoSpaceDE/>
        <w:autoSpaceDN/>
        <w:bidi w:val="0"/>
        <w:snapToGrid/>
        <w:spacing w:before="60" w:after="60" w:line="312" w:lineRule="auto"/>
        <w:ind w:left="336"/>
        <w:textAlignment w:val="auto"/>
      </w:pPr>
      <w:r>
        <w:drawing>
          <wp:inline distT="0" distB="0" distL="0" distR="0">
            <wp:extent cx="5274310" cy="3602355"/>
            <wp:effectExtent l="0" t="0" r="8890" b="4445"/>
            <wp:docPr id="17" name="picture" descr="descript"/>
            <wp:cNvGraphicFramePr/>
            <a:graphic xmlns:a="http://schemas.openxmlformats.org/drawingml/2006/main">
              <a:graphicData uri="http://schemas.openxmlformats.org/drawingml/2006/picture">
                <pic:pic xmlns:pic="http://schemas.openxmlformats.org/drawingml/2006/picture">
                  <pic:nvPicPr>
                    <pic:cNvPr id="17" name="picture" descr="descript"/>
                    <pic:cNvPicPr/>
                  </pic:nvPicPr>
                  <pic:blipFill>
                    <a:blip r:embed="rId11"/>
                    <a:stretch>
                      <a:fillRect/>
                    </a:stretch>
                  </pic:blipFill>
                  <pic:spPr>
                    <a:xfrm>
                      <a:off x="0" y="0"/>
                      <a:ext cx="5274310" cy="3602355"/>
                    </a:xfrm>
                    <a:prstGeom prst="rect">
                      <a:avLst/>
                    </a:prstGeom>
                  </pic:spPr>
                </pic:pic>
              </a:graphicData>
            </a:graphic>
          </wp:inline>
        </w:drawing>
      </w:r>
    </w:p>
    <w:p w14:paraId="66419231">
      <w:pPr>
        <w:pStyle w:val="45"/>
        <w:pageBreakBefore w:val="0"/>
        <w:kinsoku/>
        <w:wordWrap/>
        <w:overflowPunct/>
        <w:topLinePunct w:val="0"/>
        <w:autoSpaceDE/>
        <w:autoSpaceDN/>
        <w:bidi w:val="0"/>
        <w:snapToGrid/>
        <w:spacing w:before="60" w:after="60" w:line="312" w:lineRule="auto"/>
        <w:textAlignment w:val="auto"/>
      </w:pPr>
      <w:r>
        <w:t>图3-1产品能力版图</w:t>
      </w:r>
    </w:p>
    <w:p w14:paraId="3C92D539">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23" w:name="_Toc852777043"/>
      <w:bookmarkStart w:id="24" w:name="_Toc2137882508"/>
      <w:r>
        <w:t>全景态势多维分析</w:t>
      </w:r>
      <w:bookmarkEnd w:id="23"/>
      <w:bookmarkEnd w:id="24"/>
    </w:p>
    <w:p w14:paraId="0055C85E">
      <w:pPr>
        <w:pageBreakBefore w:val="0"/>
        <w:kinsoku/>
        <w:wordWrap/>
        <w:overflowPunct/>
        <w:topLinePunct w:val="0"/>
        <w:autoSpaceDE/>
        <w:autoSpaceDN/>
        <w:bidi w:val="0"/>
        <w:snapToGrid/>
        <w:spacing w:before="60" w:after="60" w:line="312" w:lineRule="auto"/>
        <w:textAlignment w:val="auto"/>
        <w:rPr>
          <w:sz w:val="24"/>
          <w:szCs w:val="32"/>
        </w:rPr>
      </w:pPr>
      <w:r>
        <w:tab/>
      </w:r>
      <w:r>
        <w:rPr>
          <w:sz w:val="24"/>
          <w:szCs w:val="32"/>
        </w:rPr>
        <w:t>数据驱动运营是提升企业运营效率的主要</w:t>
      </w:r>
      <w:r>
        <w:rPr>
          <w:rFonts w:hint="eastAsia"/>
          <w:sz w:val="24"/>
          <w:szCs w:val="32"/>
          <w:lang w:val="en-US" w:eastAsia="zh-CN"/>
        </w:rPr>
        <w:t>方式之一</w:t>
      </w:r>
      <w:r>
        <w:rPr>
          <w:sz w:val="24"/>
          <w:szCs w:val="32"/>
        </w:rPr>
        <w:t>。石犀平台突破传统管理界限，基于资产、路径、用户、途经站点等基础数据，以全景维度实现数据流动的可视化监控，全方位视角呈现数据流动的综合态势，使数据在复杂的系统和网络中的每一个细节、每一处动态变化都清晰可见。全景态势多维分析以具体实际的使用场景划分深入分析，使数据“可视、可用</w:t>
      </w:r>
      <w:r>
        <w:rPr>
          <w:rFonts w:hint="eastAsia"/>
          <w:sz w:val="24"/>
          <w:szCs w:val="32"/>
          <w:lang w:eastAsia="zh-CN"/>
        </w:rPr>
        <w:t>”</w:t>
      </w:r>
      <w:r>
        <w:rPr>
          <w:sz w:val="24"/>
          <w:szCs w:val="32"/>
        </w:rPr>
        <w:t>，让企业直观掌握数据流动的实时态势，全局上有效识别潜在安全风险与合规问题。</w:t>
      </w:r>
    </w:p>
    <w:p w14:paraId="051517E1">
      <w:pPr>
        <w:pStyle w:val="4"/>
        <w:pageBreakBefore w:val="0"/>
        <w:kinsoku/>
        <w:wordWrap/>
        <w:overflowPunct/>
        <w:topLinePunct w:val="0"/>
        <w:autoSpaceDE/>
        <w:autoSpaceDN/>
        <w:bidi w:val="0"/>
        <w:snapToGrid/>
        <w:spacing w:before="60" w:after="60" w:line="312" w:lineRule="auto"/>
        <w:textAlignment w:val="auto"/>
        <w:rPr>
          <w:rFonts w:ascii="Times New Roman" w:hAnsi="Times New Roman" w:eastAsia="黑体" w:cs="Times New Roman"/>
          <w:sz w:val="24"/>
          <w:szCs w:val="21"/>
        </w:rPr>
      </w:pPr>
      <w:bookmarkStart w:id="25" w:name="_Toc317901623"/>
      <w:r>
        <w:rPr>
          <w:rFonts w:ascii="Times New Roman" w:hAnsi="Times New Roman" w:eastAsia="黑体" w:cs="Times New Roman"/>
          <w:sz w:val="24"/>
          <w:szCs w:val="21"/>
        </w:rPr>
        <w:t>多维度风险识别防控</w:t>
      </w:r>
      <w:bookmarkEnd w:id="25"/>
    </w:p>
    <w:p w14:paraId="4398628E">
      <w:pPr>
        <w:pStyle w:val="11"/>
        <w:pageBreakBefore w:val="0"/>
        <w:numPr>
          <w:ilvl w:val="0"/>
          <w:numId w:val="4"/>
        </w:numPr>
        <w:kinsoku/>
        <w:wordWrap/>
        <w:overflowPunct/>
        <w:topLinePunct w:val="0"/>
        <w:autoSpaceDE/>
        <w:autoSpaceDN/>
        <w:bidi w:val="0"/>
        <w:snapToGrid/>
        <w:spacing w:before="60" w:after="60" w:afterLines="0" w:line="312" w:lineRule="auto"/>
        <w:ind w:left="840" w:firstLine="0" w:firstLineChars="0"/>
        <w:textAlignment w:val="auto"/>
        <w:rPr>
          <w:b w:val="0"/>
          <w:i w:val="0"/>
          <w:strike w:val="0"/>
          <w:u w:val="none"/>
        </w:rPr>
      </w:pPr>
      <w:r>
        <w:rPr>
          <w:b/>
          <w:i w:val="0"/>
          <w:strike w:val="0"/>
          <w:u w:val="none"/>
        </w:rPr>
        <w:t>数据流动态势分析：</w:t>
      </w:r>
      <w:r>
        <w:rPr>
          <w:b w:val="0"/>
          <w:i w:val="0"/>
          <w:strike w:val="0"/>
          <w:u w:val="none"/>
        </w:rPr>
        <w:t>以数据流动为核心视角，通过多样化的呈现形式，深入分析数据的传输路径与访问流向，精准识别异常流动模式与潜在</w:t>
      </w:r>
      <w:r>
        <w:rPr>
          <w:rFonts w:hint="eastAsia"/>
          <w:b w:val="0"/>
          <w:i w:val="0"/>
          <w:strike w:val="0"/>
          <w:u w:val="none"/>
          <w:lang w:eastAsia="zh-CN"/>
        </w:rPr>
        <w:t>泄露风险</w:t>
      </w:r>
      <w:r>
        <w:rPr>
          <w:b w:val="0"/>
          <w:i w:val="0"/>
          <w:strike w:val="0"/>
          <w:u w:val="none"/>
        </w:rPr>
        <w:t>，确保数据在复杂系统中的安全性与合规性；</w:t>
      </w:r>
    </w:p>
    <w:p w14:paraId="16A6EE57">
      <w:pPr>
        <w:pStyle w:val="11"/>
        <w:pageBreakBefore w:val="0"/>
        <w:numPr>
          <w:ilvl w:val="0"/>
          <w:numId w:val="4"/>
        </w:numPr>
        <w:kinsoku/>
        <w:wordWrap/>
        <w:overflowPunct/>
        <w:topLinePunct w:val="0"/>
        <w:autoSpaceDE/>
        <w:autoSpaceDN/>
        <w:bidi w:val="0"/>
        <w:snapToGrid/>
        <w:spacing w:before="60" w:after="60" w:afterLines="0" w:line="312" w:lineRule="auto"/>
        <w:ind w:left="840" w:firstLine="0" w:firstLineChars="0"/>
        <w:textAlignment w:val="auto"/>
        <w:rPr>
          <w:b/>
          <w:i w:val="0"/>
          <w:strike w:val="0"/>
          <w:u w:val="none"/>
        </w:rPr>
      </w:pPr>
      <w:r>
        <w:rPr>
          <w:b/>
          <w:i w:val="0"/>
          <w:strike w:val="0"/>
          <w:u w:val="none"/>
        </w:rPr>
        <w:t>风险态势监测处置：</w:t>
      </w:r>
      <w:r>
        <w:rPr>
          <w:b w:val="0"/>
          <w:i w:val="0"/>
          <w:strike w:val="0"/>
          <w:u w:val="none"/>
        </w:rPr>
        <w:t>从资产、用户等多维度出发，对生命周期中触发的风险事件、弱点事件及处置情况进行实时监测与归纳分析，帮助企业快速定位高优先级风险，并提供针对性的处置建议；</w:t>
      </w:r>
    </w:p>
    <w:p w14:paraId="2D342F4A">
      <w:pPr>
        <w:pStyle w:val="11"/>
        <w:pageBreakBefore w:val="0"/>
        <w:numPr>
          <w:ilvl w:val="0"/>
          <w:numId w:val="4"/>
        </w:numPr>
        <w:kinsoku/>
        <w:wordWrap/>
        <w:overflowPunct/>
        <w:topLinePunct w:val="0"/>
        <w:autoSpaceDE/>
        <w:autoSpaceDN/>
        <w:bidi w:val="0"/>
        <w:snapToGrid/>
        <w:spacing w:before="60" w:after="60" w:afterLines="0" w:line="312" w:lineRule="auto"/>
        <w:ind w:left="840" w:firstLine="0" w:firstLineChars="0"/>
        <w:textAlignment w:val="auto"/>
        <w:rPr>
          <w:b/>
          <w:i w:val="0"/>
          <w:strike w:val="0"/>
          <w:u w:val="none"/>
        </w:rPr>
      </w:pPr>
      <w:r>
        <w:rPr>
          <w:b/>
          <w:i w:val="0"/>
          <w:strike w:val="0"/>
          <w:u w:val="none"/>
        </w:rPr>
        <w:t>用户行为画像分析</w:t>
      </w:r>
      <w:r>
        <w:rPr>
          <w:b w:val="0"/>
          <w:i w:val="0"/>
          <w:strike w:val="0"/>
          <w:u w:val="none"/>
        </w:rPr>
        <w:t>：通过多维度用户画像，追踪账号行为、IP轨迹及权限动态，精准识别异常访问行为与潜在风险，制定精细化控制策略，防止数据滥用或泄露，提升整体数据安全性；</w:t>
      </w:r>
    </w:p>
    <w:p w14:paraId="704954B1">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b w:val="0"/>
          <w:i w:val="0"/>
          <w:strike w:val="0"/>
          <w:u w:val="none"/>
        </w:rPr>
      </w:pPr>
      <w:r>
        <w:rPr>
          <w:b/>
          <w:i w:val="0"/>
          <w:strike w:val="0"/>
          <w:u w:val="none"/>
        </w:rPr>
        <w:t>威胁治理效果追踪：</w:t>
      </w:r>
      <w:r>
        <w:rPr>
          <w:b w:val="0"/>
          <w:i w:val="0"/>
          <w:strike w:val="0"/>
          <w:u w:val="none"/>
        </w:rPr>
        <w:t>以主动治理为核心视角，监测威胁事件的治理进展，绘制治理分布与热力图，快速定位异常行为与潜在威胁，确保治理措施的有效落实。</w:t>
      </w:r>
    </w:p>
    <w:p w14:paraId="719BBE41">
      <w:pPr>
        <w:pStyle w:val="4"/>
        <w:pageBreakBefore w:val="0"/>
        <w:kinsoku/>
        <w:wordWrap/>
        <w:overflowPunct/>
        <w:topLinePunct w:val="0"/>
        <w:autoSpaceDE/>
        <w:autoSpaceDN/>
        <w:bidi w:val="0"/>
        <w:snapToGrid/>
        <w:spacing w:before="60" w:after="60" w:line="312" w:lineRule="auto"/>
        <w:textAlignment w:val="auto"/>
        <w:rPr>
          <w:sz w:val="24"/>
          <w:szCs w:val="21"/>
        </w:rPr>
      </w:pPr>
      <w:bookmarkStart w:id="26" w:name="_Toc33264025"/>
      <w:r>
        <w:rPr>
          <w:sz w:val="24"/>
          <w:szCs w:val="21"/>
        </w:rPr>
        <w:t>全局资源优化与安全保障</w:t>
      </w:r>
      <w:bookmarkEnd w:id="26"/>
    </w:p>
    <w:p w14:paraId="469606F4">
      <w:pPr>
        <w:pStyle w:val="11"/>
        <w:pageBreakBefore w:val="0"/>
        <w:numPr>
          <w:ilvl w:val="0"/>
          <w:numId w:val="4"/>
        </w:numP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i w:val="0"/>
          <w:strike w:val="0"/>
          <w:u w:val="none"/>
        </w:rPr>
      </w:pPr>
      <w:r>
        <w:rPr>
          <w:rFonts w:ascii="Times New Roman" w:hAnsi="Times New Roman" w:eastAsia="宋体" w:cs="Times New Roman"/>
          <w:b/>
          <w:bCs w:val="0"/>
          <w:i w:val="0"/>
          <w:strike w:val="0"/>
          <w:u w:val="none"/>
        </w:rPr>
        <w:t>资产全生命周期盘点</w:t>
      </w:r>
      <w:r>
        <w:rPr>
          <w:rFonts w:ascii="Times New Roman" w:hAnsi="Times New Roman" w:eastAsia="宋体" w:cs="Times New Roman"/>
          <w:b w:val="0"/>
          <w:bCs/>
          <w:i w:val="0"/>
          <w:strike w:val="0"/>
          <w:u w:val="none"/>
        </w:rPr>
        <w:t>：从应用、API、数据、文件等维度，全面分析资产的稳定性、活跃性、风险性及脆弱性，辅助识别高价值资产、闲置资产及风险资产，优化资源配置，提升资产利用率；</w:t>
      </w:r>
    </w:p>
    <w:p w14:paraId="1A384271">
      <w:pPr>
        <w:pStyle w:val="11"/>
        <w:pageBreakBefore w:val="0"/>
        <w:numPr>
          <w:ilvl w:val="0"/>
          <w:numId w:val="4"/>
        </w:numP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i w:val="0"/>
          <w:strike w:val="0"/>
          <w:u w:val="none"/>
        </w:rPr>
      </w:pPr>
      <w:r>
        <w:rPr>
          <w:rFonts w:ascii="Times New Roman" w:hAnsi="Times New Roman" w:eastAsia="宋体" w:cs="Times New Roman"/>
          <w:b/>
          <w:bCs w:val="0"/>
          <w:i w:val="0"/>
          <w:strike w:val="0"/>
          <w:u w:val="none"/>
        </w:rPr>
        <w:t>用户权限与行为优化</w:t>
      </w:r>
      <w:r>
        <w:rPr>
          <w:rFonts w:ascii="Times New Roman" w:hAnsi="Times New Roman" w:eastAsia="宋体" w:cs="Times New Roman"/>
          <w:b w:val="0"/>
          <w:bCs/>
          <w:i w:val="0"/>
          <w:strike w:val="0"/>
          <w:u w:val="none"/>
        </w:rPr>
        <w:t>：通过分析用户的资产访问习惯与行为模式，评估权限分配的合理性，优化权限管理策略，降低因权限滥用或分配不当引发的安全风险；</w:t>
      </w:r>
    </w:p>
    <w:p w14:paraId="1AC0423E">
      <w:pPr>
        <w:pStyle w:val="11"/>
        <w:pageBreakBefore w:val="0"/>
        <w:numPr>
          <w:ilvl w:val="0"/>
          <w:numId w:val="4"/>
        </w:numP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i w:val="0"/>
          <w:strike w:val="0"/>
          <w:u w:val="none"/>
        </w:rPr>
      </w:pPr>
      <w:r>
        <w:rPr>
          <w:rFonts w:ascii="Times New Roman" w:hAnsi="Times New Roman" w:eastAsia="宋体" w:cs="Times New Roman"/>
          <w:b/>
          <w:bCs w:val="0"/>
          <w:i w:val="0"/>
          <w:strike w:val="0"/>
          <w:u w:val="none"/>
        </w:rPr>
        <w:t>治理资源可视化分配</w:t>
      </w:r>
      <w:r>
        <w:rPr>
          <w:rFonts w:ascii="Times New Roman" w:hAnsi="Times New Roman" w:eastAsia="宋体" w:cs="Times New Roman"/>
          <w:b w:val="0"/>
          <w:bCs/>
          <w:i w:val="0"/>
          <w:strike w:val="0"/>
          <w:u w:val="none"/>
        </w:rPr>
        <w:t>：通过治理热力图与分布图，直观展示插件资源的投入与效果，帮助企业合理分配插件资源，提升插件效率与投入产出比。</w:t>
      </w:r>
    </w:p>
    <w:p w14:paraId="55FDAC6C">
      <w:pPr>
        <w:pStyle w:val="4"/>
        <w:pageBreakBefore w:val="0"/>
        <w:kinsoku/>
        <w:wordWrap/>
        <w:overflowPunct/>
        <w:topLinePunct w:val="0"/>
        <w:autoSpaceDE/>
        <w:autoSpaceDN/>
        <w:bidi w:val="0"/>
        <w:snapToGrid/>
        <w:spacing w:before="60" w:after="60" w:line="312" w:lineRule="auto"/>
        <w:textAlignment w:val="auto"/>
        <w:rPr>
          <w:sz w:val="24"/>
          <w:szCs w:val="21"/>
        </w:rPr>
      </w:pPr>
      <w:bookmarkStart w:id="27" w:name="_Toc722719955"/>
      <w:r>
        <w:rPr>
          <w:sz w:val="24"/>
          <w:szCs w:val="21"/>
        </w:rPr>
        <w:t>全方位系统可靠性保障</w:t>
      </w:r>
      <w:bookmarkEnd w:id="27"/>
    </w:p>
    <w:p w14:paraId="6817FA2A">
      <w:pPr>
        <w:pStyle w:val="11"/>
        <w:pageBreakBefore w:val="0"/>
        <w:kinsoku/>
        <w:wordWrap/>
        <w:overflowPunct/>
        <w:topLinePunct w:val="0"/>
        <w:autoSpaceDE/>
        <w:autoSpaceDN/>
        <w:bidi w:val="0"/>
        <w:snapToGrid/>
        <w:spacing w:before="60" w:after="60" w:afterLines="0" w:line="312" w:lineRule="auto"/>
        <w:textAlignment w:val="auto"/>
        <w:rPr>
          <w:b/>
        </w:rPr>
      </w:pPr>
      <w:r>
        <w:rPr>
          <w:b w:val="0"/>
          <w:i w:val="0"/>
          <w:strike w:val="0"/>
          <w:u w:val="none"/>
        </w:rPr>
        <w:t>聚焦于总控、引擎的设备状态、网络流量与应用性能的关联分析，全方位对部署进行性能监控，实现从基础设施层到业务层的故障传播链可视化，快速定位故障根源，保障系统稳定运行。</w:t>
      </w:r>
    </w:p>
    <w:p w14:paraId="05C50BEC">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28" w:name="_Toc586776253"/>
      <w:bookmarkStart w:id="29" w:name="_Toc1842413999"/>
      <w:r>
        <w:t>全栈资产深度盘点</w:t>
      </w:r>
      <w:bookmarkEnd w:id="28"/>
      <w:bookmarkEnd w:id="29"/>
    </w:p>
    <w:p w14:paraId="4A062FDE">
      <w:pPr>
        <w:pStyle w:val="11"/>
        <w:pageBreakBefore w:val="0"/>
        <w:kinsoku/>
        <w:wordWrap/>
        <w:overflowPunct/>
        <w:topLinePunct w:val="0"/>
        <w:autoSpaceDE/>
        <w:autoSpaceDN/>
        <w:bidi w:val="0"/>
        <w:snapToGrid/>
        <w:spacing w:before="60" w:after="60" w:afterLines="0" w:line="312" w:lineRule="auto"/>
        <w:textAlignment w:val="auto"/>
        <w:rPr>
          <w:color w:val="000000"/>
        </w:rPr>
      </w:pPr>
      <w:r>
        <w:rPr>
          <w:color w:val="000000"/>
        </w:rPr>
        <w:t>在数据安全领域，全面梳理盘点多种类数据资产是构建稳固防护体系必不可少的基础。石犀平台能够对用户的多种类数据资产识别盘点，并基于每种资产做出相应不同维度的分析，构建资产画像，使资产在石犀平台中呈现得更立体。</w:t>
      </w:r>
    </w:p>
    <w:p w14:paraId="24628EF2">
      <w:pPr>
        <w:pStyle w:val="4"/>
        <w:pageBreakBefore w:val="0"/>
        <w:kinsoku/>
        <w:wordWrap/>
        <w:overflowPunct/>
        <w:topLinePunct w:val="0"/>
        <w:autoSpaceDE/>
        <w:autoSpaceDN/>
        <w:bidi w:val="0"/>
        <w:snapToGrid/>
        <w:spacing w:before="60" w:after="60" w:line="312" w:lineRule="auto"/>
        <w:textAlignment w:val="auto"/>
        <w:rPr>
          <w:sz w:val="24"/>
          <w:szCs w:val="21"/>
        </w:rPr>
      </w:pPr>
      <w:bookmarkStart w:id="30" w:name="_Toc703577147"/>
      <w:r>
        <w:rPr>
          <w:sz w:val="24"/>
          <w:szCs w:val="21"/>
        </w:rPr>
        <w:t>数据资产全方位盘点</w:t>
      </w:r>
      <w:bookmarkEnd w:id="30"/>
    </w:p>
    <w:p w14:paraId="3935BA48">
      <w:pPr>
        <w:pStyle w:val="11"/>
        <w:pageBreakBefore w:val="0"/>
        <w:numPr>
          <w:ilvl w:val="0"/>
          <w:numId w:val="4"/>
        </w:numPr>
        <w:pBdr>
          <w:bottom w:val="none"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应用</w:t>
      </w:r>
      <w:r>
        <w:rPr>
          <w:rFonts w:ascii="Times New Roman" w:hAnsi="Times New Roman" w:eastAsia="宋体" w:cs="Times New Roman"/>
          <w:b w:val="0"/>
          <w:bCs/>
          <w:u w:val="none"/>
        </w:rPr>
        <w:t>：</w:t>
      </w:r>
      <w:r>
        <w:rPr>
          <w:rFonts w:ascii="Times New Roman" w:hAnsi="Times New Roman" w:eastAsia="宋体" w:cs="Times New Roman"/>
          <w:b w:val="0"/>
          <w:bCs/>
          <w:i w:val="0"/>
          <w:strike w:val="0"/>
          <w:u w:val="none"/>
        </w:rPr>
        <w:t>石犀平台具备自动化识别工具，持续盘点应用及其API、文件、用户等子资产，还能标记应用标签，便于分类管理。同时，监控应用性能、风险等，为应用管理提供依据。</w:t>
      </w:r>
    </w:p>
    <w:p w14:paraId="45F53E4F">
      <w:pPr>
        <w:pStyle w:val="11"/>
        <w:pageBreakBefore w:val="0"/>
        <w:numPr>
          <w:ilvl w:val="0"/>
          <w:numId w:val="4"/>
        </w:numPr>
        <w:pBdr>
          <w:bottom w:val="none"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API</w:t>
      </w:r>
      <w:r>
        <w:rPr>
          <w:rFonts w:ascii="Times New Roman" w:hAnsi="Times New Roman" w:eastAsia="宋体" w:cs="Times New Roman"/>
          <w:b w:val="0"/>
          <w:bCs/>
          <w:u w:val="none"/>
        </w:rPr>
        <w:t>：</w:t>
      </w:r>
      <w:r>
        <w:rPr>
          <w:rFonts w:ascii="Times New Roman" w:hAnsi="Times New Roman" w:eastAsia="宋体" w:cs="Times New Roman"/>
          <w:b w:val="0"/>
          <w:bCs/>
          <w:i w:val="0"/>
          <w:strike w:val="0"/>
          <w:u w:val="none"/>
        </w:rPr>
        <w:t>石犀平台灵活识别规则，实现API资产识别入库、标签匹配与归属划分</w:t>
      </w:r>
      <w:r>
        <w:rPr>
          <w:rFonts w:hint="default" w:ascii="Times New Roman" w:hAnsi="Times New Roman" w:eastAsia="宋体" w:cs="Times New Roman"/>
          <w:b w:val="0"/>
          <w:bCs/>
          <w:i w:val="0"/>
          <w:strike w:val="0"/>
          <w:u w:val="none"/>
          <w:lang w:eastAsia="zh-CN"/>
        </w:rPr>
        <w:t>，帮</w:t>
      </w:r>
      <w:r>
        <w:rPr>
          <w:rFonts w:ascii="Times New Roman" w:hAnsi="Times New Roman" w:eastAsia="宋体" w:cs="Times New Roman"/>
          <w:b w:val="0"/>
          <w:bCs/>
          <w:i w:val="0"/>
          <w:strike w:val="0"/>
          <w:u w:val="none"/>
        </w:rPr>
        <w:t>助用户梳理。同时，监测API传输，更新风险等信息，提供决策依据。</w:t>
      </w:r>
    </w:p>
    <w:p w14:paraId="06AFE14D">
      <w:pPr>
        <w:pStyle w:val="11"/>
        <w:pageBreakBefore w:val="0"/>
        <w:numPr>
          <w:ilvl w:val="0"/>
          <w:numId w:val="4"/>
        </w:numPr>
        <w:pBdr>
          <w:bottom w:val="none"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文件</w:t>
      </w:r>
      <w:r>
        <w:rPr>
          <w:rFonts w:ascii="Times New Roman" w:hAnsi="Times New Roman" w:eastAsia="宋体" w:cs="Times New Roman"/>
          <w:b w:val="0"/>
          <w:bCs/>
          <w:u w:val="none"/>
        </w:rPr>
        <w:t>：石犀平台从流量识别文件，分析、打标、整合盘点。聚合单文件上传/下载数据，分析热度。还能计算文件相似度，梳理相似、相同文件。</w:t>
      </w:r>
    </w:p>
    <w:p w14:paraId="332B6D6F">
      <w:pPr>
        <w:pStyle w:val="11"/>
        <w:pageBreakBefore w:val="0"/>
        <w:numPr>
          <w:ilvl w:val="0"/>
          <w:numId w:val="4"/>
        </w:numPr>
        <w:pBdr>
          <w:bottom w:val="none"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highlight w:val="lightGray"/>
          <w:u w:val="none"/>
        </w:rPr>
      </w:pPr>
      <w:r>
        <w:rPr>
          <w:rFonts w:ascii="Times New Roman" w:hAnsi="Times New Roman" w:eastAsia="宋体" w:cs="Times New Roman"/>
          <w:b/>
          <w:bCs w:val="0"/>
          <w:highlight w:val="lightGray"/>
          <w:u w:val="none"/>
        </w:rPr>
        <w:t>数据库</w:t>
      </w:r>
      <w:r>
        <w:rPr>
          <w:rFonts w:ascii="Times New Roman" w:hAnsi="Times New Roman" w:eastAsia="宋体" w:cs="Times New Roman"/>
          <w:b w:val="0"/>
          <w:bCs/>
          <w:highlight w:val="lightGray"/>
          <w:u w:val="none"/>
        </w:rPr>
        <w:t>：石犀平台扫描识别多种数据库资产，统计敏感字段、数据分类等并匹配标签，监测受访状态，生成访问关系，提高数据库运维效率。</w:t>
      </w:r>
    </w:p>
    <w:p w14:paraId="14E03C4A">
      <w:pPr>
        <w:pStyle w:val="11"/>
        <w:pageBreakBefore w:val="0"/>
        <w:numPr>
          <w:ilvl w:val="0"/>
          <w:numId w:val="4"/>
        </w:numP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数据</w:t>
      </w:r>
      <w:r>
        <w:rPr>
          <w:rFonts w:ascii="Times New Roman" w:hAnsi="Times New Roman" w:eastAsia="宋体" w:cs="Times New Roman"/>
          <w:b w:val="0"/>
          <w:bCs/>
          <w:u w:val="none"/>
        </w:rPr>
        <w:t>：石犀平台通过自动化分级分类规则以及内置数据标签，进行全网数据资产监控，梳理并统计静态数据和流动数据，展示分布及关联风险信息。</w:t>
      </w:r>
    </w:p>
    <w:p w14:paraId="19A7678D">
      <w:pPr>
        <w:pStyle w:val="11"/>
        <w:pageBreakBefore w:val="0"/>
        <w:numPr>
          <w:ilvl w:val="0"/>
          <w:numId w:val="4"/>
        </w:numPr>
        <w:pBdr>
          <w:bottom w:val="none"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hint="default" w:ascii="Times New Roman" w:hAnsi="Times New Roman" w:eastAsia="宋体" w:cs="Times New Roman"/>
          <w:b w:val="0"/>
          <w:bCs/>
          <w:u w:val="none"/>
          <w:lang w:eastAsia="zh-CN"/>
        </w:rPr>
        <w:t>……</w:t>
      </w:r>
    </w:p>
    <w:p w14:paraId="2723D50D">
      <w:pPr>
        <w:pStyle w:val="4"/>
        <w:pageBreakBefore w:val="0"/>
        <w:kinsoku/>
        <w:wordWrap/>
        <w:overflowPunct/>
        <w:topLinePunct w:val="0"/>
        <w:autoSpaceDE/>
        <w:autoSpaceDN/>
        <w:bidi w:val="0"/>
        <w:snapToGrid/>
        <w:spacing w:before="60" w:after="60" w:line="312" w:lineRule="auto"/>
        <w:textAlignment w:val="auto"/>
        <w:rPr>
          <w:sz w:val="24"/>
          <w:szCs w:val="21"/>
        </w:rPr>
      </w:pPr>
      <w:bookmarkStart w:id="31" w:name="_Toc976149247"/>
      <w:r>
        <w:rPr>
          <w:sz w:val="24"/>
          <w:szCs w:val="21"/>
        </w:rPr>
        <w:t>数据资产多途径梳理</w:t>
      </w:r>
      <w:bookmarkEnd w:id="31"/>
    </w:p>
    <w:p w14:paraId="0207A210">
      <w:pPr>
        <w:pStyle w:val="11"/>
        <w:pageBreakBefore w:val="0"/>
        <w:kinsoku/>
        <w:wordWrap/>
        <w:overflowPunct/>
        <w:topLinePunct w:val="0"/>
        <w:autoSpaceDE/>
        <w:autoSpaceDN/>
        <w:bidi w:val="0"/>
        <w:snapToGrid/>
        <w:spacing w:before="60" w:after="60" w:afterLines="0" w:line="312" w:lineRule="auto"/>
        <w:textAlignment w:val="auto"/>
      </w:pPr>
      <w:r>
        <w:rPr>
          <w:b w:val="0"/>
          <w:i w:val="0"/>
          <w:strike w:val="0"/>
          <w:color w:val="000000"/>
          <w:u w:val="none"/>
        </w:rPr>
        <w:t>在资产的采集方式上，采用了自动与手动相结合的方式，既可以通过流量分析自动发现资产，也支持手动导入和新增资产信息。使石犀能够从硬件到软件，从数据载体到数据字段全面覆盖，具体包括：应用、API、数据、</w:t>
      </w:r>
      <w:r>
        <w:rPr>
          <w:b w:val="0"/>
          <w:i w:val="0"/>
          <w:strike w:val="0"/>
          <w:color w:val="000000"/>
          <w:highlight w:val="lightGray"/>
          <w:u w:val="none"/>
        </w:rPr>
        <w:t>数据库、</w:t>
      </w:r>
      <w:r>
        <w:rPr>
          <w:b w:val="0"/>
          <w:i w:val="0"/>
          <w:strike w:val="0"/>
          <w:color w:val="000000"/>
          <w:u w:val="none"/>
        </w:rPr>
        <w:t>文件等等，资产采集途径包括：</w:t>
      </w:r>
    </w:p>
    <w:p w14:paraId="5E70EBDA">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全流量数据采集</w:t>
      </w:r>
      <w:r>
        <w:rPr>
          <w:rFonts w:ascii="Times New Roman" w:hAnsi="Times New Roman" w:eastAsia="宋体" w:cs="Times New Roman"/>
          <w:b w:val="0"/>
          <w:bCs/>
          <w:u w:val="none"/>
        </w:rPr>
        <w:t>：通过对网络中各类流量的实时抓取与分析，全面收集包含用户行为、数据交互等在内的全流量数据，确保资产信息获取的完整性与及时性。</w:t>
      </w:r>
    </w:p>
    <w:p w14:paraId="78D28077">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用户导入数据资产</w:t>
      </w:r>
      <w:r>
        <w:rPr>
          <w:rFonts w:ascii="Times New Roman" w:hAnsi="Times New Roman" w:eastAsia="宋体" w:cs="Times New Roman"/>
          <w:b w:val="0"/>
          <w:bCs/>
          <w:u w:val="none"/>
        </w:rPr>
        <w:t>：支持用户将本地存储或其他渠道获取的数据资产，便捷导入石犀平台，满足用户多样化的数据整合需求，丰富平台资产数据来源。</w:t>
      </w:r>
    </w:p>
    <w:p w14:paraId="24C18082">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应用资产发布</w:t>
      </w:r>
      <w:r>
        <w:rPr>
          <w:rFonts w:ascii="Times New Roman" w:hAnsi="Times New Roman" w:eastAsia="宋体" w:cs="Times New Roman"/>
          <w:b w:val="0"/>
          <w:bCs/>
          <w:u w:val="none"/>
        </w:rPr>
        <w:t>：平台支持对应用进行标准化发布，使其在安全可控的环境下实现应用稳定、安全、高效运行。</w:t>
      </w:r>
    </w:p>
    <w:p w14:paraId="40201607">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highlight w:val="lightGray"/>
          <w:u w:val="none"/>
        </w:rPr>
      </w:pPr>
      <w:r>
        <w:rPr>
          <w:rFonts w:ascii="Times New Roman" w:hAnsi="Times New Roman" w:eastAsia="宋体" w:cs="Times New Roman"/>
          <w:b/>
          <w:bCs w:val="0"/>
          <w:highlight w:val="lightGray"/>
          <w:u w:val="none"/>
        </w:rPr>
        <w:t>第三方资产接入</w:t>
      </w:r>
      <w:r>
        <w:rPr>
          <w:rFonts w:ascii="Times New Roman" w:hAnsi="Times New Roman" w:eastAsia="宋体" w:cs="Times New Roman"/>
          <w:b w:val="0"/>
          <w:bCs/>
          <w:highlight w:val="lightGray"/>
          <w:u w:val="none"/>
        </w:rPr>
        <w:t>：能够与第三方资产平台建立连接，无缝接入各类外部资产信息，拓宽资产数据维度，为企业提供更全面的资产视角与管理基础。</w:t>
      </w:r>
    </w:p>
    <w:p w14:paraId="75C381BB">
      <w:pPr>
        <w:pStyle w:val="4"/>
        <w:pageBreakBefore w:val="0"/>
        <w:kinsoku/>
        <w:wordWrap/>
        <w:overflowPunct/>
        <w:topLinePunct w:val="0"/>
        <w:autoSpaceDE/>
        <w:autoSpaceDN/>
        <w:bidi w:val="0"/>
        <w:snapToGrid/>
        <w:spacing w:before="60" w:after="60" w:line="312" w:lineRule="auto"/>
        <w:textAlignment w:val="auto"/>
        <w:rPr>
          <w:sz w:val="24"/>
          <w:szCs w:val="21"/>
        </w:rPr>
      </w:pPr>
      <w:bookmarkStart w:id="32" w:name="_Toc1512814896"/>
      <w:r>
        <w:rPr>
          <w:sz w:val="24"/>
          <w:szCs w:val="21"/>
        </w:rPr>
        <w:t>数据资产身份化管理</w:t>
      </w:r>
      <w:bookmarkEnd w:id="32"/>
    </w:p>
    <w:p w14:paraId="4D7A4F4A">
      <w:pPr>
        <w:pStyle w:val="11"/>
        <w:pageBreakBefore w:val="0"/>
        <w:kinsoku/>
        <w:wordWrap/>
        <w:overflowPunct/>
        <w:topLinePunct w:val="0"/>
        <w:autoSpaceDE/>
        <w:autoSpaceDN/>
        <w:bidi w:val="0"/>
        <w:snapToGrid/>
        <w:spacing w:before="60" w:after="60" w:afterLines="0" w:line="312" w:lineRule="auto"/>
        <w:textAlignment w:val="auto"/>
        <w:rPr>
          <w:color w:val="000000"/>
        </w:rPr>
      </w:pPr>
      <w:r>
        <w:rPr>
          <w:color w:val="000000"/>
        </w:rPr>
        <w:t>数字化时代，资产管理需精细化。石犀平台凭借高级算法，快速精准自动化识别、梳理资产，赋予其明确身份标识，实现资产身份标识管理与特征识别。平台还能对接第三方，整合资产信息，提升管理效率，支撑数据安全策略制定：</w:t>
      </w:r>
    </w:p>
    <w:p w14:paraId="6CBF59F2">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i w:val="0"/>
          <w:strike w:val="0"/>
          <w:u w:val="none"/>
        </w:rPr>
        <w:t>数据标签</w:t>
      </w:r>
      <w:r>
        <w:rPr>
          <w:rFonts w:ascii="Times New Roman" w:hAnsi="Times New Roman" w:eastAsia="宋体" w:cs="Times New Roman"/>
          <w:b w:val="0"/>
          <w:bCs/>
          <w:i w:val="0"/>
          <w:strike w:val="0"/>
          <w:u w:val="none"/>
        </w:rPr>
        <w:t>：提供内置、自动化、自定义标签，兼顾通用标准、智能生成与个性需求。</w:t>
      </w:r>
    </w:p>
    <w:p w14:paraId="6A50579E">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i w:val="0"/>
          <w:strike w:val="0"/>
          <w:u w:val="none"/>
        </w:rPr>
        <w:t>数据分类分级</w:t>
      </w:r>
      <w:r>
        <w:rPr>
          <w:rFonts w:ascii="Times New Roman" w:hAnsi="Times New Roman" w:eastAsia="宋体" w:cs="Times New Roman"/>
          <w:b w:val="0"/>
          <w:bCs/>
          <w:i w:val="0"/>
          <w:strike w:val="0"/>
          <w:u w:val="none"/>
        </w:rPr>
        <w:t>：有内置规则、自动化及自定义分类分级，适配行业规范与企业特性。</w:t>
      </w:r>
    </w:p>
    <w:p w14:paraId="22DCA7B0">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i w:val="0"/>
          <w:strike w:val="0"/>
          <w:u w:val="none"/>
        </w:rPr>
        <w:t>特殊资产识别</w:t>
      </w:r>
      <w:r>
        <w:rPr>
          <w:rFonts w:ascii="Times New Roman" w:hAnsi="Times New Roman" w:eastAsia="宋体" w:cs="Times New Roman"/>
          <w:b w:val="0"/>
          <w:bCs/>
          <w:i w:val="0"/>
          <w:strike w:val="0"/>
          <w:u w:val="none"/>
        </w:rPr>
        <w:t>：可精准识别失活资产、影子资产等，挖掘价值，防控风险。</w:t>
      </w:r>
    </w:p>
    <w:p w14:paraId="1A92F845">
      <w:pPr>
        <w:pStyle w:val="4"/>
        <w:pageBreakBefore w:val="0"/>
        <w:kinsoku/>
        <w:wordWrap/>
        <w:overflowPunct/>
        <w:topLinePunct w:val="0"/>
        <w:autoSpaceDE/>
        <w:autoSpaceDN/>
        <w:bidi w:val="0"/>
        <w:snapToGrid/>
        <w:spacing w:before="60" w:after="60" w:line="312" w:lineRule="auto"/>
        <w:textAlignment w:val="auto"/>
        <w:rPr>
          <w:rFonts w:ascii="Times New Roman" w:hAnsi="Times New Roman" w:eastAsia="黑体" w:cs="Times New Roman"/>
          <w:sz w:val="24"/>
          <w:szCs w:val="21"/>
        </w:rPr>
      </w:pPr>
      <w:bookmarkStart w:id="33" w:name="_Toc1821060239"/>
      <w:r>
        <w:rPr>
          <w:rFonts w:ascii="Times New Roman" w:hAnsi="Times New Roman" w:eastAsia="黑体" w:cs="Times New Roman"/>
          <w:sz w:val="24"/>
          <w:szCs w:val="21"/>
        </w:rPr>
        <w:t>数据资产画像构建</w:t>
      </w:r>
      <w:bookmarkEnd w:id="33"/>
    </w:p>
    <w:p w14:paraId="5C3ED6AD">
      <w:pPr>
        <w:pStyle w:val="11"/>
        <w:pageBreakBefore w:val="0"/>
        <w:kinsoku/>
        <w:wordWrap/>
        <w:overflowPunct/>
        <w:topLinePunct w:val="0"/>
        <w:autoSpaceDE/>
        <w:autoSpaceDN/>
        <w:bidi w:val="0"/>
        <w:snapToGrid/>
        <w:spacing w:before="60" w:after="60" w:afterLines="0" w:line="312" w:lineRule="auto"/>
        <w:textAlignment w:val="auto"/>
        <w:rPr>
          <w:color w:val="000000"/>
        </w:rPr>
      </w:pPr>
      <w:r>
        <w:rPr>
          <w:color w:val="000000"/>
        </w:rPr>
        <w:t>石犀构建的资产画像是全面保障企业网络与信息安全的核心环节。资产画像涵盖了多个关键维度，包括基本信息、核心数据与敏感等级分布，数据资产关系图谱、API调用关系图谱、资产热度、安全配置、风险与脆弱性、网络拓扑、运行状态与性能、监控告警信息等等。</w:t>
      </w:r>
    </w:p>
    <w:p w14:paraId="02297BBB">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color w:val="000000"/>
        </w:rPr>
      </w:pPr>
      <w:r>
        <w:rPr>
          <w:color w:val="000000"/>
        </w:rPr>
        <w:t>石犀平台通过综合运用自动化工具和分析方法，全面梳理网络中的各类资产，形成资产画像，为企业和组织提供其数据资产全貌。助力优先处理高风险资产，提高整体安全防护水平，指导安全策略的制定和实施，优化安全资源的分配，确保数据安全的有效治理。</w:t>
      </w:r>
    </w:p>
    <w:p w14:paraId="4CD7AB06">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34" w:name="_Toc622499829"/>
      <w:bookmarkStart w:id="35" w:name="_Toc885375100"/>
      <w:r>
        <w:t>全域用户安全治理</w:t>
      </w:r>
      <w:bookmarkEnd w:id="34"/>
      <w:bookmarkEnd w:id="35"/>
    </w:p>
    <w:p w14:paraId="2A5AC8B2">
      <w:pPr>
        <w:pStyle w:val="11"/>
        <w:pageBreakBefore w:val="0"/>
        <w:kinsoku/>
        <w:wordWrap/>
        <w:overflowPunct/>
        <w:topLinePunct w:val="0"/>
        <w:autoSpaceDE/>
        <w:autoSpaceDN/>
        <w:bidi w:val="0"/>
        <w:snapToGrid/>
        <w:spacing w:before="60" w:after="60" w:afterLines="0" w:line="312" w:lineRule="auto"/>
        <w:textAlignment w:val="auto"/>
      </w:pPr>
      <w:r>
        <w:t>石犀平台聚焦数据流动过程中的用户身份、行为及风险的全生命周期管理，实现“身份可溯、行为可视、风险可控”，为企业提供精准的用户与账号安全防护及合规治理能力。帮助企业实现用户与账号的全生命周期管理，提升安全防护与合规治理效率</w:t>
      </w:r>
    </w:p>
    <w:p w14:paraId="1FFBB7D3">
      <w:pPr>
        <w:pStyle w:val="4"/>
        <w:pageBreakBefore w:val="0"/>
        <w:kinsoku/>
        <w:wordWrap/>
        <w:overflowPunct/>
        <w:topLinePunct w:val="0"/>
        <w:autoSpaceDE/>
        <w:autoSpaceDN/>
        <w:bidi w:val="0"/>
        <w:snapToGrid/>
        <w:spacing w:before="60" w:after="60" w:line="312" w:lineRule="auto"/>
        <w:textAlignment w:val="auto"/>
        <w:rPr>
          <w:rFonts w:ascii="Times New Roman" w:hAnsi="Times New Roman" w:eastAsia="黑体" w:cs="Times New Roman"/>
          <w:sz w:val="24"/>
          <w:szCs w:val="21"/>
        </w:rPr>
      </w:pPr>
      <w:bookmarkStart w:id="36" w:name="_Toc1961781466"/>
      <w:r>
        <w:rPr>
          <w:rFonts w:ascii="Times New Roman" w:hAnsi="Times New Roman" w:eastAsia="黑体" w:cs="Times New Roman"/>
          <w:sz w:val="24"/>
          <w:szCs w:val="21"/>
        </w:rPr>
        <w:t>用户账号精准识别</w:t>
      </w:r>
      <w:bookmarkEnd w:id="36"/>
    </w:p>
    <w:p w14:paraId="7231EE1A">
      <w:pPr>
        <w:pStyle w:val="11"/>
        <w:pageBreakBefore w:val="0"/>
        <w:kinsoku/>
        <w:wordWrap/>
        <w:overflowPunct/>
        <w:topLinePunct w:val="0"/>
        <w:autoSpaceDE/>
        <w:autoSpaceDN/>
        <w:bidi w:val="0"/>
        <w:snapToGrid/>
        <w:spacing w:before="60" w:after="60" w:afterLines="0" w:line="312" w:lineRule="auto"/>
        <w:textAlignment w:val="auto"/>
      </w:pPr>
      <w:r>
        <w:t>通过协议解析（‌关键字段提取、加密流量解密）、</w:t>
      </w:r>
      <w:r>
        <w:rPr>
          <w:color w:val="333333"/>
        </w:rPr>
        <w:t>会话关联（会话链路追踪、设备指纹分析）</w:t>
      </w:r>
      <w:r>
        <w:t>等方案</w:t>
      </w:r>
      <w:r>
        <w:t>，实现对用户账号的全面精准识别，为后续分析和监控提供可靠基础。</w:t>
      </w:r>
    </w:p>
    <w:p w14:paraId="7C7A0137">
      <w:pPr>
        <w:pStyle w:val="4"/>
        <w:pageBreakBefore w:val="0"/>
        <w:kinsoku/>
        <w:wordWrap/>
        <w:overflowPunct/>
        <w:topLinePunct w:val="0"/>
        <w:autoSpaceDE/>
        <w:autoSpaceDN/>
        <w:bidi w:val="0"/>
        <w:snapToGrid/>
        <w:spacing w:before="60" w:after="60" w:line="312" w:lineRule="auto"/>
        <w:textAlignment w:val="auto"/>
        <w:rPr>
          <w:rFonts w:ascii="Times New Roman" w:hAnsi="Times New Roman" w:eastAsia="黑体" w:cs="Times New Roman"/>
          <w:sz w:val="24"/>
          <w:szCs w:val="21"/>
        </w:rPr>
      </w:pPr>
      <w:bookmarkStart w:id="37" w:name="_Toc1344666671"/>
      <w:r>
        <w:rPr>
          <w:rFonts w:ascii="Times New Roman" w:hAnsi="Times New Roman" w:eastAsia="黑体" w:cs="Times New Roman"/>
          <w:sz w:val="24"/>
          <w:szCs w:val="21"/>
        </w:rPr>
        <w:t>账号用户智能关联</w:t>
      </w:r>
      <w:bookmarkEnd w:id="37"/>
    </w:p>
    <w:p w14:paraId="03D1864B">
      <w:pPr>
        <w:pStyle w:val="11"/>
        <w:pageBreakBefore w:val="0"/>
        <w:kinsoku/>
        <w:wordWrap/>
        <w:overflowPunct/>
        <w:topLinePunct w:val="0"/>
        <w:autoSpaceDE/>
        <w:autoSpaceDN/>
        <w:bidi w:val="0"/>
        <w:snapToGrid/>
        <w:spacing w:before="60" w:after="60" w:afterLines="0" w:line="312" w:lineRule="auto"/>
        <w:textAlignment w:val="auto"/>
      </w:pPr>
      <w:r>
        <w:t>通过对识别的账号、登录设备及流量特征进行深度分析，系统能够自动化智能关联账号与自然人用户的真实关系。例如，基于设备指纹、IP地址分布、登录时间规律等特征，将同一用户下的多个账号进行精准关联，构建用</w:t>
      </w:r>
      <w:r>
        <w:rPr>
          <w:rFonts w:hint="eastAsia"/>
          <w:lang w:eastAsia="zh-CN"/>
        </w:rPr>
        <w:t>－</w:t>
      </w:r>
      <w:r>
        <w:t>账</w:t>
      </w:r>
      <w:r>
        <w:rPr>
          <w:rFonts w:hint="eastAsia"/>
          <w:lang w:eastAsia="zh-CN"/>
        </w:rPr>
        <w:t>－</w:t>
      </w:r>
      <w:r>
        <w:t>用户IP的关系图谱，提升用户画像的完整性与准确性。</w:t>
      </w:r>
    </w:p>
    <w:p w14:paraId="3F654ADB">
      <w:pPr>
        <w:pStyle w:val="4"/>
        <w:pageBreakBefore w:val="0"/>
        <w:kinsoku/>
        <w:wordWrap/>
        <w:overflowPunct/>
        <w:topLinePunct w:val="0"/>
        <w:autoSpaceDE/>
        <w:autoSpaceDN/>
        <w:bidi w:val="0"/>
        <w:snapToGrid/>
        <w:spacing w:before="60" w:after="60" w:line="312" w:lineRule="auto"/>
        <w:textAlignment w:val="auto"/>
        <w:rPr>
          <w:rFonts w:ascii="Times New Roman" w:hAnsi="Times New Roman" w:eastAsia="黑体" w:cs="Times New Roman"/>
          <w:sz w:val="24"/>
          <w:szCs w:val="21"/>
        </w:rPr>
      </w:pPr>
      <w:bookmarkStart w:id="38" w:name="_Toc1842322116"/>
      <w:r>
        <w:rPr>
          <w:rFonts w:ascii="Times New Roman" w:hAnsi="Times New Roman" w:eastAsia="黑体" w:cs="Times New Roman"/>
          <w:sz w:val="24"/>
          <w:szCs w:val="21"/>
        </w:rPr>
        <w:t>用户画像深度剖析</w:t>
      </w:r>
      <w:bookmarkEnd w:id="38"/>
    </w:p>
    <w:p w14:paraId="153198EC">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pPr>
      <w:r>
        <w:t>借助用户识别技术、数据分析和挖掘等技术，深入开展对用户的行为分析和画像建模工作，构建涵盖用户基础信息、行为特征等多方面的用户画像。主要通过用户标签，进行用户多维数据分析，构建细粒度的用户身份与行为特征标签库，为风险审计和权限管理提供精准画像支撑。以下是具体的标签分类与功能描述：</w:t>
      </w:r>
    </w:p>
    <w:p w14:paraId="07120862">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身份属性标签</w:t>
      </w:r>
      <w:r>
        <w:rPr>
          <w:rFonts w:ascii="Times New Roman" w:hAnsi="Times New Roman" w:eastAsia="宋体" w:cs="Times New Roman"/>
          <w:b w:val="0"/>
          <w:bCs/>
          <w:u w:val="none"/>
        </w:rPr>
        <w:t>：涵盖用户的基本身份信息和账户特性，包括：账号类型（普通用户、管理员、特权账号）、账号状态（创建、变更、停用）、账户来源（内部、外部）、特殊账号（临时账号、离职员工、僵尸账号）等。</w:t>
      </w:r>
    </w:p>
    <w:p w14:paraId="377E99B6">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行为模式标签</w:t>
      </w:r>
      <w:r>
        <w:rPr>
          <w:rFonts w:ascii="Times New Roman" w:hAnsi="Times New Roman" w:eastAsia="宋体" w:cs="Times New Roman"/>
          <w:b w:val="0"/>
          <w:bCs/>
          <w:u w:val="none"/>
        </w:rPr>
        <w:t>：根据用户操作习惯、行为频率以及异常时段的活动等因素进行标记，包括：登录频率、操作模式（高频操作、批量数据下载）、时段特征（非工作时间操作、午夜活跃）等。</w:t>
      </w:r>
    </w:p>
    <w:p w14:paraId="70CEDD7D">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地理与网络环境标签</w:t>
      </w:r>
      <w:r>
        <w:rPr>
          <w:rFonts w:ascii="Times New Roman" w:hAnsi="Times New Roman" w:eastAsia="宋体" w:cs="Times New Roman"/>
          <w:b w:val="0"/>
          <w:bCs/>
          <w:u w:val="none"/>
        </w:rPr>
        <w:t>：反映用户的登录地理位置、网络环境和设备使用情况，包括：异地登录、VPN接入、境外访问、设备类型（企业设备、非企业设备）等。</w:t>
      </w:r>
    </w:p>
    <w:p w14:paraId="70CDD457">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风险评估与合规状态标签</w:t>
      </w:r>
      <w:r>
        <w:rPr>
          <w:rFonts w:ascii="Times New Roman" w:hAnsi="Times New Roman" w:eastAsia="宋体" w:cs="Times New Roman"/>
          <w:b w:val="0"/>
          <w:bCs/>
          <w:u w:val="none"/>
        </w:rPr>
        <w:t>：基于安全规则和合规要求，对用户的风险级别和合规表现进行打分和标记，包括：风险等级、敏感数据访问、未启用多因素认证、违规操作记录等。</w:t>
      </w:r>
      <w:r>
        <w:rPr>
          <w:rFonts w:hint="default" w:ascii="Times New Roman" w:hAnsi="Times New Roman" w:eastAsia="宋体" w:cs="Times New Roman"/>
          <w:b w:val="0"/>
          <w:bCs/>
          <w:u w:val="none"/>
          <w:lang w:eastAsia="zh-CN"/>
        </w:rPr>
        <w:t>……</w:t>
      </w:r>
      <w:r>
        <w:rPr>
          <w:rFonts w:ascii="Times New Roman" w:hAnsi="Times New Roman" w:eastAsia="宋体" w:cs="Times New Roman"/>
          <w:b w:val="0"/>
          <w:bCs/>
          <w:u w:val="none"/>
        </w:rPr>
        <w:t>.</w:t>
      </w:r>
    </w:p>
    <w:p w14:paraId="0A3CC46F">
      <w:pPr>
        <w:pStyle w:val="4"/>
        <w:pageBreakBefore w:val="0"/>
        <w:kinsoku/>
        <w:wordWrap/>
        <w:overflowPunct/>
        <w:topLinePunct w:val="0"/>
        <w:autoSpaceDE/>
        <w:autoSpaceDN/>
        <w:bidi w:val="0"/>
        <w:snapToGrid/>
        <w:spacing w:before="60" w:after="60" w:line="312" w:lineRule="auto"/>
        <w:textAlignment w:val="auto"/>
        <w:rPr>
          <w:rFonts w:ascii="Times New Roman" w:hAnsi="Times New Roman" w:eastAsia="黑体" w:cs="Times New Roman"/>
          <w:sz w:val="24"/>
          <w:szCs w:val="21"/>
        </w:rPr>
      </w:pPr>
      <w:bookmarkStart w:id="39" w:name="_Toc1488581166"/>
      <w:r>
        <w:rPr>
          <w:rFonts w:ascii="Times New Roman" w:hAnsi="Times New Roman" w:eastAsia="黑体" w:cs="Times New Roman"/>
          <w:sz w:val="24"/>
          <w:szCs w:val="21"/>
        </w:rPr>
        <w:t>风险用户实时监控</w:t>
      </w:r>
      <w:bookmarkEnd w:id="39"/>
    </w:p>
    <w:p w14:paraId="01F95AF9">
      <w:pPr>
        <w:pageBreakBefore w:val="0"/>
        <w:kinsoku/>
        <w:wordWrap/>
        <w:overflowPunct/>
        <w:topLinePunct w:val="0"/>
        <w:autoSpaceDE/>
        <w:autoSpaceDN/>
        <w:bidi w:val="0"/>
        <w:snapToGrid/>
        <w:spacing w:before="60" w:after="60" w:line="312" w:lineRule="auto"/>
        <w:ind w:left="0"/>
        <w:textAlignment w:val="auto"/>
        <w:rPr>
          <w:sz w:val="24"/>
          <w:szCs w:val="32"/>
        </w:rPr>
      </w:pPr>
      <w:r>
        <w:rPr>
          <w:sz w:val="24"/>
          <w:szCs w:val="32"/>
        </w:rPr>
        <w:tab/>
      </w:r>
      <w:r>
        <w:rPr>
          <w:sz w:val="24"/>
          <w:szCs w:val="32"/>
        </w:rPr>
        <w:t>基于石犀平台完善的风险/弱点功能，对用户与账号进行实时风险评估与异常预警。通过多维度数据分析，石犀系统能够快速识别潜在风险用户或异常账号，并采取相应的防控措施。</w:t>
      </w:r>
    </w:p>
    <w:p w14:paraId="7C93B227">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账号安全评估</w:t>
      </w:r>
      <w:r>
        <w:rPr>
          <w:rFonts w:ascii="Times New Roman" w:hAnsi="Times New Roman" w:eastAsia="宋体" w:cs="Times New Roman"/>
          <w:b w:val="0"/>
          <w:bCs/>
          <w:u w:val="none"/>
        </w:rPr>
        <w:t>：对账号的安全状态进行全面评估，识别高风险账号并进行实时预警，包括：弱密码检测、账号权限异常、账号状态异常等。</w:t>
      </w:r>
    </w:p>
    <w:p w14:paraId="1B4999EC">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行为异常监测</w:t>
      </w:r>
      <w:r>
        <w:rPr>
          <w:rFonts w:ascii="Times New Roman" w:hAnsi="Times New Roman" w:eastAsia="宋体" w:cs="Times New Roman"/>
          <w:b w:val="0"/>
          <w:bCs/>
          <w:u w:val="none"/>
        </w:rPr>
        <w:t>：实时分析用户的操作行为，结合用户画像和历史行为数据，识别潜在的异常行为模式，包括：登录行为异常（异地登录、频繁登录失败）、操作行为异常（操作频率异常、操作路径异常）等。</w:t>
      </w:r>
    </w:p>
    <w:p w14:paraId="4134B531">
      <w:pPr>
        <w:pStyle w:val="4"/>
        <w:pageBreakBefore w:val="0"/>
        <w:kinsoku/>
        <w:wordWrap/>
        <w:overflowPunct/>
        <w:topLinePunct w:val="0"/>
        <w:autoSpaceDE/>
        <w:autoSpaceDN/>
        <w:bidi w:val="0"/>
        <w:snapToGrid/>
        <w:spacing w:before="60" w:after="60" w:line="312" w:lineRule="auto"/>
        <w:textAlignment w:val="auto"/>
        <w:rPr>
          <w:rFonts w:ascii="Times New Roman" w:hAnsi="Times New Roman" w:eastAsia="黑体" w:cs="Times New Roman"/>
          <w:sz w:val="24"/>
          <w:szCs w:val="21"/>
        </w:rPr>
      </w:pPr>
      <w:bookmarkStart w:id="40" w:name="_Toc399169412"/>
      <w:r>
        <w:rPr>
          <w:rFonts w:ascii="Times New Roman" w:hAnsi="Times New Roman" w:eastAsia="黑体" w:cs="Times New Roman"/>
          <w:sz w:val="24"/>
          <w:szCs w:val="21"/>
        </w:rPr>
        <w:t>用户行为精准溯源</w:t>
      </w:r>
      <w:bookmarkEnd w:id="40"/>
    </w:p>
    <w:p w14:paraId="5C876244">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pPr>
      <w:r>
        <w:rPr>
          <w:color w:val="000000"/>
        </w:rPr>
        <w:t>基于全链路日志采集与存储技术，支持用户行为的完整追溯与根因分析。基于日志检索与可视化分析工具，可快速还原事件时间线，定位异常操作源头（如数据泄露、违规访问），满足合规审计与责任追溯需求。用户行为溯源功能深度结合业务场景与安全规则，支持从行为触发到影响评估的全周期管控，既助力企业快速响应安全事件、降低风险损失，又为内部风控与外部监管提供高可信度数据支撑，实现“行为留痕、风险可控、责任可溯”的一体化管理目标。</w:t>
      </w:r>
    </w:p>
    <w:p w14:paraId="69D8ED86">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41" w:name="_Toc101394256"/>
      <w:bookmarkStart w:id="42" w:name="_Toc585115637"/>
      <w:r>
        <w:t>全量报告智能总结</w:t>
      </w:r>
      <w:bookmarkEnd w:id="41"/>
      <w:bookmarkEnd w:id="42"/>
    </w:p>
    <w:p w14:paraId="6E0C47C4">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b w:val="0"/>
          <w:i w:val="0"/>
          <w:strike w:val="0"/>
          <w:u w:val="none"/>
        </w:rPr>
      </w:pPr>
      <w:r>
        <w:rPr>
          <w:b w:val="0"/>
          <w:i w:val="0"/>
          <w:strike w:val="0"/>
          <w:u w:val="none"/>
        </w:rPr>
        <w:t>全量报告智能总结是石犀平台的关键能力之一，通过自动化、智能化的报告生成体系，将分散的模块数据转化为覆盖治理全场景的决策洞察。该功能支持用户自定义报告任务生成周期、生成内容及数据覆盖范围，深度融合资产、用户、安全、运维四大核心领域下16+细分子模块的基础数据，通过内置算法，将海量无序数据输出为结构化、可视化的报告与智能建议，显著提升数据治理的时效性与决策精准度，为企业提供持续优化数据治理体系的战略指南，帮助用户在合规、安全、效率等多重目标间实现动态平衡。</w:t>
      </w:r>
    </w:p>
    <w:p w14:paraId="157546C2">
      <w:pPr>
        <w:pStyle w:val="4"/>
        <w:pageBreakBefore w:val="0"/>
        <w:kinsoku/>
        <w:wordWrap/>
        <w:overflowPunct/>
        <w:topLinePunct w:val="0"/>
        <w:autoSpaceDE/>
        <w:autoSpaceDN/>
        <w:bidi w:val="0"/>
        <w:snapToGrid/>
        <w:spacing w:before="60" w:after="60" w:line="312" w:lineRule="auto"/>
        <w:textAlignment w:val="auto"/>
        <w:rPr>
          <w:rFonts w:ascii="Times New Roman" w:hAnsi="Times New Roman" w:eastAsia="黑体" w:cs="Times New Roman"/>
          <w:sz w:val="24"/>
          <w:szCs w:val="21"/>
        </w:rPr>
      </w:pPr>
      <w:bookmarkStart w:id="43" w:name="_Toc1178728521"/>
      <w:r>
        <w:rPr>
          <w:rFonts w:ascii="Times New Roman" w:hAnsi="Times New Roman" w:eastAsia="黑体" w:cs="Times New Roman"/>
          <w:sz w:val="24"/>
          <w:szCs w:val="21"/>
        </w:rPr>
        <w:t>灵活定义报告任务，精准锚定治理目标</w:t>
      </w:r>
      <w:bookmarkEnd w:id="43"/>
    </w:p>
    <w:p w14:paraId="66BF20E9">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pPr>
      <w:r>
        <w:rPr>
          <w:b w:val="0"/>
          <w:i w:val="0"/>
          <w:strike w:val="0"/>
          <w:u w:val="none"/>
        </w:rPr>
        <w:t>石犀平台赋予用户高度自主性，支持用户基于具体业务场景及精细化治理需求，灵活配置报告任务，包括资产分析、用户分析、安全分析、运维分析等维度</w:t>
      </w:r>
      <w:r>
        <w:rPr>
          <w:rFonts w:hint="eastAsia"/>
          <w:b w:val="0"/>
          <w:i w:val="0"/>
          <w:strike w:val="0"/>
          <w:u w:val="none"/>
          <w:lang w:val="en-US" w:eastAsia="zh-CN"/>
        </w:rPr>
        <w:t>等</w:t>
      </w:r>
      <w:r>
        <w:rPr>
          <w:b w:val="0"/>
          <w:i w:val="0"/>
          <w:strike w:val="0"/>
          <w:u w:val="none"/>
        </w:rPr>
        <w:t>16+细分子模块选择、数据统计范围选择及报告生成频率选择，从而构建起模块化、周期化的资源监测体系，使用户聚焦关键业务模块，构建专属监测看板，精准锚定治理目标，提升治理效率。</w:t>
      </w:r>
    </w:p>
    <w:p w14:paraId="017616DF">
      <w:pPr>
        <w:pStyle w:val="4"/>
        <w:pageBreakBefore w:val="0"/>
        <w:kinsoku/>
        <w:wordWrap/>
        <w:overflowPunct/>
        <w:topLinePunct w:val="0"/>
        <w:autoSpaceDE/>
        <w:autoSpaceDN/>
        <w:bidi w:val="0"/>
        <w:snapToGrid/>
        <w:spacing w:before="60" w:after="60" w:line="312" w:lineRule="auto"/>
        <w:textAlignment w:val="auto"/>
        <w:rPr>
          <w:rFonts w:ascii="Times New Roman" w:hAnsi="Times New Roman" w:eastAsia="黑体" w:cs="Times New Roman"/>
          <w:sz w:val="24"/>
          <w:szCs w:val="21"/>
        </w:rPr>
      </w:pPr>
      <w:bookmarkStart w:id="44" w:name="_Toc353608872"/>
      <w:r>
        <w:rPr>
          <w:rFonts w:ascii="Times New Roman" w:hAnsi="Times New Roman" w:eastAsia="黑体" w:cs="Times New Roman"/>
          <w:sz w:val="24"/>
          <w:szCs w:val="21"/>
        </w:rPr>
        <w:t>智绘资源及安全运维图鉴</w:t>
      </w:r>
      <w:bookmarkEnd w:id="44"/>
    </w:p>
    <w:p w14:paraId="3B20449B">
      <w:pPr>
        <w:pageBreakBefore w:val="0"/>
        <w:pBdr>
          <w:bottom w:val="none" w:color="auto" w:sz="0" w:space="0"/>
        </w:pBdr>
        <w:kinsoku/>
        <w:wordWrap/>
        <w:overflowPunct/>
        <w:topLinePunct w:val="0"/>
        <w:autoSpaceDE/>
        <w:autoSpaceDN/>
        <w:bidi w:val="0"/>
        <w:snapToGrid/>
        <w:spacing w:before="60" w:after="60" w:line="312" w:lineRule="auto"/>
        <w:ind w:left="0"/>
        <w:textAlignment w:val="auto"/>
        <w:rPr>
          <w:sz w:val="24"/>
          <w:szCs w:val="32"/>
        </w:rPr>
      </w:pPr>
      <w:r>
        <w:rPr>
          <w:sz w:val="24"/>
          <w:szCs w:val="32"/>
        </w:rPr>
        <w:tab/>
      </w:r>
      <w:r>
        <w:rPr>
          <w:sz w:val="24"/>
          <w:szCs w:val="32"/>
        </w:rPr>
        <w:t>石犀系统聚焦核心模块，依托全局数据流动，结合预置算法，将海量原始数据转化为结构化、可视化分析结果，从多维度构建数据治理图谱，突出全局资源状态及风险信息，主要包括以下方面：</w:t>
      </w:r>
    </w:p>
    <w:p w14:paraId="76878AD1">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i w:val="0"/>
          <w:strike w:val="0"/>
          <w:u w:val="none"/>
        </w:rPr>
        <w:t>资产分析</w:t>
      </w:r>
      <w:r>
        <w:rPr>
          <w:rFonts w:ascii="Times New Roman" w:hAnsi="Times New Roman" w:eastAsia="宋体" w:cs="Times New Roman"/>
          <w:b w:val="0"/>
          <w:bCs/>
          <w:i w:val="0"/>
          <w:strike w:val="0"/>
          <w:u w:val="none"/>
        </w:rPr>
        <w:t>：从应用、API、文件、数据等维度绘制资产分布与使用热力图，识别高价值资产与潜在闲置资源、风险资源，便于用户掌握资产信息及状态。</w:t>
      </w:r>
    </w:p>
    <w:p w14:paraId="611517BC">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i w:val="0"/>
          <w:strike w:val="0"/>
          <w:u w:val="none"/>
        </w:rPr>
        <w:t>用户分析</w:t>
      </w:r>
      <w:r>
        <w:rPr>
          <w:rFonts w:ascii="Times New Roman" w:hAnsi="Times New Roman" w:eastAsia="宋体" w:cs="Times New Roman"/>
          <w:b w:val="0"/>
          <w:bCs/>
          <w:i w:val="0"/>
          <w:strike w:val="0"/>
          <w:u w:val="none"/>
        </w:rPr>
        <w:t>：通过多维度画像追踪账号行为、IP轨迹及权限动态，输出用户访问状态及潜在风险状况。</w:t>
      </w:r>
    </w:p>
    <w:p w14:paraId="59C93B57">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i w:val="0"/>
          <w:strike w:val="0"/>
          <w:u w:val="none"/>
        </w:rPr>
        <w:t>安全分析</w:t>
      </w:r>
      <w:r>
        <w:rPr>
          <w:rFonts w:ascii="Times New Roman" w:hAnsi="Times New Roman" w:eastAsia="宋体" w:cs="Times New Roman"/>
          <w:b w:val="0"/>
          <w:bCs/>
          <w:i w:val="0"/>
          <w:strike w:val="0"/>
          <w:u w:val="none"/>
        </w:rPr>
        <w:t>：依托风险识别策略，实时监测资产潜在风险，自身弱点状况，根据统计结果生成风险量化评估及治理优先级指引。</w:t>
      </w:r>
    </w:p>
    <w:p w14:paraId="4686336F">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highlight w:val="lightGray"/>
          <w:u w:val="none"/>
        </w:rPr>
      </w:pPr>
      <w:r>
        <w:rPr>
          <w:rFonts w:ascii="Times New Roman" w:hAnsi="Times New Roman" w:eastAsia="宋体" w:cs="Times New Roman"/>
          <w:b/>
          <w:bCs w:val="0"/>
          <w:i w:val="0"/>
          <w:strike w:val="0"/>
          <w:highlight w:val="lightGray"/>
          <w:u w:val="none"/>
        </w:rPr>
        <w:t>运维分析</w:t>
      </w:r>
      <w:r>
        <w:rPr>
          <w:rFonts w:ascii="Times New Roman" w:hAnsi="Times New Roman" w:eastAsia="宋体" w:cs="Times New Roman"/>
          <w:b w:val="0"/>
          <w:bCs/>
          <w:i w:val="0"/>
          <w:strike w:val="0"/>
          <w:highlight w:val="lightGray"/>
          <w:u w:val="none"/>
        </w:rPr>
        <w:t>：聚焦设备状态、网络流量与应用性能的关联分析，通过异常模式识别预测潜在故障点，并为用户生成运维优化建议。</w:t>
      </w:r>
    </w:p>
    <w:p w14:paraId="5607A142">
      <w:pPr>
        <w:pStyle w:val="4"/>
        <w:pageBreakBefore w:val="0"/>
        <w:kinsoku/>
        <w:wordWrap/>
        <w:overflowPunct/>
        <w:topLinePunct w:val="0"/>
        <w:autoSpaceDE/>
        <w:autoSpaceDN/>
        <w:bidi w:val="0"/>
        <w:snapToGrid/>
        <w:spacing w:before="60" w:after="60" w:line="312" w:lineRule="auto"/>
        <w:textAlignment w:val="auto"/>
        <w:rPr>
          <w:rFonts w:ascii="Times New Roman" w:hAnsi="Times New Roman" w:eastAsia="黑体" w:cs="Times New Roman"/>
          <w:sz w:val="24"/>
          <w:szCs w:val="21"/>
        </w:rPr>
      </w:pPr>
      <w:bookmarkStart w:id="45" w:name="_Toc1017060455"/>
      <w:r>
        <w:rPr>
          <w:rFonts w:ascii="Times New Roman" w:hAnsi="Times New Roman" w:eastAsia="黑体" w:cs="Times New Roman"/>
          <w:sz w:val="24"/>
          <w:szCs w:val="21"/>
        </w:rPr>
        <w:t>智能辅助决策，驱动业务赋能</w:t>
      </w:r>
      <w:bookmarkEnd w:id="45"/>
    </w:p>
    <w:p w14:paraId="252F3A05">
      <w:pPr>
        <w:pStyle w:val="11"/>
        <w:pageBreakBefore w:val="0"/>
        <w:kinsoku/>
        <w:wordWrap/>
        <w:overflowPunct/>
        <w:topLinePunct w:val="0"/>
        <w:autoSpaceDE/>
        <w:autoSpaceDN/>
        <w:bidi w:val="0"/>
        <w:snapToGrid/>
        <w:spacing w:before="60" w:after="60" w:afterLines="0" w:line="312" w:lineRule="auto"/>
        <w:textAlignment w:val="auto"/>
        <w:rPr>
          <w:b w:val="0"/>
          <w:i w:val="0"/>
          <w:strike w:val="0"/>
          <w:u w:val="none"/>
        </w:rPr>
      </w:pPr>
      <w:r>
        <w:rPr>
          <w:b w:val="0"/>
          <w:i w:val="0"/>
          <w:strike w:val="0"/>
          <w:u w:val="none"/>
        </w:rPr>
        <w:t>全量报告智能总结通过“模块精准优化+全局策略推演”两级智能分析，将数据洞察转化为可执行的运营行动。针对资产、用户、安全、运维等独立模块，石犀系统基于实时数据分析生成定制建议；在全局层面，聚焦系统异常、风险、弱点信息，输出整体防护治理建议，助力</w:t>
      </w:r>
      <w:r>
        <w:rPr>
          <w:rFonts w:hint="eastAsia"/>
          <w:b w:val="0"/>
          <w:i w:val="0"/>
          <w:strike w:val="0"/>
          <w:u w:val="none"/>
          <w:lang w:eastAsia="zh-CN"/>
        </w:rPr>
        <w:t>企业</w:t>
      </w:r>
      <w:r>
        <w:rPr>
          <w:b w:val="0"/>
          <w:i w:val="0"/>
          <w:strike w:val="0"/>
          <w:color w:val="060607"/>
          <w:u w:val="none"/>
        </w:rPr>
        <w:t>从细节到整体，全面优化业务流程，提升运营效率与竞争力</w:t>
      </w:r>
      <w:r>
        <w:rPr>
          <w:b w:val="0"/>
          <w:i w:val="0"/>
          <w:strike w:val="0"/>
          <w:u w:val="none"/>
        </w:rPr>
        <w:t>。</w:t>
      </w:r>
    </w:p>
    <w:p w14:paraId="1067E946">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46" w:name="_Toc1912720712"/>
      <w:bookmarkStart w:id="47" w:name="_Toc710891446"/>
      <w:r>
        <w:t>全域数据精准溯源</w:t>
      </w:r>
      <w:bookmarkEnd w:id="46"/>
      <w:bookmarkEnd w:id="47"/>
    </w:p>
    <w:p w14:paraId="1DCA3655">
      <w:pPr>
        <w:pStyle w:val="11"/>
        <w:pageBreakBefore w:val="0"/>
        <w:kinsoku/>
        <w:wordWrap/>
        <w:overflowPunct/>
        <w:topLinePunct w:val="0"/>
        <w:autoSpaceDE/>
        <w:autoSpaceDN/>
        <w:bidi w:val="0"/>
        <w:snapToGrid/>
        <w:spacing w:before="60" w:after="60" w:afterLines="0" w:line="312" w:lineRule="auto"/>
        <w:textAlignment w:val="auto"/>
        <w:rPr>
          <w:b w:val="0"/>
          <w:i w:val="0"/>
          <w:strike w:val="0"/>
          <w:u w:val="none"/>
        </w:rPr>
      </w:pPr>
      <w:r>
        <w:rPr>
          <w:b w:val="0"/>
          <w:i w:val="0"/>
          <w:strike w:val="0"/>
          <w:u w:val="none"/>
        </w:rPr>
        <w:t>石犀平台聚焦数据流动全场景、全链路追踪，覆盖内网交互、跨境传输等复杂场景，通过动态解析数据流动路径、精准识别风险节点，实现“数据从哪来、到哪去、如何用”的透明化管理，为企业提供数据安全合规与数据溯源的全局视角，功能亮点包括：</w:t>
      </w:r>
    </w:p>
    <w:p w14:paraId="2F9C7EA3">
      <w:pPr>
        <w:pStyle w:val="4"/>
        <w:pageBreakBefore w:val="0"/>
        <w:kinsoku/>
        <w:wordWrap/>
        <w:overflowPunct/>
        <w:topLinePunct w:val="0"/>
        <w:autoSpaceDE/>
        <w:autoSpaceDN/>
        <w:bidi w:val="0"/>
        <w:snapToGrid/>
        <w:spacing w:before="60" w:after="60" w:line="312" w:lineRule="auto"/>
        <w:textAlignment w:val="auto"/>
        <w:rPr>
          <w:rFonts w:ascii="Times New Roman" w:hAnsi="Times New Roman" w:eastAsia="黑体" w:cs="Times New Roman"/>
          <w:sz w:val="24"/>
          <w:szCs w:val="21"/>
        </w:rPr>
      </w:pPr>
      <w:bookmarkStart w:id="48" w:name="_Toc1414294641"/>
      <w:r>
        <w:rPr>
          <w:rFonts w:ascii="Times New Roman" w:hAnsi="Times New Roman" w:eastAsia="黑体" w:cs="Times New Roman"/>
          <w:sz w:val="24"/>
          <w:szCs w:val="21"/>
        </w:rPr>
        <w:t>多源日志集中管理，夯实一站式溯源基础</w:t>
      </w:r>
      <w:bookmarkEnd w:id="48"/>
    </w:p>
    <w:p w14:paraId="0731A854">
      <w:pPr>
        <w:pStyle w:val="11"/>
        <w:pageBreakBefore w:val="0"/>
        <w:kinsoku/>
        <w:wordWrap/>
        <w:overflowPunct/>
        <w:topLinePunct w:val="0"/>
        <w:autoSpaceDE/>
        <w:autoSpaceDN/>
        <w:bidi w:val="0"/>
        <w:snapToGrid/>
        <w:spacing w:before="60" w:after="60" w:afterLines="0" w:line="312" w:lineRule="auto"/>
        <w:textAlignment w:val="auto"/>
        <w:rPr>
          <w:b w:val="0"/>
          <w:i w:val="0"/>
          <w:strike w:val="0"/>
          <w:u w:val="none"/>
        </w:rPr>
      </w:pPr>
      <w:r>
        <w:rPr>
          <w:b w:val="0"/>
          <w:i w:val="0"/>
          <w:strike w:val="0"/>
          <w:u w:val="none"/>
        </w:rPr>
        <w:t>平台整合多维度日志数据，涵盖应用、API、数据、用户、账号等访问行为日志，同时融入安全日志、审计日志、ACL日志、WAF日志等多种插件日志。凭借高效的数据融合与管理能力，构建统一的日志管理平台，为溯源分析筑牢坚实基础。</w:t>
      </w:r>
    </w:p>
    <w:p w14:paraId="565E25CA">
      <w:pPr>
        <w:pStyle w:val="11"/>
        <w:pageBreakBefore w:val="0"/>
        <w:kinsoku/>
        <w:wordWrap/>
        <w:overflowPunct/>
        <w:topLinePunct w:val="0"/>
        <w:autoSpaceDE/>
        <w:autoSpaceDN/>
        <w:bidi w:val="0"/>
        <w:snapToGrid/>
        <w:spacing w:before="60" w:after="60" w:afterLines="0" w:line="312" w:lineRule="auto"/>
        <w:textAlignment w:val="auto"/>
        <w:rPr>
          <w:b/>
          <w:i w:val="0"/>
          <w:strike w:val="0"/>
          <w:color w:val="000000"/>
          <w:u w:val="none"/>
        </w:rPr>
      </w:pPr>
      <w:r>
        <w:rPr>
          <w:b/>
          <w:i w:val="0"/>
          <w:strike w:val="0"/>
          <w:color w:val="000000"/>
          <w:u w:val="none"/>
        </w:rPr>
        <w:t>多手段高效锁定泄露位置，快速还原泄密路径</w:t>
      </w:r>
    </w:p>
    <w:p w14:paraId="03E55014">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i w:val="0"/>
          <w:strike w:val="0"/>
          <w:u w:val="none"/>
        </w:rPr>
      </w:pPr>
      <w:r>
        <w:rPr>
          <w:rFonts w:ascii="Times New Roman" w:hAnsi="Times New Roman" w:eastAsia="宋体" w:cs="Times New Roman"/>
          <w:b/>
          <w:bCs w:val="0"/>
          <w:i w:val="0"/>
          <w:strike w:val="0"/>
          <w:u w:val="none"/>
        </w:rPr>
        <w:t>数据溯源</w:t>
      </w:r>
      <w:r>
        <w:rPr>
          <w:rFonts w:ascii="Times New Roman" w:hAnsi="Times New Roman" w:eastAsia="宋体" w:cs="Times New Roman"/>
          <w:b w:val="0"/>
          <w:bCs/>
          <w:i w:val="0"/>
          <w:strike w:val="0"/>
          <w:u w:val="none"/>
        </w:rPr>
        <w:t>：运用</w:t>
      </w:r>
      <w:r>
        <w:rPr>
          <w:rFonts w:ascii="Times New Roman" w:hAnsi="Times New Roman" w:eastAsia="宋体" w:cs="Times New Roman"/>
          <w:b w:val="0"/>
          <w:bCs/>
          <w:i w:val="0"/>
          <w:strike w:val="0"/>
          <w:u w:val="none"/>
        </w:rPr>
        <w:t>深度检索技术，针对已泄露的数据或者数据集，平台可精确追溯泄露源头，快速还原泄露路径，为后续的调查、追踪和防范措施提供明确的方向和依据。</w:t>
      </w:r>
    </w:p>
    <w:p w14:paraId="4E8C5946">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i w:val="0"/>
          <w:strike w:val="0"/>
          <w:u w:val="none"/>
        </w:rPr>
      </w:pPr>
      <w:r>
        <w:rPr>
          <w:rFonts w:ascii="Times New Roman" w:hAnsi="Times New Roman" w:eastAsia="宋体" w:cs="Times New Roman"/>
          <w:b/>
          <w:bCs w:val="0"/>
          <w:i w:val="0"/>
          <w:strike w:val="0"/>
          <w:u w:val="none"/>
        </w:rPr>
        <w:t>文件溯源</w:t>
      </w:r>
      <w:r>
        <w:rPr>
          <w:rFonts w:ascii="Times New Roman" w:hAnsi="Times New Roman" w:eastAsia="宋体" w:cs="Times New Roman"/>
          <w:b w:val="0"/>
          <w:bCs/>
          <w:i w:val="0"/>
          <w:strike w:val="0"/>
          <w:u w:val="none"/>
        </w:rPr>
        <w:t>：依托机器学习算法，平台可通过文件相似度分析快速锁定泄露文件，并精准定位泄露位置及传播路径，帮助企业及时发现并控制文件</w:t>
      </w:r>
      <w:r>
        <w:rPr>
          <w:rFonts w:hint="default" w:ascii="Times New Roman" w:hAnsi="Times New Roman" w:eastAsia="宋体" w:cs="Times New Roman"/>
          <w:b w:val="0"/>
          <w:bCs/>
          <w:i w:val="0"/>
          <w:strike w:val="0"/>
          <w:u w:val="none"/>
          <w:lang w:eastAsia="zh-CN"/>
        </w:rPr>
        <w:t>泄露风险</w:t>
      </w:r>
      <w:r>
        <w:rPr>
          <w:rFonts w:ascii="Times New Roman" w:hAnsi="Times New Roman" w:eastAsia="宋体" w:cs="Times New Roman"/>
          <w:b w:val="0"/>
          <w:bCs/>
          <w:i w:val="0"/>
          <w:strike w:val="0"/>
          <w:u w:val="none"/>
        </w:rPr>
        <w:t>，防止敏感信息进一步扩散。</w:t>
      </w:r>
    </w:p>
    <w:p w14:paraId="4D279048">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i w:val="0"/>
          <w:strike w:val="0"/>
          <w:u w:val="none"/>
        </w:rPr>
      </w:pPr>
      <w:r>
        <w:rPr>
          <w:rFonts w:ascii="Times New Roman" w:hAnsi="Times New Roman" w:eastAsia="宋体" w:cs="Times New Roman"/>
          <w:b/>
          <w:bCs w:val="0"/>
          <w:i w:val="0"/>
          <w:strike w:val="0"/>
          <w:u w:val="none"/>
        </w:rPr>
        <w:t>事件溯源</w:t>
      </w:r>
      <w:r>
        <w:rPr>
          <w:rFonts w:ascii="Times New Roman" w:hAnsi="Times New Roman" w:eastAsia="宋体" w:cs="Times New Roman"/>
          <w:b w:val="0"/>
          <w:bCs/>
          <w:i w:val="0"/>
          <w:strike w:val="0"/>
          <w:u w:val="none"/>
        </w:rPr>
        <w:t>：</w:t>
      </w:r>
      <w:r>
        <w:rPr>
          <w:rFonts w:ascii="Times New Roman" w:hAnsi="Times New Roman" w:eastAsia="宋体" w:cs="Times New Roman"/>
          <w:b w:val="0"/>
          <w:bCs/>
          <w:i w:val="0"/>
          <w:strike w:val="0"/>
          <w:u w:val="none"/>
        </w:rPr>
        <w:t>平台实时监测应用、API、用户、账号等的异常行为，及时捕捉数据</w:t>
      </w:r>
      <w:r>
        <w:rPr>
          <w:rFonts w:hint="default" w:ascii="Times New Roman" w:hAnsi="Times New Roman" w:eastAsia="宋体" w:cs="Times New Roman"/>
          <w:b w:val="0"/>
          <w:bCs/>
          <w:i w:val="0"/>
          <w:strike w:val="0"/>
          <w:u w:val="none"/>
          <w:lang w:eastAsia="zh-CN"/>
        </w:rPr>
        <w:t>泄露风险</w:t>
      </w:r>
      <w:r>
        <w:rPr>
          <w:rFonts w:ascii="Times New Roman" w:hAnsi="Times New Roman" w:eastAsia="宋体" w:cs="Times New Roman"/>
          <w:b w:val="0"/>
          <w:bCs/>
          <w:i w:val="0"/>
          <w:strike w:val="0"/>
          <w:u w:val="none"/>
        </w:rPr>
        <w:t>并生成安全事件。用户基于安全事件可一键跳转至溯源模块，快速精准锁定数据泄露点。</w:t>
      </w:r>
    </w:p>
    <w:p w14:paraId="0FBBF2D3">
      <w:pPr>
        <w:pStyle w:val="4"/>
        <w:pageBreakBefore w:val="0"/>
        <w:kinsoku/>
        <w:wordWrap/>
        <w:overflowPunct/>
        <w:topLinePunct w:val="0"/>
        <w:autoSpaceDE/>
        <w:autoSpaceDN/>
        <w:bidi w:val="0"/>
        <w:snapToGrid/>
        <w:spacing w:before="60" w:after="60" w:line="312" w:lineRule="auto"/>
        <w:textAlignment w:val="auto"/>
        <w:rPr>
          <w:rFonts w:ascii="Times New Roman" w:hAnsi="Times New Roman" w:eastAsia="黑体" w:cs="Times New Roman"/>
          <w:sz w:val="24"/>
          <w:szCs w:val="21"/>
        </w:rPr>
      </w:pPr>
      <w:bookmarkStart w:id="49" w:name="_Toc1701026291"/>
      <w:r>
        <w:rPr>
          <w:rFonts w:ascii="Times New Roman" w:hAnsi="Times New Roman" w:eastAsia="黑体" w:cs="Times New Roman"/>
          <w:sz w:val="24"/>
          <w:szCs w:val="21"/>
        </w:rPr>
        <w:t>行为链路可视化，精准追溯数据流向</w:t>
      </w:r>
      <w:bookmarkEnd w:id="49"/>
    </w:p>
    <w:p w14:paraId="67BD0B69">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b w:val="0"/>
          <w:i w:val="0"/>
          <w:strike w:val="0"/>
          <w:u w:val="none"/>
        </w:rPr>
      </w:pPr>
      <w:r>
        <w:rPr>
          <w:b w:val="0"/>
          <w:i w:val="0"/>
          <w:strike w:val="0"/>
          <w:u w:val="none"/>
        </w:rPr>
        <w:t>平台支持行为链路可视化分析，通过逐级追溯数据流动路径，精准复现泄密全流程，助力企业快速识别数据违规操作，精准定位安全防御薄弱点，为后续防护策略优化提供数据支撑和决策依据。</w:t>
      </w:r>
    </w:p>
    <w:p w14:paraId="0E6D7B23">
      <w:pPr>
        <w:pStyle w:val="4"/>
        <w:pageBreakBefore w:val="0"/>
        <w:kinsoku/>
        <w:wordWrap/>
        <w:overflowPunct/>
        <w:topLinePunct w:val="0"/>
        <w:autoSpaceDE/>
        <w:autoSpaceDN/>
        <w:bidi w:val="0"/>
        <w:snapToGrid/>
        <w:spacing w:before="60" w:after="60" w:line="312" w:lineRule="auto"/>
        <w:textAlignment w:val="auto"/>
        <w:rPr>
          <w:rFonts w:ascii="Times New Roman" w:hAnsi="Times New Roman" w:eastAsia="黑体" w:cs="Times New Roman"/>
          <w:sz w:val="24"/>
          <w:szCs w:val="21"/>
        </w:rPr>
      </w:pPr>
      <w:bookmarkStart w:id="50" w:name="_Toc1846563973"/>
      <w:r>
        <w:rPr>
          <w:rFonts w:ascii="Times New Roman" w:hAnsi="Times New Roman" w:eastAsia="黑体" w:cs="Times New Roman"/>
          <w:sz w:val="24"/>
          <w:szCs w:val="21"/>
        </w:rPr>
        <w:t>全量日志深度检索，助力深入调查分析</w:t>
      </w:r>
      <w:bookmarkEnd w:id="50"/>
    </w:p>
    <w:p w14:paraId="1E9F724D">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b w:val="0"/>
          <w:i w:val="0"/>
          <w:strike w:val="0"/>
          <w:u w:val="none"/>
        </w:rPr>
      </w:pPr>
      <w:r>
        <w:rPr>
          <w:b w:val="0"/>
          <w:i w:val="0"/>
          <w:strike w:val="0"/>
          <w:u w:val="none"/>
        </w:rPr>
        <w:t>平台搭载领先的全量日志深度检索引擎，提供强大的信息筛选能力。用户可</w:t>
      </w:r>
      <w:r>
        <w:rPr>
          <w:i w:val="0"/>
          <w:strike w:val="0"/>
          <w:color w:val="000000"/>
          <w:u w:val="none"/>
        </w:rPr>
        <w:t>基于多维检索条件</w:t>
      </w:r>
      <w:r>
        <w:rPr>
          <w:b w:val="0"/>
          <w:i w:val="0"/>
          <w:strike w:val="0"/>
          <w:u w:val="none"/>
        </w:rPr>
        <w:t>，快速定位关键信息。同时，平台提供数据流动趋势分析、集中度分析等可视化能力，协助用户捕捉潜在风险点，提升溯源分析的精准度与实用性，帮助企业更高效地进行安全调查与事件分析。</w:t>
      </w:r>
    </w:p>
    <w:p w14:paraId="4F9EDE82">
      <w:pPr>
        <w:pStyle w:val="4"/>
        <w:pageBreakBefore w:val="0"/>
        <w:kinsoku/>
        <w:wordWrap/>
        <w:overflowPunct/>
        <w:topLinePunct w:val="0"/>
        <w:autoSpaceDE/>
        <w:autoSpaceDN/>
        <w:bidi w:val="0"/>
        <w:snapToGrid/>
        <w:spacing w:before="60" w:after="60" w:line="312" w:lineRule="auto"/>
        <w:textAlignment w:val="auto"/>
        <w:rPr>
          <w:rFonts w:ascii="Times New Roman" w:hAnsi="Times New Roman" w:eastAsia="黑体" w:cs="Times New Roman"/>
          <w:sz w:val="24"/>
          <w:szCs w:val="21"/>
        </w:rPr>
      </w:pPr>
      <w:bookmarkStart w:id="51" w:name="_Toc1914511414"/>
      <w:r>
        <w:rPr>
          <w:rFonts w:ascii="Times New Roman" w:hAnsi="Times New Roman" w:eastAsia="黑体" w:cs="Times New Roman"/>
          <w:sz w:val="24"/>
          <w:szCs w:val="21"/>
        </w:rPr>
        <w:t>溯源报告可视化，协助安全策略调优</w:t>
      </w:r>
      <w:bookmarkEnd w:id="51"/>
    </w:p>
    <w:p w14:paraId="35527379">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b w:val="0"/>
          <w:i w:val="0"/>
          <w:strike w:val="0"/>
          <w:u w:val="none"/>
        </w:rPr>
      </w:pPr>
      <w:r>
        <w:rPr>
          <w:b w:val="0"/>
          <w:i w:val="0"/>
          <w:strike w:val="0"/>
          <w:u w:val="none"/>
        </w:rPr>
        <w:t>系统自动生成直观易懂的可视化溯源分析报告，清晰呈现分析链路中的薄弱环节，并给出专业整改建议。这些报告不仅可以供内部团队参考，也适用于外部审计和合规检查，确保数据安全管理的合规性与透明度。</w:t>
      </w:r>
    </w:p>
    <w:p w14:paraId="40547AA4">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52" w:name="_Toc1445852097"/>
      <w:bookmarkStart w:id="53" w:name="_Toc1501004661"/>
      <w:r>
        <w:t>全维风险闭环管控</w:t>
      </w:r>
      <w:bookmarkEnd w:id="52"/>
      <w:bookmarkEnd w:id="53"/>
    </w:p>
    <w:p w14:paraId="1B13A133">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b w:val="0"/>
          <w:i w:val="0"/>
          <w:strike w:val="0"/>
          <w:u w:val="none"/>
        </w:rPr>
      </w:pPr>
      <w:r>
        <w:rPr>
          <w:b w:val="0"/>
          <w:i w:val="0"/>
          <w:strike w:val="0"/>
          <w:u w:val="none"/>
        </w:rPr>
        <w:t>石犀平台系统支持全维度的风险管控策略，涵盖风险识别、处置的完整流程，实现对资产风险进行全面、持续的管理，不放过任何可能威胁资产安全的潜在风险，确保企业数据资产在复杂多变的数字环境中始终处于安全、稳定的状态。</w:t>
      </w:r>
    </w:p>
    <w:p w14:paraId="5E4CBCB3">
      <w:pPr>
        <w:pStyle w:val="4"/>
        <w:pageBreakBefore w:val="0"/>
        <w:kinsoku/>
        <w:wordWrap/>
        <w:overflowPunct/>
        <w:topLinePunct w:val="0"/>
        <w:autoSpaceDE/>
        <w:autoSpaceDN/>
        <w:bidi w:val="0"/>
        <w:snapToGrid/>
        <w:spacing w:before="60" w:after="60" w:line="312" w:lineRule="auto"/>
        <w:textAlignment w:val="auto"/>
        <w:rPr>
          <w:rFonts w:ascii="Times New Roman" w:hAnsi="Times New Roman" w:eastAsia="黑体" w:cs="Times New Roman"/>
          <w:sz w:val="24"/>
          <w:szCs w:val="21"/>
        </w:rPr>
      </w:pPr>
      <w:bookmarkStart w:id="54" w:name="_Toc1658728474"/>
      <w:r>
        <w:rPr>
          <w:rFonts w:ascii="Times New Roman" w:hAnsi="Times New Roman" w:eastAsia="黑体" w:cs="Times New Roman"/>
          <w:sz w:val="24"/>
          <w:szCs w:val="21"/>
        </w:rPr>
        <w:t>全维度立体风险监测</w:t>
      </w:r>
      <w:bookmarkEnd w:id="54"/>
    </w:p>
    <w:p w14:paraId="42D66453">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b w:val="0"/>
          <w:i w:val="0"/>
          <w:strike w:val="0"/>
          <w:u w:val="none"/>
        </w:rPr>
      </w:pPr>
      <w:r>
        <w:rPr>
          <w:b w:val="0"/>
          <w:i w:val="0"/>
          <w:strike w:val="0"/>
          <w:u w:val="none"/>
        </w:rPr>
        <w:t>石犀平台从多维度深入探测各类资产风险。对应用，兼顾web基础、数据及行为层面检测；针对API，排查漏洞、核查权限、监测数据与调用风险；通过分析源IP行为、流量及地理位置识别异常；借由账号登录与操作信息判断异常登录和越权；依据用户操作与数据访问行为发现异常。全面且精准定位潜在风险：</w:t>
      </w:r>
    </w:p>
    <w:p w14:paraId="0A5250FD">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i w:val="0"/>
          <w:strike w:val="0"/>
          <w:u w:val="none"/>
        </w:rPr>
        <w:t>应用风险</w:t>
      </w:r>
      <w:r>
        <w:rPr>
          <w:rFonts w:ascii="Times New Roman" w:hAnsi="Times New Roman" w:eastAsia="宋体" w:cs="Times New Roman"/>
          <w:b w:val="0"/>
          <w:bCs/>
          <w:i w:val="0"/>
          <w:strike w:val="0"/>
          <w:u w:val="none"/>
        </w:rPr>
        <w:t>：对应用进行web基础风险检测，以及在应用数据层面、行为层面</w:t>
      </w:r>
      <w:r>
        <w:rPr>
          <w:rFonts w:hint="default" w:ascii="Times New Roman" w:hAnsi="Times New Roman" w:eastAsia="宋体" w:cs="Times New Roman"/>
          <w:b w:val="0"/>
          <w:bCs/>
          <w:i w:val="0"/>
          <w:strike w:val="0"/>
          <w:u w:val="none"/>
          <w:lang w:val="en-US" w:eastAsia="zh-CN"/>
        </w:rPr>
        <w:t>等</w:t>
      </w:r>
      <w:r>
        <w:rPr>
          <w:rFonts w:ascii="Times New Roman" w:hAnsi="Times New Roman" w:eastAsia="宋体" w:cs="Times New Roman"/>
          <w:b w:val="0"/>
          <w:bCs/>
          <w:i w:val="0"/>
          <w:strike w:val="0"/>
          <w:u w:val="none"/>
        </w:rPr>
        <w:t>进行分析告警。</w:t>
      </w:r>
    </w:p>
    <w:p w14:paraId="7D3F07EF">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i w:val="0"/>
          <w:strike w:val="0"/>
          <w:u w:val="none"/>
        </w:rPr>
        <w:t>API风险</w:t>
      </w:r>
      <w:r>
        <w:rPr>
          <w:rFonts w:ascii="Times New Roman" w:hAnsi="Times New Roman" w:eastAsia="宋体" w:cs="Times New Roman"/>
          <w:b w:val="0"/>
          <w:bCs/>
          <w:i w:val="0"/>
          <w:strike w:val="0"/>
          <w:u w:val="none"/>
        </w:rPr>
        <w:t>：依据OWASP API Security Top 10等行业标准，</w:t>
      </w:r>
      <w:r>
        <w:rPr>
          <w:rFonts w:ascii="Times New Roman" w:hAnsi="Times New Roman" w:eastAsia="宋体" w:cs="Times New Roman"/>
          <w:b w:val="0"/>
          <w:bCs/>
          <w:u w:val="none"/>
        </w:rPr>
        <w:t>检测SQL注入、XSS等常见漏洞；</w:t>
      </w:r>
      <w:r>
        <w:rPr>
          <w:rFonts w:ascii="Times New Roman" w:hAnsi="Times New Roman" w:eastAsia="宋体" w:cs="Times New Roman"/>
          <w:b w:val="0"/>
          <w:bCs/>
          <w:i w:val="0"/>
          <w:strike w:val="0"/>
          <w:u w:val="none"/>
        </w:rPr>
        <w:t>核查认证与授权机制，防止未授权和越权访问；评估敏感数据在传输和处理中的暴露风险，监测调用频率，识别异常调用行为。</w:t>
      </w:r>
    </w:p>
    <w:p w14:paraId="31D8B34F">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i w:val="0"/>
          <w:strike w:val="0"/>
          <w:u w:val="none"/>
        </w:rPr>
        <w:t>源IP风险</w:t>
      </w:r>
      <w:r>
        <w:rPr>
          <w:rFonts w:ascii="Times New Roman" w:hAnsi="Times New Roman" w:eastAsia="宋体" w:cs="Times New Roman"/>
          <w:b w:val="0"/>
          <w:bCs/>
          <w:i w:val="0"/>
          <w:strike w:val="0"/>
          <w:u w:val="none"/>
        </w:rPr>
        <w:t>：利用数据行为分析和</w:t>
      </w:r>
      <w:r>
        <w:rPr>
          <w:rFonts w:ascii="Times New Roman" w:hAnsi="Times New Roman" w:eastAsia="宋体" w:cs="Times New Roman"/>
          <w:b w:val="0"/>
          <w:bCs/>
          <w:u w:val="none"/>
        </w:rPr>
        <w:t>机器学习算法</w:t>
      </w:r>
      <w:r>
        <w:rPr>
          <w:rFonts w:ascii="Times New Roman" w:hAnsi="Times New Roman" w:eastAsia="宋体" w:cs="Times New Roman"/>
          <w:b w:val="0"/>
          <w:bCs/>
          <w:i w:val="0"/>
          <w:strike w:val="0"/>
          <w:u w:val="none"/>
        </w:rPr>
        <w:t>对源IP的行为特征进行学习分析，如访问频次、访问目标、获取数据特征等，识别出恶意IP；监控流量特征，识别异常流量来源及应对；结合地理位置与访问行为，预警异常访问。</w:t>
      </w:r>
    </w:p>
    <w:p w14:paraId="3113925B">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i w:val="0"/>
          <w:strike w:val="0"/>
          <w:u w:val="none"/>
        </w:rPr>
        <w:t>账号风险</w:t>
      </w:r>
      <w:r>
        <w:rPr>
          <w:rFonts w:ascii="Times New Roman" w:hAnsi="Times New Roman" w:eastAsia="宋体" w:cs="Times New Roman"/>
          <w:b w:val="0"/>
          <w:bCs/>
          <w:i w:val="0"/>
          <w:strike w:val="0"/>
          <w:u w:val="none"/>
        </w:rPr>
        <w:t>：通过监测账号登录时间、地点、</w:t>
      </w:r>
      <w:r>
        <w:rPr>
          <w:rFonts w:ascii="Times New Roman" w:hAnsi="Times New Roman" w:eastAsia="宋体" w:cs="Times New Roman"/>
          <w:b w:val="0"/>
          <w:bCs/>
          <w:u w:val="none"/>
        </w:rPr>
        <w:t>设备</w:t>
      </w:r>
      <w:r>
        <w:rPr>
          <w:rFonts w:ascii="Times New Roman" w:hAnsi="Times New Roman" w:eastAsia="宋体" w:cs="Times New Roman"/>
          <w:b w:val="0"/>
          <w:bCs/>
          <w:i w:val="0"/>
          <w:strike w:val="0"/>
          <w:u w:val="none"/>
        </w:rPr>
        <w:t>等信息，识别异常登录行为；检查账号的权限和实际操作行为，判断是否存在越权的情况。</w:t>
      </w:r>
    </w:p>
    <w:p w14:paraId="27F67C5E">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i w:val="0"/>
          <w:strike w:val="0"/>
          <w:u w:val="none"/>
        </w:rPr>
      </w:pPr>
      <w:r>
        <w:rPr>
          <w:rFonts w:ascii="Times New Roman" w:hAnsi="Times New Roman" w:eastAsia="宋体" w:cs="Times New Roman"/>
          <w:b/>
          <w:bCs w:val="0"/>
          <w:i w:val="0"/>
          <w:strike w:val="0"/>
          <w:u w:val="none"/>
        </w:rPr>
        <w:t>用户风险</w:t>
      </w:r>
      <w:r>
        <w:rPr>
          <w:rFonts w:ascii="Times New Roman" w:hAnsi="Times New Roman" w:eastAsia="宋体" w:cs="Times New Roman"/>
          <w:b w:val="0"/>
          <w:bCs/>
          <w:i w:val="0"/>
          <w:strike w:val="0"/>
          <w:u w:val="none"/>
        </w:rPr>
        <w:t>：分析用户在使用中的操作行为，识别异常行为模式；监测用户对数据的访问行为，判断是否存在数据访问风险。</w:t>
      </w:r>
    </w:p>
    <w:p w14:paraId="31199E07">
      <w:pPr>
        <w:pStyle w:val="4"/>
        <w:pageBreakBefore w:val="0"/>
        <w:kinsoku/>
        <w:wordWrap/>
        <w:overflowPunct/>
        <w:topLinePunct w:val="0"/>
        <w:autoSpaceDE/>
        <w:autoSpaceDN/>
        <w:bidi w:val="0"/>
        <w:snapToGrid/>
        <w:spacing w:before="60" w:after="60" w:line="312" w:lineRule="auto"/>
        <w:textAlignment w:val="auto"/>
        <w:rPr>
          <w:rFonts w:ascii="Times New Roman" w:hAnsi="Times New Roman" w:eastAsia="黑体" w:cs="Times New Roman"/>
          <w:sz w:val="24"/>
          <w:szCs w:val="21"/>
        </w:rPr>
      </w:pPr>
      <w:bookmarkStart w:id="55" w:name="_Toc1764240811"/>
      <w:r>
        <w:rPr>
          <w:rFonts w:ascii="Times New Roman" w:hAnsi="Times New Roman" w:eastAsia="黑体" w:cs="Times New Roman"/>
          <w:sz w:val="24"/>
          <w:szCs w:val="21"/>
        </w:rPr>
        <w:t>动态风险闭环</w:t>
      </w:r>
      <w:bookmarkEnd w:id="55"/>
    </w:p>
    <w:p w14:paraId="4D0157FA">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b w:val="0"/>
          <w:i w:val="0"/>
          <w:strike w:val="0"/>
          <w:u w:val="none"/>
        </w:rPr>
      </w:pPr>
      <w:r>
        <w:rPr>
          <w:b w:val="0"/>
          <w:i w:val="0"/>
          <w:strike w:val="0"/>
          <w:u w:val="none"/>
        </w:rPr>
        <w:t>平台实现风险处置的智能化与闭环管理。手动处置提供多样策略，适配不同风险场景；自动处置基于对API风险研究与历史数据，为不同风险场景预设策略，确保风险事件发生时能及时、智能应对，全方位保障数据资产安全稳定：</w:t>
      </w:r>
    </w:p>
    <w:p w14:paraId="3D352F66">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个性化手动处置</w:t>
      </w:r>
      <w:r>
        <w:rPr>
          <w:rFonts w:ascii="Times New Roman" w:hAnsi="Times New Roman" w:eastAsia="宋体" w:cs="Times New Roman"/>
          <w:b w:val="0"/>
          <w:bCs/>
          <w:u w:val="none"/>
        </w:rPr>
        <w:t>：根据不同类型的风险，支持多维度的风险处置策略，包括下线、加入黑名单、限制访问频次、加入排除项、脱敏、忽略等，全方位应对各种风险场景</w:t>
      </w:r>
      <w:r>
        <w:rPr>
          <w:rFonts w:ascii="Times New Roman" w:hAnsi="Times New Roman" w:eastAsia="宋体" w:cs="Times New Roman"/>
          <w:b w:val="0"/>
          <w:bCs/>
          <w:i w:val="0"/>
          <w:strike w:val="0"/>
          <w:u w:val="none"/>
        </w:rPr>
        <w:t>。</w:t>
      </w:r>
    </w:p>
    <w:p w14:paraId="5FB5F3D3">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智能化自动响应</w:t>
      </w:r>
      <w:r>
        <w:rPr>
          <w:rFonts w:ascii="Times New Roman" w:hAnsi="Times New Roman" w:eastAsia="宋体" w:cs="Times New Roman"/>
          <w:b w:val="0"/>
          <w:bCs/>
          <w:u w:val="none"/>
        </w:rPr>
        <w:t>：基于对API风险深入研究和历史数据的分析，针对不同的风险场景和触发主体，提前制定详细的风险处置策略，及时有效对风险事件进行处置。</w:t>
      </w:r>
    </w:p>
    <w:p w14:paraId="0DE189A5">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56" w:name="_Toc1288596348"/>
      <w:bookmarkStart w:id="57" w:name="_Toc894936118"/>
      <w:r>
        <w:t>全场景综合治理</w:t>
      </w:r>
      <w:bookmarkEnd w:id="56"/>
      <w:bookmarkEnd w:id="57"/>
    </w:p>
    <w:p w14:paraId="5F995206">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color w:val="333333"/>
        </w:rPr>
      </w:pPr>
      <w:r>
        <w:rPr>
          <w:color w:val="333333"/>
        </w:rPr>
        <w:t>石犀平台支持数据流动治理全场景的综合治理，涵盖用户安全、应用安全、数据安全、网络安全以及业务提效等多个场景，</w:t>
      </w:r>
      <w:r>
        <w:rPr>
          <w:b w:val="0"/>
          <w:i w:val="0"/>
          <w:strike w:val="0"/>
          <w:color w:val="0E0E0E"/>
          <w:u w:val="none"/>
        </w:rPr>
        <w:t>满足不同行业、不同领域的多样化安全需求。</w:t>
      </w:r>
      <w:r>
        <w:rPr>
          <w:color w:val="333333"/>
        </w:rPr>
        <w:t>能够实时、精准地识别并响应来自多个维度的安全威胁，确保企业能够在动态多变的网络环境中保持安全。</w:t>
      </w:r>
    </w:p>
    <w:p w14:paraId="652D5BA2">
      <w:pPr>
        <w:pStyle w:val="4"/>
        <w:pageBreakBefore w:val="0"/>
        <w:kinsoku/>
        <w:wordWrap/>
        <w:overflowPunct/>
        <w:topLinePunct w:val="0"/>
        <w:autoSpaceDE/>
        <w:autoSpaceDN/>
        <w:bidi w:val="0"/>
        <w:snapToGrid/>
        <w:spacing w:before="60" w:after="60" w:line="312" w:lineRule="auto"/>
        <w:textAlignment w:val="auto"/>
        <w:rPr>
          <w:rFonts w:ascii="Times New Roman" w:hAnsi="Times New Roman" w:eastAsia="黑体" w:cs="Times New Roman"/>
          <w:sz w:val="24"/>
          <w:szCs w:val="21"/>
        </w:rPr>
      </w:pPr>
      <w:bookmarkStart w:id="58" w:name="_Toc66240841"/>
      <w:bookmarkStart w:id="59" w:name="_Toc215871638"/>
      <w:r>
        <w:rPr>
          <w:rFonts w:ascii="Times New Roman" w:hAnsi="Times New Roman" w:eastAsia="黑体" w:cs="Times New Roman"/>
          <w:sz w:val="24"/>
          <w:szCs w:val="21"/>
        </w:rPr>
        <w:t>一站式综合治理</w:t>
      </w:r>
      <w:bookmarkEnd w:id="58"/>
      <w:bookmarkEnd w:id="59"/>
    </w:p>
    <w:p w14:paraId="6F20025E">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b w:val="0"/>
          <w:color w:val="333333"/>
        </w:rPr>
      </w:pPr>
      <w:r>
        <w:rPr>
          <w:b w:val="0"/>
          <w:color w:val="333333"/>
        </w:rPr>
        <w:t>石犀平台构建功能强大的插件治理生态系统，包含丰富多样的插件，</w:t>
      </w:r>
      <w:r>
        <w:t>每个插件都具备独特功能，能为用户提供丰富的功能选择，满足个性化的安全治理需求。应用系统和业务将得到全面保护，从而提高整体的安全性和可</w:t>
      </w:r>
      <w:r>
        <w:rPr>
          <w:rFonts w:hint="eastAsia"/>
          <w:lang w:eastAsia="zh-CN"/>
        </w:rPr>
        <w:t>靠性</w:t>
      </w:r>
      <w:r>
        <w:t>，</w:t>
      </w:r>
      <w:r>
        <w:rPr>
          <w:b w:val="0"/>
          <w:i w:val="0"/>
          <w:strike w:val="0"/>
          <w:color w:val="222222"/>
          <w:u w:val="none"/>
        </w:rPr>
        <w:t>适用于广泛的场景。主要能力包括：</w:t>
      </w:r>
    </w:p>
    <w:p w14:paraId="30145DC4">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应用安全治理</w:t>
      </w:r>
      <w:r>
        <w:rPr>
          <w:rFonts w:ascii="Times New Roman" w:hAnsi="Times New Roman" w:eastAsia="宋体" w:cs="Times New Roman"/>
          <w:b w:val="0"/>
          <w:bCs/>
          <w:u w:val="none"/>
        </w:rPr>
        <w:t>：提供攻击防护类、异常监控、弱密码检测、</w:t>
      </w:r>
      <w:r>
        <w:rPr>
          <w:rFonts w:ascii="Times New Roman" w:hAnsi="Times New Roman" w:eastAsia="宋体" w:cs="Times New Roman"/>
          <w:b w:val="0"/>
          <w:bCs/>
          <w:highlight w:val="lightGray"/>
          <w:u w:val="none"/>
        </w:rPr>
        <w:t>高级威胁防护</w:t>
      </w:r>
      <w:r>
        <w:rPr>
          <w:rFonts w:ascii="Times New Roman" w:hAnsi="Times New Roman" w:eastAsia="宋体" w:cs="Times New Roman"/>
          <w:b w:val="0"/>
          <w:bCs/>
          <w:u w:val="none"/>
        </w:rPr>
        <w:t>等插件，动态阻断攻击链，有效防御常见攻击，</w:t>
      </w:r>
      <w:r>
        <w:rPr>
          <w:rFonts w:ascii="Times New Roman" w:hAnsi="Times New Roman" w:eastAsia="宋体" w:cs="Times New Roman"/>
          <w:b w:val="0"/>
          <w:bCs/>
          <w:u w:val="none"/>
        </w:rPr>
        <w:t>在数据流动的过程中进行安全防护</w:t>
      </w:r>
      <w:r>
        <w:rPr>
          <w:rFonts w:ascii="Times New Roman" w:hAnsi="Times New Roman" w:eastAsia="宋体" w:cs="Times New Roman"/>
          <w:b w:val="0"/>
          <w:bCs/>
          <w:u w:val="none"/>
        </w:rPr>
        <w:t>，保障系统的稳定性和安全性</w:t>
      </w:r>
      <w:r>
        <w:rPr>
          <w:rFonts w:ascii="Times New Roman" w:hAnsi="Times New Roman" w:eastAsia="宋体" w:cs="Times New Roman"/>
          <w:b w:val="0"/>
          <w:bCs/>
          <w:u w:val="none"/>
        </w:rPr>
        <w:t>。</w:t>
      </w:r>
    </w:p>
    <w:p w14:paraId="37564884">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数据安全治理</w:t>
      </w:r>
      <w:r>
        <w:rPr>
          <w:rFonts w:ascii="Times New Roman" w:hAnsi="Times New Roman" w:eastAsia="宋体" w:cs="Times New Roman"/>
          <w:b w:val="0"/>
          <w:bCs/>
          <w:u w:val="none"/>
        </w:rPr>
        <w:t>：提供数据脱敏、</w:t>
      </w:r>
      <w:r>
        <w:rPr>
          <w:rFonts w:ascii="Times New Roman" w:hAnsi="Times New Roman" w:eastAsia="宋体" w:cs="Times New Roman"/>
          <w:b w:val="0"/>
          <w:bCs/>
          <w:highlight w:val="lightGray"/>
          <w:u w:val="none"/>
        </w:rPr>
        <w:t>数据加密、数据水印、数据签名、数据防</w:t>
      </w:r>
      <w:r>
        <w:rPr>
          <w:rFonts w:hint="default" w:ascii="Times New Roman" w:hAnsi="Times New Roman" w:eastAsia="宋体" w:cs="Times New Roman"/>
          <w:b w:val="0"/>
          <w:bCs/>
          <w:highlight w:val="lightGray"/>
          <w:u w:val="none"/>
          <w:lang w:eastAsia="zh-CN"/>
        </w:rPr>
        <w:t>泄露</w:t>
      </w:r>
      <w:r>
        <w:rPr>
          <w:rFonts w:ascii="Times New Roman" w:hAnsi="Times New Roman" w:eastAsia="宋体" w:cs="Times New Roman"/>
          <w:b w:val="0"/>
          <w:bCs/>
          <w:u w:val="none"/>
        </w:rPr>
        <w:t>等插件。通过数据脱敏可以遮盖敏感信息，保障数据的隐私合规，并结合数据加密等其他插件可以阻断敏感信息外流。</w:t>
      </w:r>
    </w:p>
    <w:p w14:paraId="733116EA">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用户安全治理</w:t>
      </w:r>
      <w:r>
        <w:rPr>
          <w:rFonts w:ascii="Times New Roman" w:hAnsi="Times New Roman" w:eastAsia="宋体" w:cs="Times New Roman"/>
          <w:b w:val="0"/>
          <w:bCs/>
          <w:u w:val="none"/>
        </w:rPr>
        <w:t>：提供身份认证、访问控制、行为监控等插件，限制越权操作并实时监控用户操作，通过联动攻击防护类插件及时拦截风险行为，确保用户访问的安全。</w:t>
      </w:r>
    </w:p>
    <w:p w14:paraId="3EB4FE19">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业务提效治理</w:t>
      </w:r>
      <w:r>
        <w:rPr>
          <w:rFonts w:ascii="Times New Roman" w:hAnsi="Times New Roman" w:eastAsia="宋体" w:cs="Times New Roman"/>
          <w:b w:val="0"/>
          <w:bCs/>
          <w:u w:val="none"/>
        </w:rPr>
        <w:t>：提供负载均衡、SSL卸载、带宽控制等插件，实时监控应用运行状态，保障应用的高可用性和稳定性，从而提升应用访问速度和用户体验。</w:t>
      </w:r>
    </w:p>
    <w:p w14:paraId="07FB9982">
      <w:pPr>
        <w:pStyle w:val="4"/>
        <w:pageBreakBefore w:val="0"/>
        <w:kinsoku/>
        <w:wordWrap/>
        <w:overflowPunct/>
        <w:topLinePunct w:val="0"/>
        <w:autoSpaceDE/>
        <w:autoSpaceDN/>
        <w:bidi w:val="0"/>
        <w:snapToGrid/>
        <w:spacing w:before="60" w:after="60" w:line="312" w:lineRule="auto"/>
        <w:textAlignment w:val="auto"/>
        <w:rPr>
          <w:rFonts w:ascii="Times New Roman" w:hAnsi="Times New Roman" w:eastAsia="黑体" w:cs="Times New Roman"/>
          <w:sz w:val="24"/>
          <w:szCs w:val="21"/>
        </w:rPr>
      </w:pPr>
      <w:bookmarkStart w:id="60" w:name="_Toc913285541"/>
      <w:r>
        <w:rPr>
          <w:rFonts w:ascii="Times New Roman" w:hAnsi="Times New Roman" w:eastAsia="黑体" w:cs="Times New Roman"/>
          <w:sz w:val="24"/>
          <w:szCs w:val="21"/>
        </w:rPr>
        <w:t>插件能力灵活扩展</w:t>
      </w:r>
      <w:bookmarkEnd w:id="60"/>
    </w:p>
    <w:p w14:paraId="4771BA4D">
      <w:pPr>
        <w:pStyle w:val="11"/>
        <w:pageBreakBefore w:val="0"/>
        <w:kinsoku/>
        <w:wordWrap/>
        <w:overflowPunct/>
        <w:topLinePunct w:val="0"/>
        <w:autoSpaceDE/>
        <w:autoSpaceDN/>
        <w:bidi w:val="0"/>
        <w:snapToGrid/>
        <w:spacing w:before="60" w:after="60" w:afterLines="0" w:line="312" w:lineRule="auto"/>
        <w:textAlignment w:val="auto"/>
        <w:rPr>
          <w:b w:val="0"/>
        </w:rPr>
      </w:pPr>
      <w:r>
        <w:rPr>
          <w:color w:val="333333"/>
        </w:rPr>
        <w:t>插件作为轻量级的原子能力单元，专注于解决实际应用中的安全问题，具有操作简便、体积小等特点，这些插件可以快速开发，灵活应对不同业务需求和场景，并且方便未来新功能的拓展。相较于传统方案难以快速响应变化的业务需求，石犀插件的设计使得用户可以按需使用，随时调整系统功能，提高了系统的灵活性和可扩展性。</w:t>
      </w:r>
      <w:r>
        <w:rPr>
          <w:b w:val="0"/>
        </w:rPr>
        <w:tab/>
      </w:r>
    </w:p>
    <w:p w14:paraId="1AE17F00">
      <w:pPr>
        <w:pStyle w:val="4"/>
        <w:pageBreakBefore w:val="0"/>
        <w:kinsoku/>
        <w:wordWrap/>
        <w:overflowPunct/>
        <w:topLinePunct w:val="0"/>
        <w:autoSpaceDE/>
        <w:autoSpaceDN/>
        <w:bidi w:val="0"/>
        <w:snapToGrid/>
        <w:spacing w:before="60" w:after="60" w:line="312" w:lineRule="auto"/>
        <w:textAlignment w:val="auto"/>
        <w:rPr>
          <w:rFonts w:ascii="Times New Roman" w:hAnsi="Times New Roman" w:eastAsia="黑体" w:cs="Times New Roman"/>
          <w:sz w:val="24"/>
          <w:szCs w:val="21"/>
        </w:rPr>
      </w:pPr>
      <w:bookmarkStart w:id="61" w:name="_Toc1524462478"/>
      <w:r>
        <w:rPr>
          <w:rFonts w:ascii="Times New Roman" w:hAnsi="Times New Roman" w:eastAsia="黑体" w:cs="Times New Roman"/>
          <w:sz w:val="24"/>
          <w:szCs w:val="21"/>
        </w:rPr>
        <w:t>治理方案按需编排</w:t>
      </w:r>
      <w:bookmarkEnd w:id="61"/>
    </w:p>
    <w:p w14:paraId="4162FB47">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color w:val="333333"/>
        </w:rPr>
      </w:pPr>
      <w:r>
        <w:rPr>
          <w:color w:val="333333"/>
        </w:rPr>
        <w:t>石犀平台具备灵活的插件编排能力，支持用户根据实际的业务场景和治理诉求进行深度的治理方案定制，并支持根据业务运行的情况进行动态防护方案调整，实现更高效、更精准的数据流动全链路的立体化防护综合治理。</w:t>
      </w:r>
    </w:p>
    <w:p w14:paraId="325BC28F">
      <w:r>
        <w:br w:type="page"/>
      </w:r>
    </w:p>
    <w:p w14:paraId="1B97E179">
      <w:pPr>
        <w:pStyle w:val="2"/>
        <w:pageBreakBefore w:val="0"/>
        <w:numPr>
          <w:ilvl w:val="0"/>
          <w:numId w:val="3"/>
        </w:numPr>
        <w:kinsoku/>
        <w:wordWrap/>
        <w:overflowPunct/>
        <w:topLinePunct w:val="0"/>
        <w:autoSpaceDE/>
        <w:autoSpaceDN/>
        <w:bidi w:val="0"/>
        <w:snapToGrid/>
        <w:spacing w:before="60" w:after="60" w:line="312" w:lineRule="auto"/>
        <w:textAlignment w:val="auto"/>
      </w:pPr>
      <w:bookmarkStart w:id="62" w:name="_Toc13475389"/>
      <w:bookmarkStart w:id="63" w:name="_Toc1054740083"/>
      <w:r>
        <w:t>核心优势</w:t>
      </w:r>
      <w:bookmarkEnd w:id="62"/>
      <w:bookmarkEnd w:id="63"/>
    </w:p>
    <w:p w14:paraId="4209B278">
      <w:pPr>
        <w:pStyle w:val="11"/>
        <w:pageBreakBefore w:val="0"/>
        <w:kinsoku/>
        <w:wordWrap/>
        <w:overflowPunct/>
        <w:topLinePunct w:val="0"/>
        <w:autoSpaceDE/>
        <w:autoSpaceDN/>
        <w:bidi w:val="0"/>
        <w:snapToGrid/>
        <w:spacing w:before="60" w:after="60" w:afterLines="0" w:line="312" w:lineRule="auto"/>
        <w:textAlignment w:val="auto"/>
      </w:pPr>
      <w:r>
        <w:t>基于“平台+</w:t>
      </w:r>
      <w:r>
        <w:rPr>
          <w:rFonts w:hint="eastAsia"/>
          <w:lang w:val="en-US" w:eastAsia="zh-CN"/>
        </w:rPr>
        <w:t>插件</w:t>
      </w:r>
      <w:r>
        <w:t>”模式革新了传统安全架构，简化了当前不断叠加安全产品、繁复的“串糖葫芦”式结构，凭借丰富且持续更新的组件库，通过不同的组件组合即可实现与传统安全设备同等的功能与效果。</w:t>
      </w:r>
    </w:p>
    <w:p w14:paraId="54231253">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64" w:name="_Toc995079988"/>
      <w:bookmarkStart w:id="65" w:name="_Toc1686552643"/>
      <w:r>
        <w:t>统一平台闭环数据流动安全</w:t>
      </w:r>
      <w:bookmarkEnd w:id="64"/>
      <w:bookmarkEnd w:id="65"/>
    </w:p>
    <w:p w14:paraId="4A33132C">
      <w:pPr>
        <w:pStyle w:val="11"/>
        <w:pageBreakBefore w:val="0"/>
        <w:kinsoku/>
        <w:wordWrap/>
        <w:overflowPunct/>
        <w:topLinePunct w:val="0"/>
        <w:autoSpaceDE/>
        <w:autoSpaceDN/>
        <w:bidi w:val="0"/>
        <w:snapToGrid/>
        <w:spacing w:before="60" w:after="60" w:afterLines="0" w:line="312" w:lineRule="auto"/>
        <w:textAlignment w:val="auto"/>
        <w:rPr>
          <w:color w:val="000000"/>
        </w:rPr>
      </w:pPr>
      <w:r>
        <w:rPr>
          <w:color w:val="000000"/>
        </w:rPr>
        <w:t>石犀通过一个平台实现数据流动“采集</w:t>
      </w:r>
      <w:r>
        <w:rPr>
          <w:rFonts w:hint="eastAsia"/>
          <w:color w:val="000000"/>
          <w:lang w:eastAsia="zh-CN"/>
        </w:rPr>
        <w:t>－</w:t>
      </w:r>
      <w:r>
        <w:rPr>
          <w:color w:val="000000"/>
        </w:rPr>
        <w:t>识别</w:t>
      </w:r>
      <w:r>
        <w:rPr>
          <w:rFonts w:hint="eastAsia"/>
          <w:color w:val="000000"/>
          <w:lang w:eastAsia="zh-CN"/>
        </w:rPr>
        <w:t>－</w:t>
      </w:r>
      <w:r>
        <w:rPr>
          <w:color w:val="000000"/>
        </w:rPr>
        <w:t>分析</w:t>
      </w:r>
      <w:r>
        <w:rPr>
          <w:rFonts w:hint="eastAsia"/>
          <w:color w:val="000000"/>
          <w:lang w:eastAsia="zh-CN"/>
        </w:rPr>
        <w:t>－</w:t>
      </w:r>
      <w:r>
        <w:rPr>
          <w:color w:val="000000"/>
        </w:rPr>
        <w:t>治理”的闭环管理，确保数据流动风险全面可控。通过提供审计、脱敏、访问控制等多重管控手段，构建了从风险检测、风险告警到风险处置的全流程安全管理机制，全面掌控数据安全态势，达成数据安全智能管控的“可视”、“可管”、“可控”、“可追溯”目标。</w:t>
      </w:r>
    </w:p>
    <w:p w14:paraId="7D4120B1">
      <w:pPr>
        <w:pStyle w:val="11"/>
        <w:pageBreakBefore w:val="0"/>
        <w:kinsoku/>
        <w:wordWrap/>
        <w:overflowPunct/>
        <w:topLinePunct w:val="0"/>
        <w:autoSpaceDE/>
        <w:autoSpaceDN/>
        <w:bidi w:val="0"/>
        <w:snapToGrid/>
        <w:spacing w:before="60" w:after="60" w:afterLines="0" w:line="312" w:lineRule="auto"/>
        <w:textAlignment w:val="auto"/>
        <w:rPr>
          <w:color w:val="000000"/>
        </w:rPr>
      </w:pPr>
      <w:r>
        <w:rPr>
          <w:color w:val="000000"/>
        </w:rPr>
        <w:t>在数据资产采集与管理方面，石犀平台通过智能自动化手段实时发现，以识别应用、API、数据、文件、</w:t>
      </w:r>
      <w:r>
        <w:rPr>
          <w:color w:val="000000"/>
          <w:highlight w:val="lightGray"/>
        </w:rPr>
        <w:t>数据库</w:t>
      </w:r>
      <w:r>
        <w:rPr>
          <w:color w:val="000000"/>
        </w:rPr>
        <w:t>等多类型资产，并基于内置敏感数据识别算法，快速识别流动过程中的敏感数据，为企业合规检查和优化提供了便利。同时，石犀平台支持通过流量引擎、边车引擎、镜像引擎以及探针等多类组件灵活搭配部署，实现全网东西向、南北向的全流量数据采集，持续动态地自动创建全面的资产清单。清单涵盖了已知资产、影子资产、僵尸资产、内部资产、外部资产以及</w:t>
      </w:r>
      <w:r>
        <w:rPr>
          <w:color w:val="000000"/>
          <w:highlight w:val="lightGray"/>
        </w:rPr>
        <w:t>第三方资产</w:t>
      </w:r>
      <w:r>
        <w:rPr>
          <w:color w:val="000000"/>
        </w:rPr>
        <w:t>等多类资产。此外，石犀还支持用户手动导入资产清单，补充对本地存储资产的录入与维护，实现对数据资产的全面梳理。</w:t>
      </w:r>
    </w:p>
    <w:p w14:paraId="5B217322">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color w:val="000000"/>
        </w:rPr>
      </w:pPr>
      <w:r>
        <w:rPr>
          <w:color w:val="000000"/>
        </w:rPr>
        <w:t>在数据流动监控与分析方面，通过对流量的实时监控与综合分析，能够判断数据的流转趋势并进行记录，追踪数据流动的同时更新数据资产状态，使用户实时感知数据态势。同时石犀平台对收集到的信息进行聚合，通过提供数据大屏与多块维度看板，为用户清晰展示数据流动态势，使数据流动情况一目了然。</w:t>
      </w:r>
    </w:p>
    <w:p w14:paraId="04C07ACF">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66" w:name="_Toc1854199127"/>
      <w:bookmarkStart w:id="67" w:name="_Toc1253614148"/>
      <w:r>
        <w:t>灵活编排插件满足个性化需求</w:t>
      </w:r>
      <w:bookmarkEnd w:id="66"/>
      <w:bookmarkEnd w:id="67"/>
    </w:p>
    <w:p w14:paraId="2CA9618A">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color w:val="333333"/>
        </w:rPr>
      </w:pPr>
      <w:r>
        <w:rPr>
          <w:color w:val="333333"/>
        </w:rPr>
        <w:t>当前的安全治理领域中，风险与威胁已不再局限于单一场景，个性化和灵活性的需求日益突出。面对这一挑战，石犀平台中的“插件”设计展现了其独特的优势。插件作为加载并运行在石犀引擎内的原子能力单元，具有功能简洁、体积小的特点，专注于识别并治理用户实际应用场景中的各类安全问题。这一设计打破了传统网络设备系统庞大、功能单一的局限，为用户带来了更高的灵活性和个性化选择。</w:t>
      </w:r>
    </w:p>
    <w:p w14:paraId="6FE75E43">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color w:val="333333"/>
        </w:rPr>
      </w:pPr>
      <w:r>
        <w:rPr>
          <w:color w:val="333333"/>
        </w:rPr>
        <w:t>石犀商城作为云端SaaS平台，扮演着插件集中存放和展示的重要角色。用户可以在商城内轻松检索、浏览所需插件，并根据实际需求选择免费试用、订阅购买或买断式购买。选定的插件可以通过总控进行配置，指定安装到具体的石犀引擎内。通过插件的灵活编排和扩展，石犀平台能够满足个性化安全治理场景的需求，提供可视化、管控、安全、优化、高效等多重能力。这种按需扩展的方式也带来了极高的性价比，用户可根据实际业务场景按需购买插件，实现资源的最佳配置和成本的有效控制。</w:t>
      </w:r>
    </w:p>
    <w:p w14:paraId="0E40DBBD">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color w:val="333333"/>
        </w:rPr>
      </w:pPr>
      <w:r>
        <w:rPr>
          <w:color w:val="333333"/>
        </w:rPr>
        <w:t>石犀平台基于精细化管理和灵活配置，能够快速应对不断变化的安全威胁，保持业务系统的持久稳定。插件的模块化设计使得每一个插件都有明确的功能边界，确保了高效的处理能力和快速的响应速度，从而保障了用户业务的连续性和数据的安全性。</w:t>
      </w:r>
    </w:p>
    <w:p w14:paraId="2D59B8F0">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68" w:name="_Toc1389525872"/>
      <w:bookmarkStart w:id="69" w:name="_Toc530924719"/>
      <w:r>
        <w:t>多维用户识别构建身份安全</w:t>
      </w:r>
      <w:bookmarkEnd w:id="68"/>
      <w:bookmarkEnd w:id="69"/>
    </w:p>
    <w:p w14:paraId="1353B3E7">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color w:val="333333"/>
        </w:rPr>
      </w:pPr>
      <w:r>
        <w:rPr>
          <w:color w:val="333333"/>
        </w:rPr>
        <w:t>石犀系统提供了一套多维的用户识别与身份安全构建方案，聚焦账号自动识别与账号用户自动梳理两大核心功能，旨在解决传统身份管理中存在的账号冗余、权限混乱、安全风险高等问题，助力企业实现高效、精准、安全的身份治理体系。</w:t>
      </w:r>
    </w:p>
    <w:p w14:paraId="1FE21B7D">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color w:val="333333"/>
        </w:rPr>
      </w:pPr>
      <w:r>
        <w:rPr>
          <w:color w:val="333333"/>
        </w:rPr>
        <w:t>通过深度分析用户行为、设备指纹等多种技术，自动识别系统中的所有账号。该功能能够实时识别新注册的用户账户、潜在的恶意账户以及异常登录行为。通过高度智能化的分析，自动更新和识别账号信息，确保用户身份的持续有效性。</w:t>
      </w:r>
    </w:p>
    <w:p w14:paraId="52A12283">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color w:val="333333"/>
        </w:rPr>
      </w:pPr>
      <w:r>
        <w:rPr>
          <w:color w:val="333333"/>
        </w:rPr>
        <w:t>通过自动梳理账号与用户之间的关系，识别每个用户的多个账户（如个人账户、工作账户等），并通过标签进行自动归类。通过综合分析不同账户间的关联关系，石犀系统能够轻松跟踪每个用户的活动和行为轨迹，防止账户滥用或恶意操作。</w:t>
      </w:r>
    </w:p>
    <w:p w14:paraId="5965CB1E">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70" w:name="_Toc2024153226"/>
      <w:bookmarkStart w:id="71" w:name="_Toc457198948"/>
      <w:r>
        <w:t>丰富规则精准锁定潜在风险</w:t>
      </w:r>
      <w:bookmarkEnd w:id="70"/>
      <w:bookmarkEnd w:id="71"/>
    </w:p>
    <w:p w14:paraId="6EA51ED1">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color w:val="333333"/>
        </w:rPr>
      </w:pPr>
      <w:r>
        <w:rPr>
          <w:color w:val="333333"/>
        </w:rPr>
        <w:t>在数据流动治理平台的资产风险检测体系里，风险规则的数量、类型覆盖范围以及识别准确度，三者紧密关联、相互促进。平台通过扩充规则数量、拓展规则类型、提升识别精度，实现对风险的精准锁定，有效减少误报情况，强化风险管控力度，从而构建起一套强大且精准的检测机制，确保数据流动安全合规。</w:t>
      </w:r>
    </w:p>
    <w:p w14:paraId="4AF1BF27">
      <w:pPr>
        <w:pStyle w:val="11"/>
        <w:pageBreakBefore w:val="0"/>
        <w:kinsoku/>
        <w:wordWrap/>
        <w:overflowPunct/>
        <w:topLinePunct w:val="0"/>
        <w:autoSpaceDE/>
        <w:autoSpaceDN/>
        <w:bidi w:val="0"/>
        <w:snapToGrid/>
        <w:spacing w:before="60" w:after="60" w:afterLines="0" w:line="312" w:lineRule="auto"/>
        <w:textAlignment w:val="auto"/>
      </w:pPr>
      <w:r>
        <w:t>石犀平台具备完善的风险规则体系，内置数百条规则，全面覆盖API、应用</w:t>
      </w:r>
      <w:r>
        <w:t>等主体潜在风险，支持自定义扩展，结合威胁情报实时更新与定期维护，并支持分级管理提升易用性。具备多元的规则类型，涵盖数据泄露（采集、处理等环节）、恶意攻击（身份、探测等方式）、异常行为（账号泄露、异常登录）等多维度。通过基线学习</w:t>
      </w:r>
      <w:r>
        <w:t>、特征匹配、行为分析及机器学习</w:t>
      </w:r>
      <w:r>
        <w:t>多层次匹配规则，自适应提高识别精准度。并支持安全评分规则评估资产数据健康状态、智能排序，结合流量限制、访问封禁等自动处置策略，实现风险闭环管理。</w:t>
      </w:r>
    </w:p>
    <w:p w14:paraId="569F8B33">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72" w:name="_Toc1654817255"/>
      <w:bookmarkStart w:id="73" w:name="_Toc446230070"/>
      <w:r>
        <w:t>前沿架构设计打造领先性能</w:t>
      </w:r>
      <w:bookmarkEnd w:id="72"/>
      <w:bookmarkEnd w:id="73"/>
    </w:p>
    <w:p w14:paraId="1EB11D41">
      <w:pPr>
        <w:pStyle w:val="11"/>
        <w:pageBreakBefore w:val="0"/>
        <w:kinsoku/>
        <w:wordWrap/>
        <w:overflowPunct/>
        <w:topLinePunct w:val="0"/>
        <w:autoSpaceDE/>
        <w:autoSpaceDN/>
        <w:bidi w:val="0"/>
        <w:snapToGrid/>
        <w:spacing w:before="60" w:after="60" w:afterLines="0" w:line="312" w:lineRule="auto"/>
        <w:textAlignment w:val="auto"/>
      </w:pPr>
      <w:r>
        <w:t>石犀平台以</w:t>
      </w:r>
      <w:r>
        <w:rPr>
          <w:rFonts w:hint="eastAsia"/>
          <w:lang w:eastAsia="zh-CN"/>
        </w:rPr>
        <w:t>“</w:t>
      </w:r>
      <w:r>
        <w:t>平台+组件</w:t>
      </w:r>
      <w:r>
        <w:rPr>
          <w:rFonts w:hint="eastAsia"/>
          <w:lang w:eastAsia="zh-CN"/>
        </w:rPr>
        <w:t>”</w:t>
      </w:r>
      <w:r>
        <w:t>的模块化架构为核心设计理念，突破传统安全设备“串葫芦式”的固化局限，通过解耦底层资源管理平台与上层安全功能组件，实现了能力的灵活拓展与资源的高效调度。管理面与数据面采用双通道设计，有效规避了传统架构中管理流量与业务流量相互抢占资源导致的性能波动问题，同时提升了系统安全性，确保关键管理指令不受业务负载影响。</w:t>
      </w:r>
    </w:p>
    <w:p w14:paraId="2ADD03D4">
      <w:pPr>
        <w:pStyle w:val="11"/>
        <w:pageBreakBefore w:val="0"/>
        <w:kinsoku/>
        <w:wordWrap/>
        <w:overflowPunct/>
        <w:topLinePunct w:val="0"/>
        <w:autoSpaceDE/>
        <w:autoSpaceDN/>
        <w:bidi w:val="0"/>
        <w:snapToGrid/>
        <w:spacing w:before="60" w:after="60" w:afterLines="0" w:line="312" w:lineRule="auto"/>
        <w:textAlignment w:val="auto"/>
      </w:pPr>
      <w:r>
        <w:t>石犀平台通过高可用架构实现了业务连续性与资源利用效率的双重突破。采用负载均衡及跨节点冗余热备机制，单点故障可在毫秒级自动切换，保障业务零中断，实测环境实现万兆级吞吐性能与毫秒级延迟，满足金融、政务等高并发场景下对实时威胁检测与响应的严苛要求，真正实现安全能力与业务效能的无损融合。</w:t>
      </w:r>
    </w:p>
    <w:p w14:paraId="4D9CE162">
      <w:pPr>
        <w:pStyle w:val="11"/>
        <w:pageBreakBefore w:val="0"/>
        <w:kinsoku/>
        <w:wordWrap/>
        <w:overflowPunct/>
        <w:topLinePunct w:val="0"/>
        <w:autoSpaceDE/>
        <w:autoSpaceDN/>
        <w:bidi w:val="0"/>
        <w:snapToGrid/>
        <w:spacing w:before="60" w:after="60" w:afterLines="0" w:line="312" w:lineRule="auto"/>
        <w:textAlignment w:val="auto"/>
      </w:pPr>
      <w:r>
        <w:t>这一前沿架构设计不仅解决了传统安全设备功能迭代慢、资源利用率低的痛点，更通过“一次部署，按需扩展”的模式大幅降低了运维复杂度。可根据业务需求自由组合所需安全组件，无需重复部署建设硬件设施，保障防御体系前瞻性，同时为构建弹性、智能的新一代安全防护体系提供了标杆级解决方案。</w:t>
      </w:r>
    </w:p>
    <w:p w14:paraId="7EB8AA43">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74" w:name="_Toc452892488"/>
      <w:bookmarkStart w:id="75" w:name="_Toc775891166"/>
      <w:r>
        <w:t>可扩展平台全面适配多种环境</w:t>
      </w:r>
      <w:bookmarkEnd w:id="74"/>
      <w:bookmarkEnd w:id="75"/>
    </w:p>
    <w:p w14:paraId="2E3198F7">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pPr>
      <w:r>
        <w:t>石犀平台通过构建多层级适配体系，实现了对异构操作系统的深度兼容与优化，覆盖主流的Ubuntu、</w:t>
      </w:r>
      <w:r>
        <w:rPr>
          <w:highlight w:val="lightGray"/>
        </w:rPr>
        <w:t>CentOS</w:t>
      </w:r>
      <w:r>
        <w:t>等通用操作系统，同时针对国产化生态完成与麒麟、</w:t>
      </w:r>
      <w:r>
        <w:rPr>
          <w:highlight w:val="lightGray"/>
        </w:rPr>
        <w:t>统信UOS</w:t>
      </w:r>
      <w:r>
        <w:t>等信创操作系统的全栈适配，确保从基础运行环境到上层应用的平滑衔接，使得平台在保持高性能数据流转的同时，可依据客户的建设诉求实现快速</w:t>
      </w:r>
      <w:r>
        <w:rPr>
          <w:rFonts w:hint="eastAsia"/>
          <w:lang w:eastAsia="zh-CN"/>
        </w:rPr>
        <w:t>地</w:t>
      </w:r>
      <w:r>
        <w:t>适配兼容。同时，针对信创适配，平台不仅涵盖了操作系统适配，还对服务器等关键硬件设备进行了深度适配，充分保障了在国产化环境中的兼容性与性能表现。</w:t>
      </w:r>
    </w:p>
    <w:p w14:paraId="7CD31922">
      <w:pPr>
        <w:pStyle w:val="11"/>
        <w:pageBreakBefore w:val="0"/>
        <w:kinsoku/>
        <w:wordWrap/>
        <w:overflowPunct/>
        <w:topLinePunct w:val="0"/>
        <w:autoSpaceDE/>
        <w:autoSpaceDN/>
        <w:bidi w:val="0"/>
        <w:snapToGrid/>
        <w:spacing w:before="60" w:after="60" w:afterLines="0" w:line="312" w:lineRule="auto"/>
        <w:textAlignment w:val="auto"/>
        <w:rPr>
          <w:strike w:val="0"/>
          <w:color w:val="000000"/>
        </w:rPr>
      </w:pPr>
      <w:r>
        <w:t>针对网络基础设施升级趋势，平台实现</w:t>
      </w:r>
      <w:r>
        <w:rPr>
          <w:highlight w:val="lightGray"/>
        </w:rPr>
        <w:t>IPv6</w:t>
      </w:r>
      <w:r>
        <w:t>协议栈的全面支持，通过</w:t>
      </w:r>
      <w:r>
        <w:rPr>
          <w:highlight w:val="lightGray"/>
        </w:rPr>
        <w:t>双栈部署架构实现IPv4/IPv6流量的智能识别与无感切换</w:t>
      </w:r>
      <w:r>
        <w:t>。在数据路由、协议解析等核心环节采用自适应编码技术，确保在纯IPv6环境中仍能维持微秒级传输延迟。同时结合国产化操作系统内置的安全增强特性，构建起覆盖网络层、系统层、应用层的立体化适配体系，使平台既能满足当前混合网络环境的复杂需求，也为未来全面IPv6化演进提供平滑过渡路径。</w:t>
      </w:r>
    </w:p>
    <w:p w14:paraId="6576A6E3">
      <w:r>
        <w:br w:type="page"/>
      </w:r>
    </w:p>
    <w:p w14:paraId="1E5F3DCA">
      <w:pPr>
        <w:pStyle w:val="2"/>
        <w:pageBreakBefore w:val="0"/>
        <w:numPr>
          <w:ilvl w:val="0"/>
          <w:numId w:val="3"/>
        </w:numPr>
        <w:kinsoku/>
        <w:wordWrap/>
        <w:overflowPunct/>
        <w:topLinePunct w:val="0"/>
        <w:autoSpaceDE/>
        <w:autoSpaceDN/>
        <w:bidi w:val="0"/>
        <w:snapToGrid/>
        <w:spacing w:before="60" w:after="60" w:line="312" w:lineRule="auto"/>
        <w:textAlignment w:val="auto"/>
      </w:pPr>
      <w:bookmarkStart w:id="76" w:name="_Toc1082000848"/>
      <w:bookmarkStart w:id="77" w:name="_Toc882122378"/>
      <w:r>
        <w:t>客户价值</w:t>
      </w:r>
      <w:bookmarkEnd w:id="76"/>
      <w:bookmarkEnd w:id="77"/>
    </w:p>
    <w:p w14:paraId="2CA7FA58">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78" w:name="_Toc296729540"/>
      <w:bookmarkStart w:id="79" w:name="_Toc1751191805"/>
      <w:r>
        <w:t>数据流动安全</w:t>
      </w:r>
      <w:bookmarkEnd w:id="78"/>
      <w:bookmarkEnd w:id="79"/>
    </w:p>
    <w:p w14:paraId="38F86A2B">
      <w:pPr>
        <w:pStyle w:val="11"/>
        <w:pageBreakBefore w:val="0"/>
        <w:kinsoku/>
        <w:wordWrap/>
        <w:overflowPunct/>
        <w:topLinePunct w:val="0"/>
        <w:autoSpaceDE/>
        <w:autoSpaceDN/>
        <w:bidi w:val="0"/>
        <w:snapToGrid/>
        <w:spacing w:before="60" w:after="60" w:afterLines="0" w:line="312" w:lineRule="auto"/>
        <w:textAlignment w:val="auto"/>
        <w:rPr>
          <w:strike w:val="0"/>
          <w:color w:val="000000"/>
        </w:rPr>
      </w:pPr>
      <w:r>
        <w:rPr>
          <w:strike w:val="0"/>
          <w:color w:val="000000"/>
        </w:rPr>
        <w:t>数据流动包括三个基础要素：数、管、端。数是指数据，即流动的内容，例如：数据字段、文件等；管是指管道，即流动的路径；端是指对象，即经过的站点，例如：从内网流向外网、从应用流向用户等。</w:t>
      </w:r>
    </w:p>
    <w:p w14:paraId="79FA46C2">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strike w:val="0"/>
          <w:color w:val="000000"/>
        </w:rPr>
      </w:pPr>
      <w:r>
        <w:rPr>
          <w:strike w:val="0"/>
          <w:color w:val="000000"/>
        </w:rPr>
        <w:t>石犀平台借助自研的数据追踪技术，精准采集数据流动全链路信息，利用AI算法识别敏感数据，实时分析流量与访问行为。一旦发现数据</w:t>
      </w:r>
      <w:r>
        <w:rPr>
          <w:rFonts w:hint="eastAsia"/>
          <w:strike w:val="0"/>
          <w:color w:val="000000"/>
          <w:lang w:eastAsia="zh-CN"/>
        </w:rPr>
        <w:t>泄露风险</w:t>
      </w:r>
      <w:r>
        <w:rPr>
          <w:strike w:val="0"/>
          <w:color w:val="000000"/>
        </w:rPr>
        <w:t>，如异常高频的数据下载、未经授权的跨域传输，立即阻断并告警，构建从发现到处置的完整安全闭环，保障数据安全流转。</w:t>
      </w:r>
    </w:p>
    <w:p w14:paraId="7BD17449">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80" w:name="_Toc676350446"/>
      <w:bookmarkStart w:id="81" w:name="_Toc1017284500"/>
      <w:r>
        <w:t>数据安全合规</w:t>
      </w:r>
      <w:bookmarkEnd w:id="80"/>
      <w:bookmarkEnd w:id="81"/>
    </w:p>
    <w:p w14:paraId="2D268E1C">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strike w:val="0"/>
          <w:color w:val="000000"/>
        </w:rPr>
      </w:pPr>
      <w:r>
        <w:rPr>
          <w:strike w:val="0"/>
          <w:color w:val="000000"/>
        </w:rPr>
        <w:t>随着数据安全法规日益完善，企业面临着严峻的合规挑战。石犀平台深入研究国内外数据安全法规，如《</w:t>
      </w:r>
      <w:r>
        <w:rPr>
          <w:rFonts w:hint="eastAsia"/>
          <w:strike w:val="0"/>
          <w:color w:val="000000"/>
          <w:lang w:eastAsia="zh-CN"/>
        </w:rPr>
        <w:t>中华人民共和国数据安全法</w:t>
      </w:r>
      <w:r>
        <w:rPr>
          <w:strike w:val="0"/>
          <w:color w:val="000000"/>
        </w:rPr>
        <w:t>》、《</w:t>
      </w:r>
      <w:r>
        <w:rPr>
          <w:rFonts w:hint="eastAsia"/>
          <w:strike w:val="0"/>
          <w:color w:val="000000"/>
          <w:lang w:eastAsia="zh-CN"/>
        </w:rPr>
        <w:t>中华人民共和国个人信息保护法</w:t>
      </w:r>
      <w:r>
        <w:rPr>
          <w:strike w:val="0"/>
          <w:color w:val="000000"/>
        </w:rPr>
        <w:t>》</w:t>
      </w:r>
      <w:r>
        <w:rPr>
          <w:rFonts w:hint="eastAsia"/>
          <w:strike w:val="0"/>
          <w:color w:val="000000"/>
          <w:lang w:eastAsia="zh-CN"/>
        </w:rPr>
        <w:t>及</w:t>
      </w:r>
      <w:r>
        <w:rPr>
          <w:strike w:val="0"/>
          <w:color w:val="000000"/>
        </w:rPr>
        <w:t>各个行业的相关数据安全法规。平台利用先进的自然语言处理和机器学习技术，内置行业合规模</w:t>
      </w:r>
      <w:r>
        <w:rPr>
          <w:rFonts w:hint="eastAsia"/>
          <w:strike w:val="0"/>
          <w:color w:val="000000"/>
          <w:lang w:eastAsia="zh-CN"/>
        </w:rPr>
        <w:t>板</w:t>
      </w:r>
      <w:r>
        <w:rPr>
          <w:strike w:val="0"/>
          <w:color w:val="000000"/>
        </w:rPr>
        <w:t>，实现数据的自动化分类分级。</w:t>
      </w:r>
    </w:p>
    <w:p w14:paraId="7D7DCA7D">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strike w:val="0"/>
          <w:color w:val="000000"/>
        </w:rPr>
      </w:pPr>
      <w:r>
        <w:rPr>
          <w:strike w:val="0"/>
          <w:color w:val="000000"/>
        </w:rPr>
        <w:t>为确保数据在存储和传输过程中的合规性，石犀平台通过多种加密算法对敏感数据进行高强度加密，让数据在传输线路与存储介质中始终处于“密文保护”状态。同时，平台还配备强大的数据脱敏及数据防护工具，支持多种数据防泄密规则，保证数据在合规使用的同时，不影响业务正常运行。此外，平台完整记录所有数据操作日志，涵盖操作时间、操作人、操作内容等关键信息，为企业顺利通过合规审计提供有力支撑。</w:t>
      </w:r>
    </w:p>
    <w:p w14:paraId="5BECC8A0">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82" w:name="_Toc791002351"/>
      <w:bookmarkStart w:id="83" w:name="_Toc1383277733"/>
      <w:r>
        <w:t>业务安全防护</w:t>
      </w:r>
      <w:bookmarkEnd w:id="82"/>
      <w:bookmarkEnd w:id="83"/>
    </w:p>
    <w:p w14:paraId="6C12D849">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strike w:val="0"/>
          <w:color w:val="000000"/>
        </w:rPr>
      </w:pPr>
      <w:r>
        <w:rPr>
          <w:strike w:val="0"/>
          <w:color w:val="000000"/>
        </w:rPr>
        <w:t>在数字化业务蓬勃发展的今天，应用层攻击手段层出不穷，严重威胁企业的业务安全与正常运营。石犀平台精准聚焦应用层安全防护，凭借先进的技术与全面的功能，为企业构建起抵御网络攻击的坚实防线，保障数据安全，护航业务发展。</w:t>
      </w:r>
    </w:p>
    <w:p w14:paraId="5775FA1B">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strike w:val="0"/>
          <w:color w:val="000000"/>
        </w:rPr>
      </w:pPr>
      <w:r>
        <w:rPr>
          <w:strike w:val="0"/>
          <w:color w:val="000000"/>
        </w:rPr>
        <w:t>石犀平台依托强大的入侵检测和防御体系，实时监控网络流量，精准识别并阻断SQL注入、BOT攻击、CC攻击等常见Web攻击，有效保障应用程序稳定运行。同时，石犀平台提供弱密码检测、人机验证、异常流量识别等多维度主动防御能力，从源头防范账号被盗风险，预警潜在攻击。石犀平台还针对勒索软件、钓鱼攻击和APT攻击等高级威胁提供专项防护方案，有效阻止数据劫持、防范账号被盗、抵御高级威胁，为企业核心数据安全和业务连续性保驾护航。此外，平台通过Web防篡改、域名防篡改和防病毒网关等功能，保障业务展示准确、域名解析无误、系统无病毒，全面提升用户信任度。石犀平台以领先的技术实力和全面的安全防护能力，为企业构建坚固的数字安全壁垒。</w:t>
      </w:r>
    </w:p>
    <w:p w14:paraId="4A5B3EF4">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84" w:name="_Toc1452738327"/>
      <w:bookmarkStart w:id="85" w:name="_Toc90896109"/>
      <w:r>
        <w:t>业务运行稳定</w:t>
      </w:r>
      <w:bookmarkEnd w:id="84"/>
      <w:bookmarkEnd w:id="85"/>
    </w:p>
    <w:p w14:paraId="1D73392E">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strike w:val="0"/>
          <w:color w:val="000000"/>
        </w:rPr>
      </w:pPr>
      <w:r>
        <w:rPr>
          <w:strike w:val="0"/>
          <w:color w:val="000000"/>
        </w:rPr>
        <w:t>业务系统的稳定运行是企业数字化转型的核心基石，石犀平台以全方位的技术能力为企业构建起坚实的业务保障体系，助力企业实现高效运营。</w:t>
      </w:r>
    </w:p>
    <w:p w14:paraId="6A7557FF">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strike w:val="0"/>
          <w:color w:val="000000"/>
        </w:rPr>
      </w:pPr>
      <w:r>
        <w:rPr>
          <w:strike w:val="0"/>
          <w:color w:val="000000"/>
        </w:rPr>
        <w:t>石犀平台通过智能监控系统，基于大数据分析与机器学习算法，对业务系统的关键性能指标进行7</w:t>
      </w:r>
      <w:r>
        <w:rPr>
          <w:rFonts w:hint="eastAsia"/>
          <w:strike w:val="0"/>
          <w:color w:val="000000"/>
          <w:lang w:val="en-US" w:eastAsia="zh-CN"/>
        </w:rPr>
        <w:t>x24</w:t>
      </w:r>
      <w:r>
        <w:rPr>
          <w:strike w:val="0"/>
          <w:color w:val="000000"/>
        </w:rPr>
        <w:t>实时监测，并结合多维度告警与可视化分析，帮助运维人员快速定位问题根源，显著提升运维效率，降低业务中断风险。同时，石犀平台采用先进的负载均衡与性能优化技术，在业务高峰时期智能分配流量，避免服务器过载，确保业务系统的高可用性。此外，平台通过带宽控制、数据缓冲等机制，为核心业务提供稳定的网络环境与数据传输保障，有效应对网络波动带来的挑战。</w:t>
      </w:r>
    </w:p>
    <w:p w14:paraId="5545A261">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86" w:name="_Toc1431479146"/>
      <w:bookmarkStart w:id="87" w:name="_Toc830030946"/>
      <w:r>
        <w:t>业务运营加速</w:t>
      </w:r>
      <w:bookmarkEnd w:id="86"/>
      <w:bookmarkEnd w:id="87"/>
    </w:p>
    <w:p w14:paraId="4AC46C71">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strike w:val="0"/>
          <w:color w:val="000000"/>
        </w:rPr>
      </w:pPr>
      <w:r>
        <w:rPr>
          <w:strike w:val="0"/>
          <w:color w:val="000000"/>
        </w:rPr>
        <w:t>在企业业务运营场景中，运营效率直接影响整体生产力与竞争力。石犀平台通过一系列创新技术，优化内部业务运行逻辑，提升数据处理与传输效率，为企业高效运营提供坚实保障。</w:t>
      </w:r>
    </w:p>
    <w:p w14:paraId="663DC3EB">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strike w:val="0"/>
          <w:color w:val="000000"/>
        </w:rPr>
      </w:pPr>
      <w:r>
        <w:rPr>
          <w:strike w:val="0"/>
          <w:color w:val="000000"/>
        </w:rPr>
        <w:t>在数据传输环节，石犀平台支持SSL卸载功能，将加解密操作从业务服务器转移到平台处理，显著降低服务器负载，提升数据传输效率。同时，平台支持多协议灵活转换，能够根据内部网络环境和业务需求，在HTTP、HTTPS、TCP、UDP等协议间无缝切换，消除协议不兼容带来的传输障碍，确保数据在内部网络中快速、稳定流转。</w:t>
      </w:r>
    </w:p>
    <w:p w14:paraId="2464B2C5">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strike w:val="0"/>
          <w:color w:val="000000"/>
        </w:rPr>
      </w:pPr>
      <w:r>
        <w:rPr>
          <w:strike w:val="0"/>
          <w:color w:val="000000"/>
        </w:rPr>
        <w:t>此外，平台通过智能缓存技术对常用数据进行高效管理，优先从缓存中读取数据，减少对后端存储设备的频繁访问，显著降低服务器I/O负载，缩短数据读取时间，全面提升内部业务处理效率与办公协同能力。石犀平台以技术创新驱动内部业务效率提升，助力企业实现高效运营与持续发展。</w:t>
      </w:r>
    </w:p>
    <w:p w14:paraId="66770BE1">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88" w:name="_Toc610709481"/>
      <w:bookmarkStart w:id="89" w:name="_Toc276338510"/>
      <w:r>
        <w:t>一站式运维</w:t>
      </w:r>
      <w:bookmarkEnd w:id="88"/>
      <w:bookmarkEnd w:id="89"/>
    </w:p>
    <w:p w14:paraId="77C46FA8">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strike w:val="0"/>
          <w:color w:val="000000"/>
        </w:rPr>
      </w:pPr>
      <w:r>
        <w:rPr>
          <w:strike w:val="0"/>
          <w:color w:val="000000"/>
        </w:rPr>
        <w:t>石犀平台以“一个平台”为核心，实现数据资产全生命周期管理与数据流动全链路闭环管控，同时提供一站式运维能力，助力企业提升运营效率与安全水平。用户可通过平台完成统一安装升级、授权管理、配置策略部署、数据备份恢复等操作，并实时监控设备与系统运行状态，追溯系统日志，快速处理风险告警，显著降低运维复杂度。此外，平台内置资产发现、风险识别与处置策略，支持自动化处理，进一步提升运维效率，保障业务连续性。</w:t>
      </w:r>
    </w:p>
    <w:p w14:paraId="44A04FBA">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color w:val="939393"/>
        </w:rPr>
      </w:pPr>
      <w:r>
        <w:rPr>
          <w:strike w:val="0"/>
          <w:color w:val="000000"/>
        </w:rPr>
        <w:t>石犀平台采用“平台+组件”的灵活架构，将数据采集、识别、处理、分析、治理、管控等原子能力模块化，形成可灵活组合的组件库。用户可根据业务场景需求，对组件进行自定义编排与扩展，快速响应业务变化，满足多样化数据安全管控需求。石犀平台以一体化的设计理念与灵活的架构，为企业提供高效、智能的数据安全运维解决方案，助力企业在数字化进程中实现安全与效率的双重提升。</w:t>
      </w:r>
    </w:p>
    <w:p w14:paraId="7F6E5396">
      <w:r>
        <w:br w:type="page"/>
      </w:r>
    </w:p>
    <w:p w14:paraId="4221BA6D">
      <w:pPr>
        <w:pStyle w:val="2"/>
        <w:pageBreakBefore w:val="0"/>
        <w:numPr>
          <w:ilvl w:val="0"/>
          <w:numId w:val="3"/>
        </w:numPr>
        <w:kinsoku/>
        <w:wordWrap/>
        <w:overflowPunct/>
        <w:topLinePunct w:val="0"/>
        <w:autoSpaceDE/>
        <w:autoSpaceDN/>
        <w:bidi w:val="0"/>
        <w:snapToGrid/>
        <w:spacing w:before="60" w:after="60" w:line="312" w:lineRule="auto"/>
        <w:textAlignment w:val="auto"/>
      </w:pPr>
      <w:bookmarkStart w:id="90" w:name="_Toc1369898154"/>
      <w:bookmarkStart w:id="91" w:name="_Toc1561692756"/>
      <w:r>
        <w:t>应用场景</w:t>
      </w:r>
      <w:bookmarkEnd w:id="90"/>
      <w:bookmarkEnd w:id="91"/>
    </w:p>
    <w:p w14:paraId="6AA1F873">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92" w:name="_Toc706094791"/>
      <w:bookmarkStart w:id="93" w:name="_Toc825016458"/>
      <w:r>
        <w:t>业务代理安全发布</w:t>
      </w:r>
      <w:bookmarkEnd w:id="92"/>
      <w:bookmarkEnd w:id="93"/>
    </w:p>
    <w:p w14:paraId="628E4588">
      <w:pPr>
        <w:pageBreakBefore w:val="0"/>
        <w:kinsoku/>
        <w:wordWrap/>
        <w:overflowPunct/>
        <w:topLinePunct w:val="0"/>
        <w:autoSpaceDE/>
        <w:autoSpaceDN/>
        <w:bidi w:val="0"/>
        <w:snapToGrid/>
        <w:spacing w:before="60" w:after="60" w:line="312" w:lineRule="auto"/>
        <w:ind w:left="0" w:firstLineChars="0"/>
        <w:textAlignment w:val="auto"/>
      </w:pPr>
      <w:r>
        <w:drawing>
          <wp:inline distT="0" distB="0" distL="0" distR="0">
            <wp:extent cx="5274310" cy="2430780"/>
            <wp:effectExtent l="0" t="0" r="8890" b="7620"/>
            <wp:docPr id="20" name="picture" descr="descript"/>
            <wp:cNvGraphicFramePr/>
            <a:graphic xmlns:a="http://schemas.openxmlformats.org/drawingml/2006/main">
              <a:graphicData uri="http://schemas.openxmlformats.org/drawingml/2006/picture">
                <pic:pic xmlns:pic="http://schemas.openxmlformats.org/drawingml/2006/picture">
                  <pic:nvPicPr>
                    <pic:cNvPr id="20" name="picture" descr="descript"/>
                    <pic:cNvPicPr/>
                  </pic:nvPicPr>
                  <pic:blipFill>
                    <a:blip r:embed="rId12"/>
                    <a:stretch>
                      <a:fillRect/>
                    </a:stretch>
                  </pic:blipFill>
                  <pic:spPr>
                    <a:xfrm>
                      <a:off x="0" y="0"/>
                      <a:ext cx="5274310" cy="2430780"/>
                    </a:xfrm>
                    <a:prstGeom prst="rect">
                      <a:avLst/>
                    </a:prstGeom>
                  </pic:spPr>
                </pic:pic>
              </a:graphicData>
            </a:graphic>
          </wp:inline>
        </w:drawing>
      </w:r>
    </w:p>
    <w:p w14:paraId="43763FA2">
      <w:pPr>
        <w:pStyle w:val="45"/>
        <w:pageBreakBefore w:val="0"/>
        <w:kinsoku/>
        <w:wordWrap/>
        <w:overflowPunct/>
        <w:topLinePunct w:val="0"/>
        <w:autoSpaceDE/>
        <w:autoSpaceDN/>
        <w:bidi w:val="0"/>
        <w:snapToGrid/>
        <w:spacing w:before="60" w:after="60" w:line="312" w:lineRule="auto"/>
        <w:textAlignment w:val="auto"/>
      </w:pPr>
      <w:r>
        <w:t>图6-1石犀业务代理</w:t>
      </w:r>
    </w:p>
    <w:p w14:paraId="004854B1">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strike w:val="0"/>
          <w:color w:val="000000"/>
        </w:rPr>
      </w:pPr>
      <w:r>
        <w:rPr>
          <w:strike w:val="0"/>
          <w:color w:val="000000"/>
        </w:rPr>
        <w:t>在企业数字化转型过程中，业务系统的安全性与运行效率至关重要。然而，传统的NAT端口映射和Nginx反向代理方式难以满足日益复杂的业务需求和安全挑战。企业需要一种能够深度隐藏业务系统、集中化管理、实时监测运行状态、优化性能并提供全方位安全防护的解决方案。</w:t>
      </w:r>
    </w:p>
    <w:p w14:paraId="6F978F75">
      <w:pPr>
        <w:pStyle w:val="11"/>
        <w:pageBreakBefore w:val="0"/>
        <w:kinsoku/>
        <w:wordWrap/>
        <w:overflowPunct/>
        <w:topLinePunct w:val="0"/>
        <w:autoSpaceDE/>
        <w:autoSpaceDN/>
        <w:bidi w:val="0"/>
        <w:snapToGrid/>
        <w:spacing w:before="60" w:after="60" w:afterLines="0" w:line="312" w:lineRule="auto"/>
        <w:textAlignment w:val="auto"/>
        <w:rPr>
          <w:strike w:val="0"/>
          <w:color w:val="000000"/>
        </w:rPr>
      </w:pPr>
      <w:r>
        <w:rPr>
          <w:strike w:val="0"/>
          <w:color w:val="000000"/>
        </w:rPr>
        <w:t>石犀平台通过先进的业务安全发布网关能力，为企业构建了一套全面且深度的业务安全代理体系：</w:t>
      </w:r>
    </w:p>
    <w:p w14:paraId="3A13A82D">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strike w:val="0"/>
          <w:u w:val="none"/>
        </w:rPr>
      </w:pPr>
      <w:r>
        <w:rPr>
          <w:rFonts w:ascii="Times New Roman" w:hAnsi="Times New Roman" w:eastAsia="宋体" w:cs="Times New Roman"/>
          <w:b/>
          <w:bCs w:val="0"/>
          <w:strike w:val="0"/>
          <w:u w:val="none"/>
        </w:rPr>
        <w:t>业务隐藏与集中发布</w:t>
      </w:r>
      <w:r>
        <w:rPr>
          <w:rFonts w:ascii="Times New Roman" w:hAnsi="Times New Roman" w:eastAsia="宋体" w:cs="Times New Roman"/>
          <w:b w:val="0"/>
          <w:bCs/>
          <w:strike w:val="0"/>
          <w:u w:val="none"/>
        </w:rPr>
        <w:t>：采用业务隐藏技术，深度隐藏真实业务系统的详细信息与网络地址，降低被攻击面。通过单一IP与端口对外发布，关联多套业务系统，实现集中化发布管理与精细化管控，简化运维流程的同时提升安全性。</w:t>
      </w:r>
    </w:p>
    <w:p w14:paraId="6CF2417A">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strike w:val="0"/>
          <w:u w:val="none"/>
        </w:rPr>
      </w:pPr>
      <w:r>
        <w:rPr>
          <w:rFonts w:ascii="Times New Roman" w:hAnsi="Times New Roman" w:eastAsia="宋体" w:cs="Times New Roman"/>
          <w:b/>
          <w:bCs w:val="0"/>
          <w:strike w:val="0"/>
          <w:u w:val="none"/>
        </w:rPr>
        <w:t>实时运行监测与预警</w:t>
      </w:r>
      <w:r>
        <w:rPr>
          <w:rFonts w:ascii="Times New Roman" w:hAnsi="Times New Roman" w:eastAsia="宋体" w:cs="Times New Roman"/>
          <w:b w:val="0"/>
          <w:bCs/>
          <w:strike w:val="0"/>
          <w:u w:val="none"/>
        </w:rPr>
        <w:t>：对业务系统的运行状态、网络流量、数据传输速率等关键指标进行全方位监测，结合智能算法模型，快速识别性能瓶颈、异常流量及安全威胁，及时预警并提供数据支撑，保障业务系统稳定运行。</w:t>
      </w:r>
    </w:p>
    <w:p w14:paraId="1B510318">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strike w:val="0"/>
          <w:u w:val="none"/>
        </w:rPr>
      </w:pPr>
      <w:r>
        <w:rPr>
          <w:rFonts w:ascii="Times New Roman" w:hAnsi="Times New Roman" w:eastAsia="宋体" w:cs="Times New Roman"/>
          <w:b/>
          <w:bCs w:val="0"/>
          <w:strike w:val="0"/>
          <w:u w:val="none"/>
        </w:rPr>
        <w:t>性能优化与效率提升</w:t>
      </w:r>
      <w:r>
        <w:rPr>
          <w:rFonts w:ascii="Times New Roman" w:hAnsi="Times New Roman" w:eastAsia="宋体" w:cs="Times New Roman"/>
          <w:b w:val="0"/>
          <w:bCs/>
          <w:strike w:val="0"/>
          <w:u w:val="none"/>
        </w:rPr>
        <w:t>：运用网络优化技术与高效数据处理策略，优化数据传输路径与处理流程。通过负载均衡、智能缓存与分布式内容分发，降低系统响应时间，提升数据传输速度，显著提高业务运营效率。</w:t>
      </w:r>
    </w:p>
    <w:p w14:paraId="318C4A86">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strike w:val="0"/>
          <w:u w:val="none"/>
        </w:rPr>
      </w:pPr>
      <w:r>
        <w:rPr>
          <w:rFonts w:ascii="Times New Roman" w:hAnsi="Times New Roman" w:eastAsia="宋体" w:cs="Times New Roman"/>
          <w:b/>
          <w:bCs w:val="0"/>
          <w:strike w:val="0"/>
          <w:u w:val="none"/>
        </w:rPr>
        <w:t>多层次安全防护</w:t>
      </w:r>
      <w:r>
        <w:rPr>
          <w:rFonts w:ascii="Times New Roman" w:hAnsi="Times New Roman" w:eastAsia="宋体" w:cs="Times New Roman"/>
          <w:b w:val="0"/>
          <w:bCs/>
          <w:strike w:val="0"/>
          <w:u w:val="none"/>
        </w:rPr>
        <w:t>：快速部署多种应用安全防护插件，精准拦截复杂网络攻击。通过可配置的访问控制列表，实现基于用户身份与业务场景的细粒度访问控制。同时，提供专业级数据泄密防护插件，在不影响业务运行的前提下，有效防止数据泄露。</w:t>
      </w:r>
    </w:p>
    <w:p w14:paraId="3E84155E">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strike w:val="0"/>
          <w:u w:val="none"/>
        </w:rPr>
      </w:pPr>
      <w:r>
        <w:rPr>
          <w:rFonts w:ascii="Times New Roman" w:hAnsi="Times New Roman" w:eastAsia="宋体" w:cs="Times New Roman"/>
          <w:b w:val="0"/>
          <w:bCs/>
          <w:strike w:val="0"/>
          <w:u w:val="none"/>
        </w:rPr>
        <w:t>……</w:t>
      </w:r>
    </w:p>
    <w:p w14:paraId="63BC6BEB">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94" w:name="_Toc340519015"/>
      <w:bookmarkStart w:id="95" w:name="_Toc1897184574"/>
      <w:r>
        <w:t>API安全治理</w:t>
      </w:r>
      <w:bookmarkEnd w:id="94"/>
      <w:bookmarkEnd w:id="95"/>
    </w:p>
    <w:p w14:paraId="215CBF04">
      <w:pPr>
        <w:pageBreakBefore w:val="0"/>
        <w:kinsoku/>
        <w:wordWrap/>
        <w:overflowPunct/>
        <w:topLinePunct w:val="0"/>
        <w:autoSpaceDE/>
        <w:autoSpaceDN/>
        <w:bidi w:val="0"/>
        <w:snapToGrid/>
        <w:spacing w:before="60" w:after="60" w:line="312" w:lineRule="auto"/>
        <w:textAlignment w:val="auto"/>
      </w:pPr>
      <w:r>
        <w:drawing>
          <wp:inline distT="0" distB="0" distL="0" distR="0">
            <wp:extent cx="5274310" cy="2060575"/>
            <wp:effectExtent l="0" t="0" r="8890" b="22225"/>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13"/>
                    <a:stretch>
                      <a:fillRect/>
                    </a:stretch>
                  </pic:blipFill>
                  <pic:spPr>
                    <a:xfrm>
                      <a:off x="0" y="0"/>
                      <a:ext cx="5274310" cy="2060575"/>
                    </a:xfrm>
                    <a:prstGeom prst="rect">
                      <a:avLst/>
                    </a:prstGeom>
                  </pic:spPr>
                </pic:pic>
              </a:graphicData>
            </a:graphic>
          </wp:inline>
        </w:drawing>
      </w:r>
    </w:p>
    <w:p w14:paraId="2861BF77">
      <w:pPr>
        <w:pStyle w:val="45"/>
        <w:pageBreakBefore w:val="0"/>
        <w:kinsoku/>
        <w:wordWrap/>
        <w:overflowPunct/>
        <w:topLinePunct w:val="0"/>
        <w:autoSpaceDE/>
        <w:autoSpaceDN/>
        <w:bidi w:val="0"/>
        <w:snapToGrid/>
        <w:spacing w:before="60" w:after="60" w:line="312" w:lineRule="auto"/>
        <w:textAlignment w:val="auto"/>
      </w:pPr>
      <w:r>
        <w:t>图6-2</w:t>
      </w:r>
      <w:r>
        <w:rPr>
          <w:rFonts w:hint="eastAsia"/>
          <w:lang w:val="en-US" w:eastAsia="zh-CN"/>
        </w:rPr>
        <w:t xml:space="preserve"> </w:t>
      </w:r>
      <w:r>
        <w:t>API数据安全综合治理结构</w:t>
      </w:r>
    </w:p>
    <w:p w14:paraId="6D106FD1">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pPr>
      <w:r>
        <w:rPr>
          <w:b w:val="0"/>
          <w:i w:val="0"/>
          <w:strike w:val="0"/>
          <w:color w:val="000000"/>
          <w:u w:val="none"/>
        </w:rPr>
        <w:t>石犀数据流动治理平台可通过流量采集、手动新增或导入发现API资产，支持合并拆分等管理操作。经接口识别等建立API资产库，对资产盘点、审计分析、梳理业务关系，识别并治理运行中的风险与缺陷，实现“采集-识别-分析-治理”闭环管控。同时，依托多维度构建综合态势分析体系</w:t>
      </w:r>
      <w:r>
        <w:rPr>
          <w:rFonts w:hint="eastAsia"/>
          <w:b w:val="0"/>
          <w:i w:val="0"/>
          <w:strike w:val="0"/>
          <w:color w:val="000000"/>
          <w:u w:val="none"/>
          <w:lang w:eastAsia="zh-CN"/>
        </w:rPr>
        <w:t>，帮</w:t>
      </w:r>
      <w:r>
        <w:rPr>
          <w:b w:val="0"/>
          <w:i w:val="0"/>
          <w:strike w:val="0"/>
          <w:color w:val="000000"/>
          <w:u w:val="none"/>
        </w:rPr>
        <w:t>助用户掌握API运行趋势，保障业务稳定。</w:t>
      </w:r>
    </w:p>
    <w:p w14:paraId="24B4CBED">
      <w:pPr>
        <w:pStyle w:val="11"/>
        <w:pageBreakBefore w:val="0"/>
        <w:kinsoku/>
        <w:wordWrap/>
        <w:overflowPunct/>
        <w:topLinePunct w:val="0"/>
        <w:autoSpaceDE/>
        <w:autoSpaceDN/>
        <w:bidi w:val="0"/>
        <w:snapToGrid/>
        <w:spacing w:before="60" w:after="60" w:afterLines="0" w:line="312" w:lineRule="auto"/>
        <w:textAlignment w:val="auto"/>
        <w:rPr>
          <w:b w:val="0"/>
          <w:i w:val="0"/>
          <w:strike w:val="0"/>
          <w:color w:val="000000"/>
          <w:u w:val="none"/>
        </w:rPr>
      </w:pPr>
      <w:r>
        <w:rPr>
          <w:b w:val="0"/>
          <w:i w:val="0"/>
          <w:strike w:val="0"/>
          <w:color w:val="000000"/>
          <w:u w:val="none"/>
        </w:rPr>
        <w:t>API资产安全治理能力包括：</w:t>
      </w:r>
    </w:p>
    <w:p w14:paraId="4A950348">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i w:val="0"/>
          <w:strike w:val="0"/>
          <w:u w:val="none"/>
        </w:rPr>
        <w:t>API发现</w:t>
      </w:r>
      <w:r>
        <w:rPr>
          <w:rFonts w:ascii="Times New Roman" w:hAnsi="Times New Roman" w:eastAsia="宋体" w:cs="Times New Roman"/>
          <w:b w:val="0"/>
          <w:bCs/>
          <w:i w:val="0"/>
          <w:strike w:val="0"/>
          <w:u w:val="none"/>
        </w:rPr>
        <w:t>：自动扫描内外部交互流量识别资产，识别多种协议API，支持手动新增与批量导入。</w:t>
      </w:r>
    </w:p>
    <w:p w14:paraId="6361327A">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i w:val="0"/>
          <w:strike w:val="0"/>
          <w:u w:val="none"/>
        </w:rPr>
        <w:t>API资产分析</w:t>
      </w:r>
      <w:r>
        <w:rPr>
          <w:rFonts w:ascii="Times New Roman" w:hAnsi="Times New Roman" w:eastAsia="宋体" w:cs="Times New Roman"/>
          <w:b w:val="0"/>
          <w:bCs/>
          <w:i w:val="0"/>
          <w:strike w:val="0"/>
          <w:u w:val="none"/>
        </w:rPr>
        <w:t>：按功能等因素分级分类并打标；评估数据敏感性；添加数据标签，记录版本变化。</w:t>
      </w:r>
    </w:p>
    <w:p w14:paraId="70FC1562">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i w:val="0"/>
          <w:strike w:val="0"/>
          <w:u w:val="none"/>
        </w:rPr>
        <w:t>API风险分析</w:t>
      </w:r>
      <w:r>
        <w:rPr>
          <w:rFonts w:ascii="Times New Roman" w:hAnsi="Times New Roman" w:eastAsia="宋体" w:cs="Times New Roman"/>
          <w:b w:val="0"/>
          <w:bCs/>
          <w:i w:val="0"/>
          <w:strike w:val="0"/>
          <w:u w:val="none"/>
        </w:rPr>
        <w:t>：评估API资产的安全风险，识别潜在的风险、弱点、漏洞、OWASP TOP10等。</w:t>
      </w:r>
    </w:p>
    <w:p w14:paraId="3CC2BF91">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i w:val="0"/>
          <w:strike w:val="0"/>
          <w:u w:val="none"/>
        </w:rPr>
        <w:t>API审计分析</w:t>
      </w:r>
      <w:r>
        <w:rPr>
          <w:rFonts w:ascii="Times New Roman" w:hAnsi="Times New Roman" w:eastAsia="宋体" w:cs="Times New Roman"/>
          <w:b w:val="0"/>
          <w:bCs/>
          <w:i w:val="0"/>
          <w:strike w:val="0"/>
          <w:u w:val="none"/>
        </w:rPr>
        <w:t>：记录调用日志确保可追溯，关联用户行为审计，提供合规性检查。</w:t>
      </w:r>
    </w:p>
    <w:p w14:paraId="4B46FD06">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i w:val="0"/>
          <w:strike w:val="0"/>
          <w:u w:val="none"/>
        </w:rPr>
        <w:t>API安全防护</w:t>
      </w:r>
      <w:r>
        <w:rPr>
          <w:rFonts w:ascii="Times New Roman" w:hAnsi="Times New Roman" w:eastAsia="宋体" w:cs="Times New Roman"/>
          <w:b w:val="0"/>
          <w:bCs/>
          <w:i w:val="0"/>
          <w:strike w:val="0"/>
          <w:u w:val="none"/>
        </w:rPr>
        <w:t>：实施多层次安全防护措施，防止API遭受攻击和滥用，确保数据和服务的安全性；</w:t>
      </w:r>
    </w:p>
    <w:p w14:paraId="1C68B047">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i w:val="0"/>
          <w:strike w:val="0"/>
          <w:u w:val="none"/>
        </w:rPr>
        <w:t>API风险处置</w:t>
      </w:r>
      <w:r>
        <w:rPr>
          <w:rFonts w:ascii="Times New Roman" w:hAnsi="Times New Roman" w:eastAsia="宋体" w:cs="Times New Roman"/>
          <w:b w:val="0"/>
          <w:bCs/>
          <w:i w:val="0"/>
          <w:strike w:val="0"/>
          <w:u w:val="none"/>
        </w:rPr>
        <w:t>：针对已识别风险提供修复建议，对高危API采取封禁等措施，支持对风险、弱点进行自动处置，提供评估报表指导优化。</w:t>
      </w:r>
    </w:p>
    <w:p w14:paraId="1ED72851">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i w:val="0"/>
          <w:strike w:val="0"/>
          <w:u w:val="none"/>
        </w:rPr>
      </w:pPr>
      <w:r>
        <w:rPr>
          <w:rFonts w:ascii="Times New Roman" w:hAnsi="Times New Roman" w:eastAsia="宋体" w:cs="Times New Roman"/>
          <w:b/>
          <w:bCs w:val="0"/>
          <w:i w:val="0"/>
          <w:strike w:val="0"/>
          <w:u w:val="none"/>
        </w:rPr>
        <w:t>API态势感知</w:t>
      </w:r>
      <w:r>
        <w:rPr>
          <w:rFonts w:ascii="Times New Roman" w:hAnsi="Times New Roman" w:eastAsia="宋体" w:cs="Times New Roman"/>
          <w:b w:val="0"/>
          <w:bCs/>
          <w:i w:val="0"/>
          <w:strike w:val="0"/>
          <w:u w:val="none"/>
        </w:rPr>
        <w:t>：提供API安全状态的实时监控和分析，展现整体安全态势，助力管理者、运维人员全局掌握API相关趋势。</w:t>
      </w:r>
    </w:p>
    <w:p w14:paraId="3287EEEB">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i w:val="0"/>
          <w:strike w:val="0"/>
          <w:u w:val="none"/>
        </w:rPr>
      </w:pPr>
      <w:r>
        <w:rPr>
          <w:rFonts w:ascii="Times New Roman" w:hAnsi="Times New Roman" w:eastAsia="宋体" w:cs="Times New Roman"/>
          <w:b w:val="0"/>
          <w:bCs/>
          <w:i w:val="0"/>
          <w:strike w:val="0"/>
          <w:u w:val="none"/>
        </w:rPr>
        <w:t>……</w:t>
      </w:r>
    </w:p>
    <w:p w14:paraId="4ACB7521">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rPr>
          <w:b w:val="0"/>
          <w:i w:val="0"/>
          <w:strike w:val="0"/>
          <w:color w:val="000000"/>
          <w:u w:val="none"/>
        </w:rPr>
      </w:pPr>
      <w:r>
        <w:rPr>
          <w:b w:val="0"/>
          <w:i w:val="0"/>
          <w:strike w:val="0"/>
          <w:color w:val="000000"/>
          <w:u w:val="none"/>
        </w:rPr>
        <w:t>通过API资产发现、分析、风险评估、审计、防护、风险处置、态势感知全链路闭环管理，数据流动治理平台能够精准掌控API安全状态，降低API资产暴露风险，提升API运行安全性，从而有效保障企业数据安全、合规运营。</w:t>
      </w:r>
    </w:p>
    <w:p w14:paraId="3EB071DB">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96" w:name="_Toc59165850"/>
      <w:bookmarkStart w:id="97" w:name="_Toc143944562"/>
      <w:r>
        <w:t>核心数字资产盘点</w:t>
      </w:r>
      <w:bookmarkEnd w:id="96"/>
      <w:bookmarkEnd w:id="97"/>
    </w:p>
    <w:p w14:paraId="1EE688B9">
      <w:pPr>
        <w:pageBreakBefore w:val="0"/>
        <w:kinsoku/>
        <w:wordWrap/>
        <w:overflowPunct/>
        <w:topLinePunct w:val="0"/>
        <w:autoSpaceDE/>
        <w:autoSpaceDN/>
        <w:bidi w:val="0"/>
        <w:snapToGrid/>
        <w:spacing w:before="60" w:after="60" w:line="312" w:lineRule="auto"/>
        <w:textAlignment w:val="auto"/>
      </w:pPr>
      <w:r>
        <w:drawing>
          <wp:inline distT="0" distB="0" distL="0" distR="0">
            <wp:extent cx="5274310" cy="1731010"/>
            <wp:effectExtent l="0" t="0" r="8890" b="21590"/>
            <wp:docPr id="26" name="picture" descr="descript"/>
            <wp:cNvGraphicFramePr/>
            <a:graphic xmlns:a="http://schemas.openxmlformats.org/drawingml/2006/main">
              <a:graphicData uri="http://schemas.openxmlformats.org/drawingml/2006/picture">
                <pic:pic xmlns:pic="http://schemas.openxmlformats.org/drawingml/2006/picture">
                  <pic:nvPicPr>
                    <pic:cNvPr id="26" name="picture" descr="descript"/>
                    <pic:cNvPicPr/>
                  </pic:nvPicPr>
                  <pic:blipFill>
                    <a:blip r:embed="rId14"/>
                    <a:srcRect/>
                    <a:stretch>
                      <a:fillRect/>
                    </a:stretch>
                  </pic:blipFill>
                  <pic:spPr>
                    <a:xfrm>
                      <a:off x="0" y="0"/>
                      <a:ext cx="5274310" cy="1731010"/>
                    </a:xfrm>
                    <a:prstGeom prst="rect">
                      <a:avLst/>
                    </a:prstGeom>
                    <a:solidFill>
                      <a:srgbClr val="FFFFFF"/>
                    </a:solidFill>
                  </pic:spPr>
                </pic:pic>
              </a:graphicData>
            </a:graphic>
          </wp:inline>
        </w:drawing>
      </w:r>
    </w:p>
    <w:p w14:paraId="398662EB">
      <w:pPr>
        <w:pStyle w:val="45"/>
        <w:pageBreakBefore w:val="0"/>
        <w:kinsoku/>
        <w:wordWrap/>
        <w:overflowPunct/>
        <w:topLinePunct w:val="0"/>
        <w:autoSpaceDE/>
        <w:autoSpaceDN/>
        <w:bidi w:val="0"/>
        <w:snapToGrid/>
        <w:spacing w:before="60" w:after="60" w:line="312" w:lineRule="auto"/>
        <w:textAlignment w:val="auto"/>
      </w:pPr>
      <w:r>
        <w:t>图6-3核心数字资产盘点</w:t>
      </w:r>
    </w:p>
    <w:p w14:paraId="7E789939">
      <w:pPr>
        <w:pageBreakBefore w:val="0"/>
        <w:kinsoku/>
        <w:wordWrap/>
        <w:overflowPunct/>
        <w:topLinePunct w:val="0"/>
        <w:autoSpaceDE/>
        <w:autoSpaceDN/>
        <w:bidi w:val="0"/>
        <w:snapToGrid/>
        <w:spacing w:before="60" w:after="60" w:line="312" w:lineRule="auto"/>
        <w:textAlignment w:val="auto"/>
        <w:rPr>
          <w:strike w:val="0"/>
          <w:color w:val="000000"/>
          <w:sz w:val="24"/>
          <w:szCs w:val="32"/>
          <w:shd w:val="clear" w:color="auto" w:fill="auto"/>
        </w:rPr>
      </w:pPr>
      <w:r>
        <w:rPr>
          <w:sz w:val="24"/>
          <w:szCs w:val="32"/>
        </w:rPr>
        <w:tab/>
      </w:r>
      <w:r>
        <w:rPr>
          <w:sz w:val="24"/>
          <w:szCs w:val="32"/>
        </w:rPr>
        <w:t>核心数字资产已成为当今企业的</w:t>
      </w:r>
      <w:r>
        <w:rPr>
          <w:b w:val="0"/>
          <w:i w:val="0"/>
          <w:strike w:val="0"/>
          <w:spacing w:val="0"/>
          <w:sz w:val="24"/>
          <w:szCs w:val="32"/>
          <w:u w:val="none"/>
        </w:rPr>
        <w:t>战略基石之一，企业需要基于自身的数字资产为企业决策、创新驱动赋能。</w:t>
      </w:r>
      <w:r>
        <w:rPr>
          <w:sz w:val="24"/>
          <w:szCs w:val="32"/>
        </w:rPr>
        <w:t>同时，</w:t>
      </w:r>
      <w:r>
        <w:rPr>
          <w:strike w:val="0"/>
          <w:color w:val="000000"/>
          <w:sz w:val="24"/>
          <w:szCs w:val="32"/>
          <w:shd w:val="clear" w:color="auto" w:fill="auto"/>
        </w:rPr>
        <w:t>数字资产的识别盘点是数据流动治理至关重要的一部分，石犀平台基于数据流动治理的方向持续深耕，在实现资产采集的基础上对资产进行多维度数据分析，并实时监控资产状态，定期输出资产报告，助力用户实现核心数字资产盘点闭环。核心数字资产盘点涵盖以下场景：</w:t>
      </w:r>
    </w:p>
    <w:p w14:paraId="61FF6036">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b/>
          <w:color w:val="000000"/>
        </w:rPr>
        <w:t>资产采集梳理：</w:t>
      </w:r>
      <w:r>
        <w:rPr>
          <w:b w:val="0"/>
          <w:color w:val="000000"/>
        </w:rPr>
        <w:t>石犀平台通过灵活</w:t>
      </w:r>
      <w:r>
        <w:rPr>
          <w:rFonts w:ascii="Times New Roman" w:hAnsi="Times New Roman" w:eastAsia="宋体" w:cs="Times New Roman"/>
          <w:b w:val="0"/>
          <w:bCs/>
          <w:u w:val="none"/>
        </w:rPr>
        <w:t>搭配部署自身各类引擎组件实现东西向、南北向流量采集，以识别其中的资产，并支持手动导入、第三方接入等方式收录资产，形成资产捕捞大网，助力企业对数字化资产实现收集梳理。同时，石犀平台支持识别应用、API、文件、数据、数据库、硬件等多种类资产，保障资产收录的多样性、全面性；</w:t>
      </w:r>
    </w:p>
    <w:p w14:paraId="52BA54E6">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资产整理分析</w:t>
      </w:r>
      <w:r>
        <w:rPr>
          <w:rFonts w:ascii="Times New Roman" w:hAnsi="Times New Roman" w:eastAsia="宋体" w:cs="Times New Roman"/>
          <w:b w:val="0"/>
          <w:bCs/>
          <w:u w:val="none"/>
        </w:rPr>
        <w:t>：石犀平台能对梳理的资产进行归属分类，并支持基于单个资产提供类如</w:t>
      </w:r>
      <w:r>
        <w:rPr>
          <w:rFonts w:ascii="Times New Roman" w:hAnsi="Times New Roman" w:eastAsia="宋体" w:cs="Times New Roman"/>
          <w:b w:val="0"/>
          <w:bCs/>
          <w:i w:val="0"/>
          <w:strike w:val="0"/>
          <w:u w:val="none"/>
        </w:rPr>
        <w:t>敏感等级、关联关系、分类分级、热度、数据匹配、风险信息等多维度信息进行分析，构建资产立体画像，使用户以多角度审视资产情况，疏通资产盘点流程；</w:t>
      </w:r>
    </w:p>
    <w:p w14:paraId="2E5DCF9C">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资产监控处置</w:t>
      </w:r>
      <w:r>
        <w:rPr>
          <w:rFonts w:ascii="Times New Roman" w:hAnsi="Times New Roman" w:eastAsia="宋体" w:cs="Times New Roman"/>
          <w:b w:val="0"/>
          <w:bCs/>
          <w:u w:val="none"/>
        </w:rPr>
        <w:t>：石犀平台实时监测流量中传输的数据，并对相应的资产进行数据更新，企业可快速知晓资产的热度情况、风险情况等多项监控指标；针对风险类信息石犀平台提供了多类处置手段，帮助企业精确减少、排除资产风险；</w:t>
      </w:r>
    </w:p>
    <w:p w14:paraId="09D3281B">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资产态势展示</w:t>
      </w:r>
      <w:r>
        <w:rPr>
          <w:rFonts w:ascii="Times New Roman" w:hAnsi="Times New Roman" w:eastAsia="宋体" w:cs="Times New Roman"/>
          <w:b w:val="0"/>
          <w:bCs/>
          <w:u w:val="none"/>
        </w:rPr>
        <w:t>：资产数据被收集统计后，石犀平台通过多类图表实现对资产不同维度下的信息展示，颗粒度由整体资产至单体资产，助力用户进一步明确资产态势</w:t>
      </w:r>
    </w:p>
    <w:p w14:paraId="026C76C6">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资产总结报告</w:t>
      </w:r>
      <w:r>
        <w:rPr>
          <w:rFonts w:ascii="Times New Roman" w:hAnsi="Times New Roman" w:eastAsia="宋体" w:cs="Times New Roman"/>
          <w:b w:val="0"/>
          <w:bCs/>
          <w:u w:val="none"/>
        </w:rPr>
        <w:t>：石犀平台针对资产提供自动化审计报告任务，定时生成安全报告，帮助企业总结更新资产状况与风险趋势等信息，闭环数字资产盘点流程。</w:t>
      </w:r>
    </w:p>
    <w:p w14:paraId="6B7F6989">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98" w:name="_Toc115512389"/>
      <w:bookmarkStart w:id="99" w:name="_Toc1209667012"/>
      <w:r>
        <w:t>数据资产分类分级</w:t>
      </w:r>
      <w:bookmarkEnd w:id="98"/>
      <w:bookmarkEnd w:id="99"/>
    </w:p>
    <w:p w14:paraId="6F8D83F3">
      <w:pPr>
        <w:pageBreakBefore w:val="0"/>
        <w:kinsoku/>
        <w:wordWrap/>
        <w:overflowPunct/>
        <w:topLinePunct w:val="0"/>
        <w:autoSpaceDE/>
        <w:autoSpaceDN/>
        <w:bidi w:val="0"/>
        <w:snapToGrid/>
        <w:spacing w:before="60" w:after="60" w:line="312" w:lineRule="auto"/>
        <w:textAlignment w:val="auto"/>
      </w:pPr>
      <w:r>
        <w:drawing>
          <wp:inline distT="0" distB="0" distL="0" distR="0">
            <wp:extent cx="5274310" cy="2095500"/>
            <wp:effectExtent l="0" t="0" r="8890" b="12700"/>
            <wp:docPr id="29" name="picture" descr="descript"/>
            <wp:cNvGraphicFramePr/>
            <a:graphic xmlns:a="http://schemas.openxmlformats.org/drawingml/2006/main">
              <a:graphicData uri="http://schemas.openxmlformats.org/drawingml/2006/picture">
                <pic:pic xmlns:pic="http://schemas.openxmlformats.org/drawingml/2006/picture">
                  <pic:nvPicPr>
                    <pic:cNvPr id="29" name="picture" descr="descript"/>
                    <pic:cNvPicPr/>
                  </pic:nvPicPr>
                  <pic:blipFill>
                    <a:blip r:embed="rId15"/>
                    <a:srcRect/>
                    <a:stretch>
                      <a:fillRect/>
                    </a:stretch>
                  </pic:blipFill>
                  <pic:spPr>
                    <a:xfrm>
                      <a:off x="0" y="0"/>
                      <a:ext cx="5274310" cy="2095500"/>
                    </a:xfrm>
                    <a:prstGeom prst="rect">
                      <a:avLst/>
                    </a:prstGeom>
                  </pic:spPr>
                </pic:pic>
              </a:graphicData>
            </a:graphic>
          </wp:inline>
        </w:drawing>
      </w:r>
    </w:p>
    <w:p w14:paraId="0A2FA97C">
      <w:pPr>
        <w:pStyle w:val="45"/>
        <w:pageBreakBefore w:val="0"/>
        <w:kinsoku/>
        <w:wordWrap/>
        <w:overflowPunct/>
        <w:topLinePunct w:val="0"/>
        <w:autoSpaceDE/>
        <w:autoSpaceDN/>
        <w:bidi w:val="0"/>
        <w:snapToGrid/>
        <w:spacing w:before="60" w:after="60" w:line="312" w:lineRule="auto"/>
        <w:textAlignment w:val="auto"/>
      </w:pPr>
      <w:r>
        <w:t>图6-4数据资产分类分级</w:t>
      </w:r>
    </w:p>
    <w:p w14:paraId="3B228A73">
      <w:pPr>
        <w:pageBreakBefore w:val="0"/>
        <w:pBdr>
          <w:bottom w:val="none" w:color="auto" w:sz="0" w:space="0"/>
        </w:pBdr>
        <w:kinsoku/>
        <w:wordWrap/>
        <w:overflowPunct/>
        <w:topLinePunct w:val="0"/>
        <w:autoSpaceDE/>
        <w:autoSpaceDN/>
        <w:bidi w:val="0"/>
        <w:snapToGrid/>
        <w:spacing w:before="60" w:after="60" w:line="312" w:lineRule="auto"/>
        <w:textAlignment w:val="auto"/>
        <w:rPr>
          <w:sz w:val="24"/>
          <w:szCs w:val="32"/>
        </w:rPr>
      </w:pPr>
      <w:r>
        <w:rPr>
          <w:b w:val="0"/>
          <w:i w:val="0"/>
          <w:strike w:val="0"/>
          <w:spacing w:val="0"/>
          <w:sz w:val="24"/>
          <w:szCs w:val="32"/>
          <w:u w:val="none"/>
        </w:rPr>
        <w:tab/>
      </w:r>
      <w:r>
        <w:rPr>
          <w:b w:val="0"/>
          <w:i w:val="0"/>
          <w:strike w:val="0"/>
          <w:spacing w:val="0"/>
          <w:sz w:val="24"/>
          <w:szCs w:val="32"/>
          <w:u w:val="none"/>
        </w:rPr>
        <w:t>石犀平台已根据《</w:t>
      </w:r>
      <w:r>
        <w:rPr>
          <w:rFonts w:hint="eastAsia"/>
          <w:b w:val="0"/>
          <w:i w:val="0"/>
          <w:strike w:val="0"/>
          <w:spacing w:val="0"/>
          <w:sz w:val="24"/>
          <w:szCs w:val="32"/>
          <w:u w:val="none"/>
          <w:lang w:eastAsia="zh-CN"/>
        </w:rPr>
        <w:t>中华人民共和国网络安全法</w:t>
      </w:r>
      <w:r>
        <w:rPr>
          <w:b w:val="0"/>
          <w:i w:val="0"/>
          <w:strike w:val="0"/>
          <w:spacing w:val="0"/>
          <w:sz w:val="24"/>
          <w:szCs w:val="32"/>
          <w:u w:val="none"/>
        </w:rPr>
        <w:t>》、《</w:t>
      </w:r>
      <w:r>
        <w:rPr>
          <w:rFonts w:hint="eastAsia"/>
          <w:b w:val="0"/>
          <w:i w:val="0"/>
          <w:strike w:val="0"/>
          <w:spacing w:val="0"/>
          <w:sz w:val="24"/>
          <w:szCs w:val="32"/>
          <w:u w:val="none"/>
          <w:lang w:eastAsia="zh-CN"/>
        </w:rPr>
        <w:t>中华人民共和国数据安全法</w:t>
      </w:r>
      <w:r>
        <w:rPr>
          <w:b w:val="0"/>
          <w:i w:val="0"/>
          <w:strike w:val="0"/>
          <w:spacing w:val="0"/>
          <w:sz w:val="24"/>
          <w:szCs w:val="32"/>
          <w:u w:val="none"/>
        </w:rPr>
        <w:t>》、《</w:t>
      </w:r>
      <w:r>
        <w:rPr>
          <w:rFonts w:hint="eastAsia"/>
          <w:b w:val="0"/>
          <w:i w:val="0"/>
          <w:strike w:val="0"/>
          <w:spacing w:val="0"/>
          <w:sz w:val="24"/>
          <w:szCs w:val="32"/>
          <w:u w:val="none"/>
          <w:lang w:eastAsia="zh-CN"/>
        </w:rPr>
        <w:t>中华人民共和国个人信息保护法</w:t>
      </w:r>
      <w:r>
        <w:rPr>
          <w:b w:val="0"/>
          <w:i w:val="0"/>
          <w:strike w:val="0"/>
          <w:spacing w:val="0"/>
          <w:sz w:val="24"/>
          <w:szCs w:val="32"/>
          <w:u w:val="none"/>
        </w:rPr>
        <w:t>》及相关行业标准，内置多个行业的数据分类分级标准规范，并根据不同标准规范，针对流量中传输的数据、</w:t>
      </w:r>
      <w:r>
        <w:rPr>
          <w:b w:val="0"/>
          <w:i w:val="0"/>
          <w:strike w:val="0"/>
          <w:spacing w:val="0"/>
          <w:sz w:val="24"/>
          <w:szCs w:val="32"/>
          <w:u w:val="none"/>
          <w:shd w:val="clear" w:color="auto" w:fill="D8D8D8"/>
        </w:rPr>
        <w:t>文件、数据库</w:t>
      </w:r>
      <w:r>
        <w:rPr>
          <w:b w:val="0"/>
          <w:i w:val="0"/>
          <w:strike w:val="0"/>
          <w:spacing w:val="0"/>
          <w:sz w:val="24"/>
          <w:szCs w:val="32"/>
          <w:u w:val="none"/>
        </w:rPr>
        <w:t>等资产中携带的数据进行自动识别与分类分级，输出数据清单，为应用、API等资产的敏感性判断提供依据，为基于敏感数据的风险检测提供参考，助力数据流动治理。</w:t>
      </w:r>
      <w:r>
        <w:rPr>
          <w:sz w:val="24"/>
          <w:szCs w:val="32"/>
        </w:rPr>
        <w:t>数据资产分类分级主要助力以下场景：</w:t>
      </w:r>
    </w:p>
    <w:p w14:paraId="57DA0078">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数据合规与监管</w:t>
      </w:r>
      <w:r>
        <w:rPr>
          <w:rFonts w:ascii="Times New Roman" w:hAnsi="Times New Roman" w:eastAsia="宋体" w:cs="Times New Roman"/>
          <w:b w:val="0"/>
          <w:bCs/>
          <w:u w:val="none"/>
        </w:rPr>
        <w:t>：</w:t>
      </w:r>
      <w:r>
        <w:rPr>
          <w:rFonts w:ascii="Times New Roman" w:hAnsi="Times New Roman" w:eastAsia="宋体" w:cs="Times New Roman"/>
          <w:b w:val="0"/>
          <w:bCs/>
          <w:i w:val="0"/>
          <w:strike w:val="0"/>
          <w:u w:val="none"/>
        </w:rPr>
        <w:t>随着数据保护法律法规的不断完善，企业需要通过数据分类分级来精准识别不同类型的资产，依据其敏感程度、重要性等特性，确保在数据的收集、存储、使用、共享等环节都符合相关法规标准，避免因数据处理不当而面</w:t>
      </w:r>
      <w:r>
        <w:rPr>
          <w:rFonts w:hint="default" w:ascii="Times New Roman" w:hAnsi="Times New Roman" w:eastAsia="宋体" w:cs="Times New Roman"/>
          <w:b w:val="0"/>
          <w:bCs/>
          <w:i w:val="0"/>
          <w:strike w:val="0"/>
          <w:u w:val="none"/>
          <w:lang w:eastAsia="zh-CN"/>
        </w:rPr>
        <w:t>临的</w:t>
      </w:r>
      <w:r>
        <w:rPr>
          <w:rFonts w:ascii="Times New Roman" w:hAnsi="Times New Roman" w:eastAsia="宋体" w:cs="Times New Roman"/>
          <w:b w:val="0"/>
          <w:bCs/>
          <w:i w:val="0"/>
          <w:strike w:val="0"/>
          <w:u w:val="none"/>
        </w:rPr>
        <w:t>法律风险，为企业营造合法合规的运营环境，同时也有助于提升企业在客户和合作伙伴心中的信誉度，增强市场竞争力。</w:t>
      </w:r>
    </w:p>
    <w:p w14:paraId="00926AD0">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企业数字化安全建设</w:t>
      </w:r>
      <w:r>
        <w:rPr>
          <w:rFonts w:ascii="Times New Roman" w:hAnsi="Times New Roman" w:eastAsia="宋体" w:cs="Times New Roman"/>
          <w:b w:val="0"/>
          <w:bCs/>
          <w:u w:val="none"/>
        </w:rPr>
        <w:t>：</w:t>
      </w:r>
      <w:r>
        <w:rPr>
          <w:rFonts w:ascii="Times New Roman" w:hAnsi="Times New Roman" w:eastAsia="宋体" w:cs="Times New Roman"/>
          <w:b w:val="0"/>
          <w:bCs/>
          <w:i w:val="0"/>
          <w:strike w:val="0"/>
          <w:u w:val="none"/>
        </w:rPr>
        <w:t>随着企业数字化转型的加速，数据资产规模不断膨胀且复杂度日益增加。通过分类分级，企业可以清晰地了解自身数据资产的全貌，更精准地识别出敏感资产、高价值资产，从而有针对性地构建安全防护体系，全方位筑牢企业数字化安全防线，保障企业数字化业务的稳定、持续发展。</w:t>
      </w:r>
    </w:p>
    <w:p w14:paraId="7DA59209">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hint="default" w:ascii="Times New Roman" w:hAnsi="Times New Roman" w:eastAsia="宋体" w:cs="Times New Roman"/>
          <w:b w:val="0"/>
          <w:bCs/>
          <w:i w:val="0"/>
          <w:strike w:val="0"/>
          <w:u w:val="none"/>
          <w:lang w:eastAsia="zh-CN"/>
        </w:rPr>
        <w:t>……</w:t>
      </w:r>
    </w:p>
    <w:p w14:paraId="02B078E5">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100" w:name="_Toc91505035"/>
      <w:bookmarkStart w:id="101" w:name="_Toc645784535"/>
      <w:r>
        <w:t>数据流动安全综合治理</w:t>
      </w:r>
      <w:bookmarkEnd w:id="100"/>
      <w:bookmarkEnd w:id="101"/>
    </w:p>
    <w:p w14:paraId="2BCC5889">
      <w:pPr>
        <w:pageBreakBefore w:val="0"/>
        <w:kinsoku/>
        <w:wordWrap/>
        <w:overflowPunct/>
        <w:topLinePunct w:val="0"/>
        <w:autoSpaceDE/>
        <w:autoSpaceDN/>
        <w:bidi w:val="0"/>
        <w:snapToGrid/>
        <w:spacing w:before="60" w:after="60" w:line="312" w:lineRule="auto"/>
        <w:textAlignment w:val="auto"/>
      </w:pPr>
      <w:r>
        <w:drawing>
          <wp:inline distT="0" distB="0" distL="0" distR="0">
            <wp:extent cx="5274310" cy="1350645"/>
            <wp:effectExtent l="0" t="0" r="8890" b="20955"/>
            <wp:docPr id="32" name="picture" descr="descript"/>
            <wp:cNvGraphicFramePr/>
            <a:graphic xmlns:a="http://schemas.openxmlformats.org/drawingml/2006/main">
              <a:graphicData uri="http://schemas.openxmlformats.org/drawingml/2006/picture">
                <pic:pic xmlns:pic="http://schemas.openxmlformats.org/drawingml/2006/picture">
                  <pic:nvPicPr>
                    <pic:cNvPr id="32" name="picture" descr="descript"/>
                    <pic:cNvPicPr/>
                  </pic:nvPicPr>
                  <pic:blipFill>
                    <a:blip r:embed="rId16"/>
                    <a:srcRect/>
                    <a:stretch>
                      <a:fillRect/>
                    </a:stretch>
                  </pic:blipFill>
                  <pic:spPr>
                    <a:xfrm>
                      <a:off x="0" y="0"/>
                      <a:ext cx="5274310" cy="1350645"/>
                    </a:xfrm>
                    <a:prstGeom prst="rect">
                      <a:avLst/>
                    </a:prstGeom>
                  </pic:spPr>
                </pic:pic>
              </a:graphicData>
            </a:graphic>
          </wp:inline>
        </w:drawing>
      </w:r>
    </w:p>
    <w:p w14:paraId="59E481D4">
      <w:pPr>
        <w:pStyle w:val="45"/>
        <w:pageBreakBefore w:val="0"/>
        <w:kinsoku/>
        <w:wordWrap/>
        <w:overflowPunct/>
        <w:topLinePunct w:val="0"/>
        <w:autoSpaceDE/>
        <w:autoSpaceDN/>
        <w:bidi w:val="0"/>
        <w:snapToGrid/>
        <w:spacing w:before="60" w:after="60" w:line="312" w:lineRule="auto"/>
        <w:textAlignment w:val="auto"/>
      </w:pPr>
      <w:r>
        <w:t>图6-5石犀数据流动安全综合治理结构</w:t>
      </w:r>
    </w:p>
    <w:p w14:paraId="7484E440">
      <w:pPr>
        <w:pageBreakBefore w:val="0"/>
        <w:kinsoku/>
        <w:wordWrap/>
        <w:overflowPunct/>
        <w:topLinePunct w:val="0"/>
        <w:autoSpaceDE/>
        <w:autoSpaceDN/>
        <w:bidi w:val="0"/>
        <w:snapToGrid/>
        <w:spacing w:before="60" w:after="60" w:line="312" w:lineRule="auto"/>
        <w:textAlignment w:val="auto"/>
        <w:rPr>
          <w:sz w:val="24"/>
          <w:szCs w:val="32"/>
        </w:rPr>
      </w:pPr>
      <w:r>
        <w:rPr>
          <w:sz w:val="24"/>
          <w:szCs w:val="32"/>
        </w:rPr>
        <w:tab/>
      </w:r>
      <w:r>
        <w:rPr>
          <w:sz w:val="24"/>
          <w:szCs w:val="32"/>
        </w:rPr>
        <w:t>在生产资料不断开放共享的背景下，数据流动性势必加强，数据本身的安全可见性愈发需要重视，数据安全治理的难度也会随之加深。石犀覆盖数据的全生命周期，将所需的防护能力打造成数据治理插件，通过对插件进行灵活组合、编排以满足业务场</w:t>
      </w:r>
      <w:r>
        <w:rPr>
          <w:rFonts w:hint="eastAsia"/>
          <w:sz w:val="24"/>
          <w:szCs w:val="32"/>
          <w:lang w:eastAsia="zh-CN"/>
        </w:rPr>
        <w:t>景的</w:t>
      </w:r>
      <w:r>
        <w:rPr>
          <w:sz w:val="24"/>
          <w:szCs w:val="32"/>
        </w:rPr>
        <w:t>扩展需求，实现数据层面上的精细化管理，做到对数据潜在或已存在的风险精准识别、快速响应，为数据安全保驾护航。数据流动安全综合治理的场景包括：</w:t>
      </w:r>
    </w:p>
    <w:p w14:paraId="47C0E214">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数据操作权限管控</w:t>
      </w:r>
      <w:r>
        <w:rPr>
          <w:rFonts w:ascii="Times New Roman" w:hAnsi="Times New Roman" w:eastAsia="宋体" w:cs="Times New Roman"/>
          <w:b w:val="0"/>
          <w:bCs/>
          <w:u w:val="none"/>
        </w:rPr>
        <w:t>：石犀聚焦用户对数据的全操作行为治理，覆盖访问、复制、外发、下载及打印等关键动作，通过实时监测分析，发现异常操作自动阻断并记录日志。有效防止因用户不当操作或恶意行为导致的数据泄露和安全隐患，确保数据在操作层面的安全可控。</w:t>
      </w:r>
    </w:p>
    <w:p w14:paraId="065ED0B7">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数据流转安全防护</w:t>
      </w:r>
      <w:r>
        <w:rPr>
          <w:rFonts w:ascii="Times New Roman" w:hAnsi="Times New Roman" w:eastAsia="宋体" w:cs="Times New Roman"/>
          <w:b w:val="0"/>
          <w:bCs/>
          <w:u w:val="none"/>
        </w:rPr>
        <w:t>：石犀在数据与文件</w:t>
      </w:r>
      <w:r>
        <w:rPr>
          <w:rFonts w:ascii="Times New Roman" w:hAnsi="Times New Roman" w:eastAsia="宋体" w:cs="Times New Roman"/>
          <w:b w:val="0"/>
          <w:bCs/>
          <w:i w:val="0"/>
          <w:strike w:val="0"/>
          <w:u w:val="none"/>
        </w:rPr>
        <w:t>在不同主体和环境间的共享、传递过程中</w:t>
      </w:r>
      <w:r>
        <w:rPr>
          <w:rFonts w:ascii="Times New Roman" w:hAnsi="Times New Roman" w:eastAsia="宋体" w:cs="Times New Roman"/>
          <w:b w:val="0"/>
          <w:bCs/>
          <w:u w:val="none"/>
        </w:rPr>
        <w:t>实施防护，提供数字水印、加密、脱敏、文件指纹、数据签名等防护手段，防止数据窃取、篡改及非法扩散</w:t>
      </w:r>
      <w:r>
        <w:rPr>
          <w:rFonts w:ascii="Times New Roman" w:hAnsi="Times New Roman" w:eastAsia="宋体" w:cs="Times New Roman"/>
          <w:b w:val="0"/>
          <w:bCs/>
          <w:i w:val="0"/>
          <w:strike w:val="0"/>
          <w:u w:val="none"/>
        </w:rPr>
        <w:t>，</w:t>
      </w:r>
      <w:r>
        <w:rPr>
          <w:rFonts w:ascii="Times New Roman" w:hAnsi="Times New Roman" w:eastAsia="宋体" w:cs="Times New Roman"/>
          <w:b w:val="0"/>
          <w:bCs/>
          <w:u w:val="none"/>
        </w:rPr>
        <w:t>有力支撑安全协作、生态协同、系统对接等场景，让数据“带锁流动”，权责分明，用而不泄，</w:t>
      </w:r>
      <w:r>
        <w:rPr>
          <w:rFonts w:ascii="Times New Roman" w:hAnsi="Times New Roman" w:eastAsia="宋体" w:cs="Times New Roman"/>
          <w:b w:val="0"/>
          <w:bCs/>
          <w:i w:val="0"/>
          <w:strike w:val="0"/>
          <w:u w:val="none"/>
        </w:rPr>
        <w:t>保障流转安全。</w:t>
      </w:r>
    </w:p>
    <w:p w14:paraId="6A5E5576">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数据风险闭环处置</w:t>
      </w:r>
      <w:r>
        <w:rPr>
          <w:rFonts w:ascii="Times New Roman" w:hAnsi="Times New Roman" w:eastAsia="宋体" w:cs="Times New Roman"/>
          <w:b w:val="0"/>
          <w:bCs/>
          <w:u w:val="none"/>
        </w:rPr>
        <w:t>：石犀实时监测数据资产异常操作、潜在威胁等全链路风险，并提供自动处置及手动处置方式，实现风险预警</w:t>
      </w:r>
      <w:r>
        <w:rPr>
          <w:rFonts w:hint="default" w:ascii="Times New Roman" w:hAnsi="Times New Roman" w:eastAsia="宋体" w:cs="Times New Roman"/>
          <w:b w:val="0"/>
          <w:bCs/>
          <w:u w:val="none"/>
          <w:lang w:eastAsia="zh-CN"/>
        </w:rPr>
        <w:t>－</w:t>
      </w:r>
      <w:r>
        <w:rPr>
          <w:rFonts w:ascii="Times New Roman" w:hAnsi="Times New Roman" w:eastAsia="宋体" w:cs="Times New Roman"/>
          <w:b w:val="0"/>
          <w:bCs/>
          <w:u w:val="none"/>
        </w:rPr>
        <w:t>防护</w:t>
      </w:r>
      <w:r>
        <w:rPr>
          <w:rFonts w:hint="default" w:ascii="Times New Roman" w:hAnsi="Times New Roman" w:eastAsia="宋体" w:cs="Times New Roman"/>
          <w:b w:val="0"/>
          <w:bCs/>
          <w:u w:val="none"/>
          <w:lang w:eastAsia="zh-CN"/>
        </w:rPr>
        <w:t>－</w:t>
      </w:r>
      <w:r>
        <w:rPr>
          <w:rFonts w:ascii="Times New Roman" w:hAnsi="Times New Roman" w:eastAsia="宋体" w:cs="Times New Roman"/>
          <w:b w:val="0"/>
          <w:bCs/>
          <w:u w:val="none"/>
        </w:rPr>
        <w:t>处置闭环，防御关口前移，风险秒级响应，确保数据流动安全稳定。</w:t>
      </w:r>
    </w:p>
    <w:p w14:paraId="32D1C5B5">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hint="default" w:ascii="Times New Roman" w:hAnsi="Times New Roman" w:eastAsia="宋体" w:cs="Times New Roman"/>
          <w:b w:val="0"/>
          <w:bCs/>
          <w:u w:val="none"/>
          <w:lang w:eastAsia="zh-CN"/>
        </w:rPr>
        <w:t>……</w:t>
      </w:r>
    </w:p>
    <w:p w14:paraId="386C5678">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102" w:name="_Toc326831993"/>
      <w:bookmarkStart w:id="103" w:name="_Toc318327807"/>
      <w:r>
        <w:t>数据流动安全溯源分析</w:t>
      </w:r>
      <w:bookmarkEnd w:id="102"/>
      <w:bookmarkEnd w:id="103"/>
    </w:p>
    <w:p w14:paraId="0BBA6E56">
      <w:pPr>
        <w:pageBreakBefore w:val="0"/>
        <w:kinsoku/>
        <w:wordWrap/>
        <w:overflowPunct/>
        <w:topLinePunct w:val="0"/>
        <w:autoSpaceDE/>
        <w:autoSpaceDN/>
        <w:bidi w:val="0"/>
        <w:snapToGrid/>
        <w:spacing w:before="60" w:after="60" w:line="312" w:lineRule="auto"/>
        <w:textAlignment w:val="auto"/>
      </w:pPr>
      <w:r>
        <w:drawing>
          <wp:inline distT="0" distB="0" distL="0" distR="0">
            <wp:extent cx="5274310" cy="1311275"/>
            <wp:effectExtent l="0" t="0" r="8890" b="9525"/>
            <wp:docPr id="35" name="picture" descr="descript"/>
            <wp:cNvGraphicFramePr/>
            <a:graphic xmlns:a="http://schemas.openxmlformats.org/drawingml/2006/main">
              <a:graphicData uri="http://schemas.openxmlformats.org/drawingml/2006/picture">
                <pic:pic xmlns:pic="http://schemas.openxmlformats.org/drawingml/2006/picture">
                  <pic:nvPicPr>
                    <pic:cNvPr id="35" name="picture" descr="descript"/>
                    <pic:cNvPicPr/>
                  </pic:nvPicPr>
                  <pic:blipFill>
                    <a:blip r:embed="rId17"/>
                    <a:srcRect/>
                    <a:stretch>
                      <a:fillRect/>
                    </a:stretch>
                  </pic:blipFill>
                  <pic:spPr>
                    <a:xfrm>
                      <a:off x="0" y="0"/>
                      <a:ext cx="5274310" cy="1311275"/>
                    </a:xfrm>
                    <a:prstGeom prst="rect">
                      <a:avLst/>
                    </a:prstGeom>
                  </pic:spPr>
                </pic:pic>
              </a:graphicData>
            </a:graphic>
          </wp:inline>
        </w:drawing>
      </w:r>
    </w:p>
    <w:p w14:paraId="4EF48338">
      <w:pPr>
        <w:pStyle w:val="45"/>
        <w:pageBreakBefore w:val="0"/>
        <w:kinsoku/>
        <w:wordWrap/>
        <w:overflowPunct/>
        <w:topLinePunct w:val="0"/>
        <w:autoSpaceDE/>
        <w:autoSpaceDN/>
        <w:bidi w:val="0"/>
        <w:snapToGrid/>
        <w:spacing w:before="60" w:after="60" w:line="312" w:lineRule="auto"/>
        <w:textAlignment w:val="auto"/>
      </w:pPr>
      <w:r>
        <w:t>图6-6数据流动安全溯源分析结构</w:t>
      </w:r>
    </w:p>
    <w:p w14:paraId="59C56E7B">
      <w:pPr>
        <w:pStyle w:val="11"/>
        <w:pageBreakBefore w:val="0"/>
        <w:kinsoku/>
        <w:wordWrap/>
        <w:overflowPunct/>
        <w:topLinePunct w:val="0"/>
        <w:autoSpaceDE/>
        <w:autoSpaceDN/>
        <w:bidi w:val="0"/>
        <w:snapToGrid/>
        <w:spacing w:before="60" w:after="60" w:afterLines="0" w:line="312" w:lineRule="auto"/>
        <w:textAlignment w:val="auto"/>
      </w:pPr>
      <w:r>
        <w:rPr>
          <w:i w:val="0"/>
          <w:strike w:val="0"/>
          <w:color w:val="000000"/>
          <w:u w:val="none"/>
        </w:rPr>
        <w:t>数据安全溯源分析是企业信息安全管理体系中的关键组成部分。它不仅能够有效应对数据泄露、攻击等安全事件，还为企业提供深入洞察数据流动过程中的潜在风险，进而为后续的安全策略优化提供数据支持。通过溯源分析，企业能够及时控制风险，追责维权，并持续改进安全防护措施，提升应对潜在威胁的能力</w:t>
      </w:r>
      <w:r>
        <w:t>。</w:t>
      </w:r>
    </w:p>
    <w:p w14:paraId="04762EF5">
      <w:pPr>
        <w:pStyle w:val="11"/>
        <w:pageBreakBefore w:val="0"/>
        <w:kinsoku/>
        <w:wordWrap/>
        <w:overflowPunct/>
        <w:topLinePunct w:val="0"/>
        <w:autoSpaceDE/>
        <w:autoSpaceDN/>
        <w:bidi w:val="0"/>
        <w:snapToGrid/>
        <w:spacing w:before="60" w:after="60" w:afterLines="0" w:line="312" w:lineRule="auto"/>
        <w:textAlignment w:val="auto"/>
      </w:pPr>
      <w:r>
        <w:t>数据流动安全溯源分析的应用场景包括：</w:t>
      </w:r>
    </w:p>
    <w:p w14:paraId="2523918C">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Cs/>
          <w:u w:val="none"/>
        </w:rPr>
      </w:pPr>
      <w:r>
        <w:rPr>
          <w:rFonts w:hint="default" w:ascii="Times New Roman" w:hAnsi="Times New Roman" w:eastAsia="宋体" w:cs="Times New Roman"/>
          <w:b/>
          <w:bCs w:val="0"/>
          <w:u w:val="none"/>
          <w:lang w:eastAsia="zh-CN"/>
        </w:rPr>
        <w:t>泄露点</w:t>
      </w:r>
      <w:r>
        <w:rPr>
          <w:rFonts w:ascii="Times New Roman" w:hAnsi="Times New Roman" w:eastAsia="宋体" w:cs="Times New Roman"/>
          <w:b/>
          <w:bCs w:val="0"/>
          <w:u w:val="none"/>
        </w:rPr>
        <w:t>定位</w:t>
      </w:r>
      <w:r>
        <w:rPr>
          <w:rFonts w:ascii="Times New Roman" w:hAnsi="Times New Roman" w:eastAsia="宋体" w:cs="Times New Roman"/>
          <w:b w:val="0"/>
          <w:bCs/>
          <w:u w:val="none"/>
        </w:rPr>
        <w:t>：</w:t>
      </w:r>
      <w:r>
        <w:rPr>
          <w:rFonts w:ascii="Times New Roman" w:hAnsi="Times New Roman" w:eastAsia="宋体" w:cs="Times New Roman"/>
          <w:bCs/>
          <w:i w:val="0"/>
          <w:strike w:val="0"/>
          <w:u w:val="none"/>
        </w:rPr>
        <w:t>数据</w:t>
      </w:r>
      <w:r>
        <w:rPr>
          <w:rFonts w:hint="default" w:ascii="Times New Roman" w:hAnsi="Times New Roman" w:eastAsia="宋体" w:cs="Times New Roman"/>
          <w:bCs/>
          <w:i w:val="0"/>
          <w:strike w:val="0"/>
          <w:u w:val="none"/>
          <w:lang w:eastAsia="zh-CN"/>
        </w:rPr>
        <w:t>泄露</w:t>
      </w:r>
      <w:r>
        <w:rPr>
          <w:rFonts w:ascii="Times New Roman" w:hAnsi="Times New Roman" w:eastAsia="宋体" w:cs="Times New Roman"/>
          <w:bCs/>
          <w:i w:val="0"/>
          <w:strike w:val="0"/>
          <w:u w:val="none"/>
        </w:rPr>
        <w:t>事件发生后，可通过溯源分析对泄露数据、文件进行追踪，帮助组织快速识别</w:t>
      </w:r>
      <w:r>
        <w:rPr>
          <w:rFonts w:hint="default" w:ascii="Times New Roman" w:hAnsi="Times New Roman" w:eastAsia="宋体" w:cs="Times New Roman"/>
          <w:bCs/>
          <w:i w:val="0"/>
          <w:strike w:val="0"/>
          <w:u w:val="none"/>
          <w:lang w:eastAsia="zh-CN"/>
        </w:rPr>
        <w:t>泄露</w:t>
      </w:r>
      <w:r>
        <w:rPr>
          <w:rFonts w:ascii="Times New Roman" w:hAnsi="Times New Roman" w:eastAsia="宋体" w:cs="Times New Roman"/>
          <w:bCs/>
          <w:i w:val="0"/>
          <w:strike w:val="0"/>
          <w:u w:val="none"/>
        </w:rPr>
        <w:t>源头和路径，及时采取修复和防范措施，最大程度地降低损失。</w:t>
      </w:r>
    </w:p>
    <w:p w14:paraId="72FBCC4C">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Cs/>
          <w:u w:val="none"/>
        </w:rPr>
      </w:pPr>
      <w:r>
        <w:rPr>
          <w:rFonts w:ascii="Times New Roman" w:hAnsi="Times New Roman" w:eastAsia="宋体" w:cs="Times New Roman"/>
          <w:b/>
          <w:bCs w:val="0"/>
          <w:u w:val="none"/>
        </w:rPr>
        <w:t>行为链回溯：</w:t>
      </w:r>
      <w:r>
        <w:rPr>
          <w:rFonts w:ascii="Times New Roman" w:hAnsi="Times New Roman" w:eastAsia="宋体" w:cs="Times New Roman"/>
          <w:bCs/>
          <w:u w:val="none"/>
        </w:rPr>
        <w:t>针对可疑的数据窃取行为，溯源分析可深入追踪用户行为链，清晰还原数据流动路径，辅助安全运营人员发现数据违规操作，快速锁定可疑涉事主体。</w:t>
      </w:r>
    </w:p>
    <w:p w14:paraId="730B7D58">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Cs/>
          <w:u w:val="none"/>
        </w:rPr>
      </w:pPr>
      <w:r>
        <w:rPr>
          <w:rFonts w:ascii="Times New Roman" w:hAnsi="Times New Roman" w:eastAsia="宋体" w:cs="Times New Roman"/>
          <w:b/>
          <w:bCs w:val="0"/>
          <w:u w:val="none"/>
        </w:rPr>
        <w:t>协助汇报、追究责任：</w:t>
      </w:r>
      <w:r>
        <w:rPr>
          <w:rFonts w:ascii="Times New Roman" w:hAnsi="Times New Roman" w:eastAsia="宋体" w:cs="Times New Roman"/>
          <w:bCs/>
          <w:u w:val="none"/>
        </w:rPr>
        <w:t>通过溯源技术，可精准确定</w:t>
      </w:r>
      <w:r>
        <w:rPr>
          <w:rFonts w:hint="default" w:ascii="Times New Roman" w:hAnsi="Times New Roman" w:eastAsia="宋体" w:cs="Times New Roman"/>
          <w:bCs/>
          <w:u w:val="none"/>
          <w:lang w:eastAsia="zh-CN"/>
        </w:rPr>
        <w:t>数据泄露事件</w:t>
      </w:r>
      <w:r>
        <w:rPr>
          <w:rFonts w:ascii="Times New Roman" w:hAnsi="Times New Roman" w:eastAsia="宋体" w:cs="Times New Roman"/>
          <w:bCs/>
          <w:u w:val="none"/>
        </w:rPr>
        <w:t>的源头，找到泄密者、责任人或攻击组织，为后续依法追责及合规处理奠定基础。</w:t>
      </w:r>
    </w:p>
    <w:p w14:paraId="129618BC">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Cs/>
          <w:u w:val="none"/>
        </w:rPr>
      </w:pPr>
      <w:r>
        <w:rPr>
          <w:rFonts w:ascii="Times New Roman" w:hAnsi="Times New Roman" w:eastAsia="宋体" w:cs="Times New Roman"/>
          <w:b/>
          <w:bCs w:val="0"/>
          <w:u w:val="none"/>
        </w:rPr>
        <w:t>改进安全策略：</w:t>
      </w:r>
      <w:r>
        <w:rPr>
          <w:rFonts w:ascii="Times New Roman" w:hAnsi="Times New Roman" w:eastAsia="宋体" w:cs="Times New Roman"/>
          <w:bCs/>
          <w:u w:val="none"/>
        </w:rPr>
        <w:t>溯源分析可以帮助组织全面了解数据流转过程中的安全风险，发现系统薄弱点，以便有针对性地进行安全策略调优，进一步提升整体数据安全防护水平。</w:t>
      </w:r>
    </w:p>
    <w:p w14:paraId="10480ED2">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Cs/>
          <w:u w:val="none"/>
        </w:rPr>
      </w:pPr>
      <w:r>
        <w:rPr>
          <w:rFonts w:hint="default" w:ascii="Times New Roman" w:hAnsi="Times New Roman" w:eastAsia="宋体" w:cs="Times New Roman"/>
          <w:bCs/>
          <w:u w:val="none"/>
          <w:lang w:eastAsia="zh-CN"/>
        </w:rPr>
        <w:t>……</w:t>
      </w:r>
    </w:p>
    <w:p w14:paraId="0A13AE9D">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104" w:name="_Toc1949620972"/>
      <w:bookmarkStart w:id="105" w:name="_Toc753687572"/>
      <w:r>
        <w:t>业务攻击安全防护（HW）</w:t>
      </w:r>
      <w:bookmarkEnd w:id="104"/>
      <w:bookmarkEnd w:id="105"/>
    </w:p>
    <w:p w14:paraId="28E1888A">
      <w:pPr>
        <w:pageBreakBefore w:val="0"/>
        <w:kinsoku/>
        <w:wordWrap/>
        <w:overflowPunct/>
        <w:topLinePunct w:val="0"/>
        <w:autoSpaceDE/>
        <w:autoSpaceDN/>
        <w:bidi w:val="0"/>
        <w:snapToGrid/>
        <w:spacing w:before="60" w:after="60" w:line="312" w:lineRule="auto"/>
        <w:textAlignment w:val="auto"/>
      </w:pPr>
      <w:r>
        <w:drawing>
          <wp:inline distT="0" distB="0" distL="0" distR="0">
            <wp:extent cx="5274310" cy="2428240"/>
            <wp:effectExtent l="0" t="0" r="8890" b="10160"/>
            <wp:docPr id="38" name="picture" descr="descript"/>
            <wp:cNvGraphicFramePr/>
            <a:graphic xmlns:a="http://schemas.openxmlformats.org/drawingml/2006/main">
              <a:graphicData uri="http://schemas.openxmlformats.org/drawingml/2006/picture">
                <pic:pic xmlns:pic="http://schemas.openxmlformats.org/drawingml/2006/picture">
                  <pic:nvPicPr>
                    <pic:cNvPr id="38" name="picture" descr="descript"/>
                    <pic:cNvPicPr/>
                  </pic:nvPicPr>
                  <pic:blipFill>
                    <a:blip r:embed="rId18"/>
                    <a:srcRect/>
                    <a:stretch>
                      <a:fillRect/>
                    </a:stretch>
                  </pic:blipFill>
                  <pic:spPr>
                    <a:xfrm>
                      <a:off x="0" y="0"/>
                      <a:ext cx="5274310" cy="2428240"/>
                    </a:xfrm>
                    <a:prstGeom prst="rect">
                      <a:avLst/>
                    </a:prstGeom>
                  </pic:spPr>
                </pic:pic>
              </a:graphicData>
            </a:graphic>
          </wp:inline>
        </w:drawing>
      </w:r>
    </w:p>
    <w:p w14:paraId="07102530">
      <w:pPr>
        <w:pStyle w:val="45"/>
        <w:pageBreakBefore w:val="0"/>
        <w:kinsoku/>
        <w:wordWrap/>
        <w:overflowPunct/>
        <w:topLinePunct w:val="0"/>
        <w:autoSpaceDE/>
        <w:autoSpaceDN/>
        <w:bidi w:val="0"/>
        <w:snapToGrid/>
        <w:spacing w:before="60" w:after="60" w:line="312" w:lineRule="auto"/>
        <w:textAlignment w:val="auto"/>
      </w:pPr>
      <w:r>
        <w:t>图6-7业务攻击安全防护结构</w:t>
      </w:r>
    </w:p>
    <w:p w14:paraId="2C5C9532">
      <w:pPr>
        <w:pStyle w:val="11"/>
        <w:pageBreakBefore w:val="0"/>
        <w:kinsoku/>
        <w:wordWrap/>
        <w:overflowPunct/>
        <w:topLinePunct w:val="0"/>
        <w:autoSpaceDE/>
        <w:autoSpaceDN/>
        <w:bidi w:val="0"/>
        <w:snapToGrid/>
        <w:spacing w:before="60" w:after="60" w:afterLines="0" w:line="312" w:lineRule="auto"/>
        <w:textAlignment w:val="auto"/>
      </w:pPr>
      <w:r>
        <w:t>石犀平台通过多层次、全方位的安全防护体系，为企业提供了从协议支持到业务安全应用场景的全面保障，满足业务安全基础防护和数据泄露防护等多种场景的需求，确保企业数据的安全、合规和高效治理。业务攻击安全防护涵盖以下主要场景：</w:t>
      </w:r>
    </w:p>
    <w:p w14:paraId="469F1678">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Web应用攻击防护</w:t>
      </w:r>
      <w:r>
        <w:rPr>
          <w:rFonts w:ascii="Times New Roman" w:hAnsi="Times New Roman" w:eastAsia="宋体" w:cs="Times New Roman"/>
          <w:b w:val="0"/>
          <w:bCs/>
          <w:u w:val="none"/>
        </w:rPr>
        <w:t>：可以深度分析和检测HTTP和HTTPS流量，通过内置的规则库，识别并拦截诸如SQL注入、XSS跨站脚本、文件上传漏洞等攻击。通过这种方式，能够有效防御常见的Web攻击，保障系统的稳定与安全。</w:t>
      </w:r>
    </w:p>
    <w:p w14:paraId="593389D0">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恶意流量攻击防护</w:t>
      </w:r>
      <w:r>
        <w:rPr>
          <w:rFonts w:ascii="Times New Roman" w:hAnsi="Times New Roman" w:eastAsia="宋体" w:cs="Times New Roman"/>
          <w:b w:val="0"/>
          <w:bCs/>
          <w:u w:val="none"/>
        </w:rPr>
        <w:t>：对于恶意流量攻击，例如CC攻击、DDoS攻击、高频恶意爬虫等攻击，可能导致服务中断或资源耗尽，影响正常用户的访问。石犀平台通过插件能够精准识别并阻断这些异常请求，建立动态基线，对高频访问、异常IP等行为进行自动化拦截，从而保障核心业务带宽与稳定性。</w:t>
      </w:r>
    </w:p>
    <w:p w14:paraId="373BC973">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数据泄露防护</w:t>
      </w:r>
      <w:r>
        <w:rPr>
          <w:rFonts w:ascii="Times New Roman" w:hAnsi="Times New Roman" w:eastAsia="宋体" w:cs="Times New Roman"/>
          <w:b w:val="0"/>
          <w:bCs/>
          <w:u w:val="none"/>
        </w:rPr>
        <w:t>：在数据隐私与安全方面，通过对参数合法性校验、访问权限动态鉴权、异常调用行为监测，并对敏感数据输出进行脱敏或加密，可以防止数据</w:t>
      </w:r>
      <w:r>
        <w:rPr>
          <w:rFonts w:hint="eastAsia" w:ascii="Times New Roman" w:hAnsi="Times New Roman" w:eastAsia="宋体" w:cs="Times New Roman"/>
          <w:b w:val="0"/>
          <w:bCs/>
          <w:u w:val="none"/>
          <w:lang w:eastAsia="zh-CN"/>
        </w:rPr>
        <w:t>泄露风险</w:t>
      </w:r>
      <w:r>
        <w:rPr>
          <w:rFonts w:ascii="Times New Roman" w:hAnsi="Times New Roman" w:eastAsia="宋体" w:cs="Times New Roman"/>
          <w:b w:val="0"/>
          <w:bCs/>
          <w:u w:val="none"/>
        </w:rPr>
        <w:t>。有助于保护企业的核心数据资产，确保数据在流动过程中的安全性，防止数据被非法获取或滥用。</w:t>
      </w:r>
    </w:p>
    <w:p w14:paraId="00F1AE57">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ascii="Times New Roman" w:hAnsi="Times New Roman" w:eastAsia="宋体" w:cs="Times New Roman"/>
          <w:b/>
          <w:bCs w:val="0"/>
          <w:u w:val="none"/>
        </w:rPr>
        <w:t>自动化BOT攻击防护</w:t>
      </w:r>
      <w:r>
        <w:rPr>
          <w:rFonts w:ascii="Times New Roman" w:hAnsi="Times New Roman" w:eastAsia="宋体" w:cs="Times New Roman"/>
          <w:b w:val="0"/>
          <w:bCs/>
          <w:u w:val="none"/>
        </w:rPr>
        <w:t>：采用人机识别技术，包括行为分析、设备指纹、验证码等方式，结合业务上下文动态判定请求合法性；针对高风险操作（如支付、提现）引入多因素认证，实现精准拦截，从而保障企业运营成本的可控性。</w:t>
      </w:r>
    </w:p>
    <w:p w14:paraId="2E8B4C9B">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b/>
          <w:bCs w:val="0"/>
        </w:rPr>
        <w:t>精细化</w:t>
      </w:r>
      <w:r>
        <w:rPr>
          <w:rFonts w:ascii="Times New Roman" w:hAnsi="Times New Roman" w:eastAsia="宋体" w:cs="Times New Roman"/>
          <w:b/>
          <w:bCs w:val="0"/>
          <w:u w:val="none"/>
        </w:rPr>
        <w:t>访问控制</w:t>
      </w:r>
      <w:r>
        <w:rPr>
          <w:rFonts w:ascii="Times New Roman" w:hAnsi="Times New Roman" w:eastAsia="宋体" w:cs="Times New Roman"/>
          <w:b w:val="0"/>
          <w:bCs/>
          <w:u w:val="none"/>
        </w:rPr>
        <w:t>：支持多维度的访问控制功能，能够实现精细化管理，确保应用访问的安全。种访问控制可以根据用户的角色、权限和行为等进行灵活配置，以保障系统的安全和业务的合规性。</w:t>
      </w:r>
    </w:p>
    <w:p w14:paraId="6E5FDAD6">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u w:val="none"/>
        </w:rPr>
      </w:pPr>
      <w:r>
        <w:rPr>
          <w:rFonts w:hint="eastAsia" w:ascii="Times New Roman" w:hAnsi="Times New Roman" w:eastAsia="宋体" w:cs="Times New Roman"/>
          <w:b w:val="0"/>
          <w:bCs/>
          <w:u w:val="none"/>
          <w:lang w:eastAsia="zh-CN"/>
        </w:rPr>
        <w:t>……</w:t>
      </w:r>
    </w:p>
    <w:p w14:paraId="0C4A2596">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106" w:name="_Toc974190478"/>
      <w:bookmarkStart w:id="107" w:name="_Toc1368472598"/>
      <w:r>
        <w:t>用户安全专项审计</w:t>
      </w:r>
      <w:bookmarkEnd w:id="106"/>
      <w:bookmarkEnd w:id="107"/>
    </w:p>
    <w:p w14:paraId="1EAA6BE6">
      <w:pPr>
        <w:pageBreakBefore w:val="0"/>
        <w:kinsoku/>
        <w:wordWrap/>
        <w:overflowPunct/>
        <w:topLinePunct w:val="0"/>
        <w:autoSpaceDE/>
        <w:autoSpaceDN/>
        <w:bidi w:val="0"/>
        <w:snapToGrid/>
        <w:spacing w:before="60" w:after="60" w:line="312" w:lineRule="auto"/>
        <w:textAlignment w:val="auto"/>
        <w:rPr>
          <w:shd w:val="clear" w:color="auto" w:fill="D8D8D8"/>
        </w:rPr>
      </w:pPr>
      <w:r>
        <w:rPr>
          <w:shd w:val="clear" w:color="auto" w:fill="D8D8D8"/>
        </w:rPr>
        <w:drawing>
          <wp:inline distT="0" distB="0" distL="0" distR="0">
            <wp:extent cx="5274310" cy="3204845"/>
            <wp:effectExtent l="0" t="0" r="8890" b="20955"/>
            <wp:docPr id="41" name="picture" descr="descript"/>
            <wp:cNvGraphicFramePr/>
            <a:graphic xmlns:a="http://schemas.openxmlformats.org/drawingml/2006/main">
              <a:graphicData uri="http://schemas.openxmlformats.org/drawingml/2006/picture">
                <pic:pic xmlns:pic="http://schemas.openxmlformats.org/drawingml/2006/picture">
                  <pic:nvPicPr>
                    <pic:cNvPr id="41" name="picture" descr="descript"/>
                    <pic:cNvPicPr/>
                  </pic:nvPicPr>
                  <pic:blipFill>
                    <a:blip r:embed="rId19"/>
                    <a:srcRect/>
                    <a:stretch>
                      <a:fillRect/>
                    </a:stretch>
                  </pic:blipFill>
                  <pic:spPr>
                    <a:xfrm>
                      <a:off x="0" y="0"/>
                      <a:ext cx="5274310" cy="3204845"/>
                    </a:xfrm>
                    <a:prstGeom prst="rect">
                      <a:avLst/>
                    </a:prstGeom>
                  </pic:spPr>
                </pic:pic>
              </a:graphicData>
            </a:graphic>
          </wp:inline>
        </w:drawing>
      </w:r>
    </w:p>
    <w:p w14:paraId="6A2807FF">
      <w:pPr>
        <w:pStyle w:val="45"/>
        <w:pageBreakBefore w:val="0"/>
        <w:kinsoku/>
        <w:wordWrap/>
        <w:overflowPunct/>
        <w:topLinePunct w:val="0"/>
        <w:autoSpaceDE/>
        <w:autoSpaceDN/>
        <w:bidi w:val="0"/>
        <w:snapToGrid/>
        <w:spacing w:before="60" w:after="60" w:line="312" w:lineRule="auto"/>
        <w:textAlignment w:val="auto"/>
      </w:pPr>
      <w:r>
        <w:t>图6-8用户安全专项审计结构</w:t>
      </w:r>
    </w:p>
    <w:p w14:paraId="7FFBE89B">
      <w:pPr>
        <w:pStyle w:val="11"/>
        <w:pageBreakBefore w:val="0"/>
        <w:kinsoku/>
        <w:wordWrap/>
        <w:overflowPunct/>
        <w:topLinePunct w:val="0"/>
        <w:autoSpaceDE/>
        <w:autoSpaceDN/>
        <w:bidi w:val="0"/>
        <w:snapToGrid/>
        <w:spacing w:before="60" w:after="60" w:afterLines="0" w:line="312" w:lineRule="auto"/>
        <w:textAlignment w:val="auto"/>
      </w:pPr>
      <w:r>
        <w:t>石犀平台为企业提供专业的用户安全专项审计功能，专注于对企业内外部用户行为及安全状态进行全面、深入的检查与分析。通过深度关联多维度数据、量化用户行为风险、智能驱动防护决策，构建覆盖用户全生命周期及全场景的动态安全治理体系。以“安全评分、风险定位、专项审计、防护治理”为核心框架，平台能够自动识别各类风险用户，并针对各类用户进行针对性审计，以协助企业提前发现风险以及违规行为，及时防护治理，从而有效保护企</w:t>
      </w:r>
      <w:r>
        <w:rPr>
          <w:rFonts w:hint="eastAsia"/>
          <w:lang w:eastAsia="zh-CN"/>
        </w:rPr>
        <w:t>业的</w:t>
      </w:r>
      <w:r>
        <w:t>信息资产，规避数据泄露与滥用风险，提升整体用户数据安全水平。</w:t>
      </w:r>
    </w:p>
    <w:p w14:paraId="25E93E30">
      <w:pPr>
        <w:pStyle w:val="11"/>
        <w:pageBreakBefore w:val="0"/>
        <w:pBdr>
          <w:bottom w:val="none" w:color="auto" w:sz="0" w:space="0"/>
        </w:pBdr>
        <w:kinsoku/>
        <w:wordWrap/>
        <w:overflowPunct/>
        <w:topLinePunct w:val="0"/>
        <w:autoSpaceDE/>
        <w:autoSpaceDN/>
        <w:bidi w:val="0"/>
        <w:snapToGrid/>
        <w:spacing w:before="60" w:after="60" w:afterLines="0" w:line="312" w:lineRule="auto"/>
        <w:textAlignment w:val="auto"/>
      </w:pPr>
      <w:r>
        <w:t>根据用户角色、权限和操作行为的不同，用户安全专项审计可以细化为多个专项审计项目。石犀平台用户安全专项审计涵盖以下关键场景：</w:t>
      </w:r>
    </w:p>
    <w:p w14:paraId="67693B34">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rPr>
      </w:pPr>
      <w:r>
        <w:rPr>
          <w:rFonts w:ascii="Times New Roman" w:hAnsi="Times New Roman" w:eastAsia="宋体" w:cs="Times New Roman"/>
          <w:b/>
          <w:bCs w:val="0"/>
        </w:rPr>
        <w:t>高风险用户专项审计</w:t>
      </w:r>
      <w:r>
        <w:rPr>
          <w:rFonts w:ascii="Times New Roman" w:hAnsi="Times New Roman" w:eastAsia="宋体" w:cs="Times New Roman"/>
          <w:b w:val="0"/>
          <w:bCs/>
        </w:rPr>
        <w:t>：针对高权限或敏感数据访问权限的用户，通过审计其权限变更、操作行为和数据调用，确保无滥用或安全漏洞，及时调整权限、修复风险，降低数据</w:t>
      </w:r>
      <w:r>
        <w:rPr>
          <w:rFonts w:hint="eastAsia" w:ascii="Times New Roman" w:hAnsi="Times New Roman" w:eastAsia="宋体" w:cs="Times New Roman"/>
          <w:b w:val="0"/>
          <w:bCs/>
          <w:lang w:eastAsia="zh-CN"/>
        </w:rPr>
        <w:t>泄露</w:t>
      </w:r>
      <w:r>
        <w:rPr>
          <w:rFonts w:ascii="Times New Roman" w:hAnsi="Times New Roman" w:eastAsia="宋体" w:cs="Times New Roman"/>
          <w:b w:val="0"/>
          <w:bCs/>
        </w:rPr>
        <w:t>和滥用，保障企业核心资产安全。</w:t>
      </w:r>
    </w:p>
    <w:p w14:paraId="2ABADBCC">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rPr>
      </w:pPr>
      <w:r>
        <w:rPr>
          <w:rFonts w:ascii="Times New Roman" w:hAnsi="Times New Roman" w:eastAsia="宋体" w:cs="Times New Roman"/>
          <w:b/>
          <w:bCs w:val="0"/>
        </w:rPr>
        <w:t>离职员工专项审计</w:t>
      </w:r>
      <w:r>
        <w:rPr>
          <w:rFonts w:ascii="Times New Roman" w:hAnsi="Times New Roman" w:eastAsia="宋体" w:cs="Times New Roman"/>
          <w:b w:val="0"/>
          <w:bCs/>
        </w:rPr>
        <w:t>：对离职员工账号、权限和操作记录进行审查，确保其访问权限完全回收，防止离职后进行不当操作。通过审查权限回收和访问日志，及时发现异常访问行为，实施自动化账号回收和禁用，降低数据外泄风险。</w:t>
      </w:r>
    </w:p>
    <w:p w14:paraId="76655281">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rPr>
      </w:pPr>
      <w:r>
        <w:rPr>
          <w:rFonts w:ascii="Times New Roman" w:hAnsi="Times New Roman" w:eastAsia="宋体" w:cs="Times New Roman"/>
          <w:b/>
          <w:bCs w:val="0"/>
        </w:rPr>
        <w:t>特权账号专项审计</w:t>
      </w:r>
      <w:r>
        <w:rPr>
          <w:rFonts w:ascii="Times New Roman" w:hAnsi="Times New Roman" w:eastAsia="宋体" w:cs="Times New Roman"/>
          <w:b w:val="0"/>
          <w:bCs/>
        </w:rPr>
        <w:t>：针对拥有系统管理权限的特权账号，审计其权限分配合规性、操作日志及数据访问记录，识别越权操作或滥用行为，并通过权限最小化、多因素认证等策略，强化对敏感数据和关键资源的防护。</w:t>
      </w:r>
    </w:p>
    <w:p w14:paraId="39C7691B">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rPr>
      </w:pPr>
      <w:r>
        <w:rPr>
          <w:rFonts w:ascii="Times New Roman" w:hAnsi="Times New Roman" w:eastAsia="宋体" w:cs="Times New Roman"/>
          <w:b/>
          <w:bCs w:val="0"/>
        </w:rPr>
        <w:t>共享账号专项审计</w:t>
      </w:r>
      <w:r>
        <w:rPr>
          <w:rFonts w:ascii="Times New Roman" w:hAnsi="Times New Roman" w:eastAsia="宋体" w:cs="Times New Roman"/>
          <w:b w:val="0"/>
          <w:bCs/>
        </w:rPr>
        <w:t>：对于多个用户共同使用的共享账号，审查其使用记录和登录日志，识别未经授权的共享行为，防止滥用或不合规操作。通过审计权限分配及操作记录，评估共享账号带来的风险，并通过用户功能实现实名制和限制共享等措施进行管理。</w:t>
      </w:r>
    </w:p>
    <w:p w14:paraId="371CAB46">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rPr>
      </w:pPr>
      <w:r>
        <w:rPr>
          <w:rFonts w:ascii="Times New Roman" w:hAnsi="Times New Roman" w:eastAsia="宋体" w:cs="Times New Roman"/>
          <w:b/>
          <w:bCs w:val="0"/>
        </w:rPr>
        <w:t>影子账号专项审计</w:t>
      </w:r>
      <w:r>
        <w:rPr>
          <w:rFonts w:ascii="Times New Roman" w:hAnsi="Times New Roman" w:eastAsia="宋体" w:cs="Times New Roman"/>
          <w:b w:val="0"/>
          <w:bCs/>
        </w:rPr>
        <w:t>：通过自动化工具对比系统账号清单与实时访问日志，发现未登记的影子账号，评估其潜在风险，并加强账号生命周期管理和清理，防止绕过安全控制对系统造成威胁。</w:t>
      </w:r>
    </w:p>
    <w:p w14:paraId="00277888">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rPr>
      </w:pPr>
      <w:r>
        <w:rPr>
          <w:rFonts w:hint="eastAsia" w:ascii="Times New Roman" w:hAnsi="Times New Roman" w:eastAsia="宋体" w:cs="Times New Roman"/>
          <w:b w:val="0"/>
          <w:bCs/>
          <w:lang w:eastAsia="zh-CN"/>
        </w:rPr>
        <w:t>……</w:t>
      </w:r>
    </w:p>
    <w:p w14:paraId="7E0EE955">
      <w:pPr>
        <w:pStyle w:val="3"/>
        <w:pageBreakBefore w:val="0"/>
        <w:numPr>
          <w:ilvl w:val="1"/>
          <w:numId w:val="3"/>
        </w:numPr>
        <w:kinsoku/>
        <w:wordWrap/>
        <w:overflowPunct/>
        <w:topLinePunct w:val="0"/>
        <w:autoSpaceDE/>
        <w:autoSpaceDN/>
        <w:bidi w:val="0"/>
        <w:snapToGrid/>
        <w:spacing w:before="60" w:after="60" w:line="312" w:lineRule="auto"/>
        <w:textAlignment w:val="auto"/>
      </w:pPr>
      <w:bookmarkStart w:id="108" w:name="_Toc804039018"/>
      <w:bookmarkStart w:id="109" w:name="_Toc369095216"/>
      <w:r>
        <w:t>数据安全专项审计</w:t>
      </w:r>
      <w:bookmarkEnd w:id="108"/>
      <w:bookmarkEnd w:id="109"/>
    </w:p>
    <w:p w14:paraId="4B9AFD5E">
      <w:pPr>
        <w:pageBreakBefore w:val="0"/>
        <w:kinsoku/>
        <w:wordWrap/>
        <w:overflowPunct/>
        <w:topLinePunct w:val="0"/>
        <w:autoSpaceDE/>
        <w:autoSpaceDN/>
        <w:bidi w:val="0"/>
        <w:snapToGrid/>
        <w:spacing w:before="60" w:after="60" w:line="312" w:lineRule="auto"/>
        <w:textAlignment w:val="auto"/>
      </w:pPr>
      <w:r>
        <w:drawing>
          <wp:inline distT="0" distB="0" distL="0" distR="0">
            <wp:extent cx="5274310" cy="3204845"/>
            <wp:effectExtent l="0" t="0" r="8890" b="20955"/>
            <wp:docPr id="44" name="picture" descr="descript"/>
            <wp:cNvGraphicFramePr/>
            <a:graphic xmlns:a="http://schemas.openxmlformats.org/drawingml/2006/main">
              <a:graphicData uri="http://schemas.openxmlformats.org/drawingml/2006/picture">
                <pic:pic xmlns:pic="http://schemas.openxmlformats.org/drawingml/2006/picture">
                  <pic:nvPicPr>
                    <pic:cNvPr id="44" name="picture" descr="descript"/>
                    <pic:cNvPicPr/>
                  </pic:nvPicPr>
                  <pic:blipFill>
                    <a:blip r:embed="rId20"/>
                    <a:srcRect/>
                    <a:stretch>
                      <a:fillRect/>
                    </a:stretch>
                  </pic:blipFill>
                  <pic:spPr>
                    <a:xfrm>
                      <a:off x="0" y="0"/>
                      <a:ext cx="5274310" cy="3204845"/>
                    </a:xfrm>
                    <a:prstGeom prst="rect">
                      <a:avLst/>
                    </a:prstGeom>
                  </pic:spPr>
                </pic:pic>
              </a:graphicData>
            </a:graphic>
          </wp:inline>
        </w:drawing>
      </w:r>
    </w:p>
    <w:p w14:paraId="542942AC">
      <w:pPr>
        <w:pStyle w:val="45"/>
        <w:pageBreakBefore w:val="0"/>
        <w:kinsoku/>
        <w:wordWrap/>
        <w:overflowPunct/>
        <w:topLinePunct w:val="0"/>
        <w:autoSpaceDE/>
        <w:autoSpaceDN/>
        <w:bidi w:val="0"/>
        <w:snapToGrid/>
        <w:spacing w:before="60" w:after="60" w:line="312" w:lineRule="auto"/>
        <w:textAlignment w:val="auto"/>
      </w:pPr>
      <w:r>
        <w:t>图6-9数据安全专项审计结构</w:t>
      </w:r>
    </w:p>
    <w:p w14:paraId="1E267DE5">
      <w:pPr>
        <w:pStyle w:val="11"/>
        <w:pageBreakBefore w:val="0"/>
        <w:kinsoku/>
        <w:wordWrap/>
        <w:overflowPunct/>
        <w:topLinePunct w:val="0"/>
        <w:autoSpaceDE/>
        <w:autoSpaceDN/>
        <w:bidi w:val="0"/>
        <w:snapToGrid/>
        <w:spacing w:before="60" w:after="60" w:afterLines="0" w:line="312" w:lineRule="auto"/>
        <w:textAlignment w:val="auto"/>
      </w:pPr>
      <w:r>
        <w:t>石犀平台提供面向数据的安全专项审计服务，该服务围绕数据的流动过程和合规要求，聚焦关键、典型的业务场景，面向核心的数据资产对象，通过数据聚合、大数据分析、行为模式分析、风险评分机制等技术手段，</w:t>
      </w:r>
      <w:r>
        <w:rPr>
          <w:rFonts w:hint="eastAsia"/>
          <w:lang w:eastAsia="zh-CN"/>
        </w:rPr>
        <w:t>开展</w:t>
      </w:r>
      <w:r>
        <w:t>全面、深入的安全评估和审计，精准锁定风险源头和脆弱性、有效识别潜在的数据安全风险，为数据安全治理提供有力的依据和明确的思路，有力保障数据流动安全。数据安全专项审计涵盖以下关键场景：</w:t>
      </w:r>
    </w:p>
    <w:p w14:paraId="71C7BE46">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rPr>
      </w:pPr>
      <w:r>
        <w:rPr>
          <w:rFonts w:ascii="Times New Roman" w:hAnsi="Times New Roman" w:eastAsia="宋体" w:cs="Times New Roman"/>
          <w:b/>
          <w:bCs w:val="0"/>
        </w:rPr>
        <w:t>高风险资产专项审计</w:t>
      </w:r>
      <w:r>
        <w:rPr>
          <w:rFonts w:ascii="Times New Roman" w:hAnsi="Times New Roman" w:eastAsia="宋体" w:cs="Times New Roman"/>
          <w:b w:val="0"/>
          <w:bCs/>
        </w:rPr>
        <w:t>：集中审视高风险数据资产，深度剖析风险因子，精准锁定风险根源，并结合数据安全治理措施，构建高风险资产治理的闭环流程。</w:t>
      </w:r>
    </w:p>
    <w:p w14:paraId="42BB483C">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rPr>
      </w:pPr>
      <w:r>
        <w:rPr>
          <w:rFonts w:ascii="Times New Roman" w:hAnsi="Times New Roman" w:eastAsia="宋体" w:cs="Times New Roman"/>
          <w:b/>
          <w:bCs w:val="0"/>
        </w:rPr>
        <w:t>跨境数据专项审计</w:t>
      </w:r>
      <w:r>
        <w:rPr>
          <w:rFonts w:ascii="Times New Roman" w:hAnsi="Times New Roman" w:eastAsia="宋体" w:cs="Times New Roman"/>
          <w:b w:val="0"/>
          <w:bCs/>
        </w:rPr>
        <w:t>：聚焦数据跨境传输行为，深入分析跨境数据内容、传输渠道及跨境双方身份等信息，全面评估数据跨境的合规状况与潜在风险。</w:t>
      </w:r>
    </w:p>
    <w:p w14:paraId="3319B6C2">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rPr>
      </w:pPr>
      <w:r>
        <w:rPr>
          <w:rFonts w:ascii="Times New Roman" w:hAnsi="Times New Roman" w:eastAsia="宋体" w:cs="Times New Roman"/>
          <w:b/>
          <w:bCs w:val="0"/>
        </w:rPr>
        <w:t>外连数据专项审计</w:t>
      </w:r>
      <w:r>
        <w:rPr>
          <w:rFonts w:ascii="Times New Roman" w:hAnsi="Times New Roman" w:eastAsia="宋体" w:cs="Times New Roman"/>
          <w:b w:val="0"/>
          <w:bCs/>
        </w:rPr>
        <w:t>：聚焦数据由内网至外网的传输行为，严格审计传输数据内容、传输通道及传输者身份，确保数据</w:t>
      </w:r>
      <w:r>
        <w:rPr>
          <w:rFonts w:hint="eastAsia" w:ascii="Times New Roman" w:hAnsi="Times New Roman" w:eastAsia="宋体" w:cs="Times New Roman"/>
          <w:b w:val="0"/>
          <w:bCs/>
          <w:lang w:eastAsia="zh-CN"/>
        </w:rPr>
        <w:t>外联</w:t>
      </w:r>
      <w:r>
        <w:rPr>
          <w:rFonts w:ascii="Times New Roman" w:hAnsi="Times New Roman" w:eastAsia="宋体" w:cs="Times New Roman"/>
          <w:b w:val="0"/>
          <w:bCs/>
        </w:rPr>
        <w:t>的合规性并评估相关风险。</w:t>
      </w:r>
    </w:p>
    <w:p w14:paraId="1182962C">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rPr>
      </w:pPr>
      <w:r>
        <w:rPr>
          <w:rFonts w:ascii="Times New Roman" w:hAnsi="Times New Roman" w:eastAsia="宋体" w:cs="Times New Roman"/>
          <w:b/>
          <w:bCs w:val="0"/>
        </w:rPr>
        <w:t>影子资产专项审计</w:t>
      </w:r>
      <w:r>
        <w:rPr>
          <w:rFonts w:ascii="Times New Roman" w:hAnsi="Times New Roman" w:eastAsia="宋体" w:cs="Times New Roman"/>
          <w:b w:val="0"/>
          <w:bCs/>
        </w:rPr>
        <w:t>：针对企业中未被正式记录、纳管或监控的数据资产进行专项审计分析，包括识别和盘点影子资产、分析影子资产的来源、评估其存在的风险。</w:t>
      </w:r>
    </w:p>
    <w:p w14:paraId="5CA1E37B">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rPr>
      </w:pPr>
      <w:r>
        <w:rPr>
          <w:rFonts w:ascii="Times New Roman" w:hAnsi="Times New Roman" w:eastAsia="宋体" w:cs="Times New Roman"/>
          <w:b/>
          <w:bCs w:val="0"/>
        </w:rPr>
        <w:t>ROT资产专项审计</w:t>
      </w:r>
      <w:r>
        <w:rPr>
          <w:rFonts w:ascii="Times New Roman" w:hAnsi="Times New Roman" w:eastAsia="宋体" w:cs="Times New Roman"/>
          <w:b w:val="0"/>
          <w:bCs/>
        </w:rPr>
        <w:t>：针对企业中存在的冗余、过时或琐碎的数据资产，通过识别与盘点、成因分析及风险与脆弱性评估，助力企业有效管理和优化数据资产结构。</w:t>
      </w:r>
    </w:p>
    <w:p w14:paraId="6DA2F875">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rPr>
      </w:pPr>
      <w:r>
        <w:rPr>
          <w:rFonts w:ascii="Times New Roman" w:hAnsi="Times New Roman" w:eastAsia="宋体" w:cs="Times New Roman"/>
          <w:b/>
          <w:bCs w:val="0"/>
        </w:rPr>
        <w:t>第三方合作伙伴行为审计</w:t>
      </w:r>
      <w:r>
        <w:rPr>
          <w:rFonts w:ascii="Times New Roman" w:hAnsi="Times New Roman" w:eastAsia="宋体" w:cs="Times New Roman"/>
          <w:b w:val="0"/>
          <w:bCs/>
        </w:rPr>
        <w:t>：深入审查第三方合作伙伴的数据访问行为，细致分析是否存在违规行为及数据泄露风险，保障合作过程中的数据安全。</w:t>
      </w:r>
    </w:p>
    <w:p w14:paraId="5A5BDE41">
      <w:pPr>
        <w:pStyle w:val="11"/>
        <w:pageBreakBefore w:val="0"/>
        <w:numPr>
          <w:ilvl w:val="0"/>
          <w:numId w:val="4"/>
        </w:numPr>
        <w:pBdr>
          <w:bottom w:val="none" w:color="auto" w:sz="0" w:space="0"/>
        </w:pBdr>
        <w:kinsoku/>
        <w:wordWrap/>
        <w:overflowPunct/>
        <w:topLinePunct w:val="0"/>
        <w:autoSpaceDE/>
        <w:autoSpaceDN/>
        <w:bidi w:val="0"/>
        <w:snapToGrid/>
        <w:spacing w:before="60" w:after="60" w:afterLines="0" w:line="312" w:lineRule="auto"/>
        <w:ind w:left="840" w:firstLine="0" w:firstLineChars="0"/>
        <w:textAlignment w:val="auto"/>
        <w:rPr>
          <w:rFonts w:ascii="Times New Roman" w:hAnsi="Times New Roman" w:eastAsia="宋体" w:cs="Times New Roman"/>
          <w:b w:val="0"/>
          <w:bCs/>
        </w:rPr>
      </w:pPr>
      <w:r>
        <w:rPr>
          <w:rFonts w:ascii="Times New Roman" w:hAnsi="Times New Roman" w:eastAsia="宋体" w:cs="Times New Roman"/>
          <w:b w:val="0"/>
          <w:bCs/>
        </w:rPr>
        <w:t>……</w:t>
      </w:r>
    </w:p>
    <w:p w14:paraId="6E3E7EC2">
      <w:pPr>
        <w:pageBreakBefore w:val="0"/>
        <w:kinsoku/>
        <w:wordWrap/>
        <w:overflowPunct/>
        <w:topLinePunct w:val="0"/>
        <w:autoSpaceDE/>
        <w:autoSpaceDN/>
        <w:bidi w:val="0"/>
        <w:snapToGrid/>
        <w:spacing w:before="60" w:after="60" w:line="312" w:lineRule="auto"/>
        <w:textAlignment w:val="auto"/>
      </w:pPr>
    </w:p>
    <w:p w14:paraId="459C0317">
      <w:pPr>
        <w:pageBreakBefore w:val="0"/>
        <w:kinsoku/>
        <w:wordWrap/>
        <w:overflowPunct/>
        <w:topLinePunct w:val="0"/>
        <w:autoSpaceDE/>
        <w:autoSpaceDN/>
        <w:bidi w:val="0"/>
        <w:snapToGrid/>
        <w:spacing w:before="60" w:after="60" w:line="312" w:lineRule="auto"/>
        <w:textAlignment w:val="auto"/>
        <w:rPr>
          <w:rFonts w:hint="eastAsia" w:ascii="宋体" w:hAnsi="宋体" w:eastAsia="宋体" w:cs="宋体"/>
          <w:color w:val="auto"/>
          <w:sz w:val="24"/>
          <w:szCs w:val="24"/>
          <w:highlight w:val="none"/>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panose1 w:val="02010600030101010101"/>
    <w:charset w:val="88"/>
    <w:family w:val="roman"/>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panose1 w:val="02010600030101010101"/>
    <w:charset w:val="86"/>
    <w:family w:val="auto"/>
    <w:pitch w:val="default"/>
    <w:sig w:usb0="00000003" w:usb1="080E0000"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minorHAnsi">
    <w:altName w:val="苹方-简"/>
    <w:panose1 w:val="00000000000000000000"/>
    <w:charset w:val="00"/>
    <w:family w:val="auto"/>
    <w:pitch w:val="default"/>
    <w:sig w:usb0="00000000" w:usb1="00000000" w:usb2="00000000" w:usb3="00000000" w:csb0="00000000" w:csb1="00000000"/>
  </w:font>
  <w:font w:name="minorEastAsia">
    <w:altName w:val="苹方-简"/>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微软雅黑">
    <w:altName w:val="汉仪旗黑"/>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黑体">
    <w:altName w:val="汉仪中黑KW"/>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025F3">
    <w:pPr>
      <w:pStyle w:val="13"/>
      <w:jc w:val="center"/>
      <w:rPr>
        <w:rFonts w:hint="default" w:eastAsia="宋体"/>
        <w:lang w:val="en-US" w:eastAsia="zh-CN"/>
      </w:rPr>
    </w:pPr>
    <w:r>
      <w:rPr>
        <w:rFonts w:hint="eastAsia"/>
        <w:lang w:val="en-US" w:eastAsia="zh-CN"/>
      </w:rPr>
      <w:t>数据流动治理、提升数据安全</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2F218">
    <w:pPr>
      <w:pStyle w:val="14"/>
      <w:jc w:val="center"/>
    </w:pPr>
    <w:r>
      <w:rPr>
        <w:b/>
        <w:bCs/>
        <w:position w:val="-11"/>
      </w:rPr>
      <w:drawing>
        <wp:inline distT="0" distB="0" distL="0" distR="0">
          <wp:extent cx="1175385" cy="271780"/>
          <wp:effectExtent l="0" t="0" r="18415" b="7620"/>
          <wp:docPr id="3" name="IM 2"/>
          <wp:cNvGraphicFramePr/>
          <a:graphic xmlns:a="http://schemas.openxmlformats.org/drawingml/2006/main">
            <a:graphicData uri="http://schemas.openxmlformats.org/drawingml/2006/picture">
              <pic:pic xmlns:pic="http://schemas.openxmlformats.org/drawingml/2006/picture">
                <pic:nvPicPr>
                  <pic:cNvPr id="3" name="IM 2"/>
                  <pic:cNvPicPr/>
                </pic:nvPicPr>
                <pic:blipFill>
                  <a:blip r:embed="rId1"/>
                  <a:stretch>
                    <a:fillRect/>
                  </a:stretch>
                </pic:blipFill>
                <pic:spPr>
                  <a:xfrm>
                    <a:off x="0" y="0"/>
                    <a:ext cx="1175385" cy="27178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4F4B3F"/>
    <w:multiLevelType w:val="multilevel"/>
    <w:tmpl w:val="DD4F4B3F"/>
    <w:lvl w:ilvl="0" w:tentative="0">
      <w:start w:val="1"/>
      <w:numFmt w:val="bullet"/>
      <w:lvlText w:val=""/>
      <w:lvlJc w:val="left"/>
      <w:pPr>
        <w:ind w:left="1216" w:hanging="336"/>
      </w:pPr>
      <w:rPr>
        <w:rFonts w:hint="default" w:ascii="wingdings" w:hAnsi="wingdings" w:eastAsia="wingdings" w:cs="wingdings"/>
      </w:rPr>
    </w:lvl>
    <w:lvl w:ilvl="1" w:tentative="0">
      <w:start w:val="1"/>
      <w:numFmt w:val="bullet"/>
      <w:lvlText w:val="¡"/>
      <w:lvlJc w:val="left"/>
      <w:pPr>
        <w:ind w:left="1656" w:hanging="336"/>
      </w:pPr>
      <w:rPr>
        <w:rFonts w:hint="default" w:ascii="wingdings" w:hAnsi="wingdings" w:eastAsia="wingdings" w:cs="wingdings"/>
      </w:rPr>
    </w:lvl>
    <w:lvl w:ilvl="2" w:tentative="0">
      <w:start w:val="1"/>
      <w:numFmt w:val="bullet"/>
      <w:lvlText w:val=""/>
      <w:lvlJc w:val="left"/>
      <w:pPr>
        <w:ind w:left="2096" w:hanging="336"/>
      </w:pPr>
      <w:rPr>
        <w:rFonts w:hint="default" w:ascii="wingdings" w:hAnsi="wingdings" w:eastAsia="wingdings" w:cs="wingdings"/>
      </w:rPr>
    </w:lvl>
    <w:lvl w:ilvl="3" w:tentative="0">
      <w:start w:val="1"/>
      <w:numFmt w:val="bullet"/>
      <w:lvlText w:val=""/>
      <w:lvlJc w:val="left"/>
      <w:pPr>
        <w:ind w:left="2536" w:hanging="336"/>
      </w:pPr>
      <w:rPr>
        <w:rFonts w:hint="default" w:ascii="wingdings" w:hAnsi="wingdings" w:eastAsia="wingdings" w:cs="wingdings"/>
      </w:rPr>
    </w:lvl>
    <w:lvl w:ilvl="4" w:tentative="0">
      <w:start w:val="1"/>
      <w:numFmt w:val="bullet"/>
      <w:lvlText w:val="¡"/>
      <w:lvlJc w:val="left"/>
      <w:pPr>
        <w:ind w:left="2976" w:hanging="336"/>
      </w:pPr>
      <w:rPr>
        <w:rFonts w:hint="default" w:ascii="wingdings" w:hAnsi="wingdings" w:eastAsia="wingdings" w:cs="wingdings"/>
      </w:rPr>
    </w:lvl>
    <w:lvl w:ilvl="5" w:tentative="0">
      <w:start w:val="1"/>
      <w:numFmt w:val="bullet"/>
      <w:lvlText w:val=""/>
      <w:lvlJc w:val="left"/>
      <w:pPr>
        <w:ind w:left="3416" w:hanging="336"/>
      </w:pPr>
      <w:rPr>
        <w:rFonts w:hint="default" w:ascii="wingdings" w:hAnsi="wingdings" w:eastAsia="wingdings" w:cs="wingdings"/>
      </w:rPr>
    </w:lvl>
    <w:lvl w:ilvl="6" w:tentative="0">
      <w:start w:val="1"/>
      <w:numFmt w:val="bullet"/>
      <w:lvlText w:val=""/>
      <w:lvlJc w:val="left"/>
      <w:pPr>
        <w:ind w:left="3856" w:hanging="336"/>
      </w:pPr>
      <w:rPr>
        <w:rFonts w:hint="default" w:ascii="wingdings" w:hAnsi="wingdings" w:eastAsia="wingdings" w:cs="wingdings"/>
      </w:rPr>
    </w:lvl>
    <w:lvl w:ilvl="7" w:tentative="0">
      <w:start w:val="1"/>
      <w:numFmt w:val="bullet"/>
      <w:lvlText w:val="¡"/>
      <w:lvlJc w:val="left"/>
      <w:pPr>
        <w:ind w:left="4296" w:hanging="336"/>
      </w:pPr>
      <w:rPr>
        <w:rFonts w:hint="default" w:ascii="wingdings" w:hAnsi="wingdings" w:eastAsia="wingdings" w:cs="wingdings"/>
      </w:rPr>
    </w:lvl>
    <w:lvl w:ilvl="8" w:tentative="0">
      <w:start w:val="1"/>
      <w:numFmt w:val="bullet"/>
      <w:lvlText w:val=""/>
      <w:lvlJc w:val="left"/>
      <w:pPr>
        <w:ind w:left="4736" w:hanging="336"/>
      </w:pPr>
      <w:rPr>
        <w:rFonts w:hint="default" w:ascii="wingdings" w:hAnsi="wingdings" w:eastAsia="wingdings" w:cs="wingdings"/>
      </w:rPr>
    </w:lvl>
  </w:abstractNum>
  <w:abstractNum w:abstractNumId="1">
    <w:nsid w:val="E337F563"/>
    <w:multiLevelType w:val="multilevel"/>
    <w:tmpl w:val="E337F563"/>
    <w:lvl w:ilvl="0" w:tentative="0">
      <w:start w:val="1"/>
      <w:numFmt w:val="decimal"/>
      <w:lvlText w:val="%1."/>
      <w:lvlJc w:val="left"/>
      <w:pPr>
        <w:ind w:left="336" w:hanging="336"/>
      </w:pPr>
    </w:lvl>
    <w:lvl w:ilvl="1" w:tentative="0">
      <w:start w:val="1"/>
      <w:numFmt w:val="decimal"/>
      <w:lvlText w:val="%1.%2."/>
      <w:lvlJc w:val="left"/>
      <w:pPr>
        <w:ind w:left="944" w:hanging="504"/>
      </w:pPr>
    </w:lvl>
    <w:lvl w:ilvl="2" w:tentative="0">
      <w:start w:val="1"/>
      <w:numFmt w:val="decimal"/>
      <w:lvlText w:val="%1.%2.%3."/>
      <w:lvlJc w:val="left"/>
      <w:pPr>
        <w:ind w:left="1552" w:hanging="672"/>
      </w:pPr>
    </w:lvl>
    <w:lvl w:ilvl="3" w:tentative="0">
      <w:start w:val="1"/>
      <w:numFmt w:val="decimal"/>
      <w:lvlText w:val="%1.%2.%3.%4."/>
      <w:lvlJc w:val="left"/>
      <w:pPr>
        <w:ind w:left="2160" w:hanging="840"/>
      </w:pPr>
    </w:lvl>
    <w:lvl w:ilvl="4" w:tentative="0">
      <w:start w:val="1"/>
      <w:numFmt w:val="decimal"/>
      <w:lvlText w:val="%1.%2.%3.%4.%5."/>
      <w:lvlJc w:val="left"/>
      <w:pPr>
        <w:ind w:left="2768" w:hanging="1008"/>
      </w:pPr>
    </w:lvl>
    <w:lvl w:ilvl="5" w:tentative="0">
      <w:start w:val="1"/>
      <w:numFmt w:val="decimal"/>
      <w:lvlText w:val="%1.%2.%3.%4.%5.%6."/>
      <w:lvlJc w:val="left"/>
      <w:pPr>
        <w:ind w:left="3376" w:hanging="1176"/>
      </w:pPr>
    </w:lvl>
    <w:lvl w:ilvl="6" w:tentative="0">
      <w:start w:val="1"/>
      <w:numFmt w:val="decimal"/>
      <w:lvlText w:val="%1.%2.%3.%4.%5.%6.%7."/>
      <w:lvlJc w:val="left"/>
      <w:pPr>
        <w:ind w:left="3984" w:hanging="1344"/>
      </w:pPr>
    </w:lvl>
    <w:lvl w:ilvl="7" w:tentative="0">
      <w:start w:val="1"/>
      <w:numFmt w:val="decimal"/>
      <w:lvlText w:val="%1.%2.%3.%4.%5.%6.%7.%8."/>
      <w:lvlJc w:val="left"/>
      <w:pPr>
        <w:ind w:left="4592" w:hanging="1512"/>
      </w:pPr>
    </w:lvl>
    <w:lvl w:ilvl="8" w:tentative="0">
      <w:start w:val="1"/>
      <w:numFmt w:val="decimal"/>
      <w:lvlText w:val="%1.%2.%3.%4.%5.%6.%7.%8.%9."/>
      <w:lvlJc w:val="left"/>
      <w:pPr>
        <w:ind w:left="5200" w:hanging="1680"/>
      </w:pPr>
    </w:lvl>
  </w:abstractNum>
  <w:abstractNum w:abstractNumId="2">
    <w:nsid w:val="231B6FDF"/>
    <w:multiLevelType w:val="multilevel"/>
    <w:tmpl w:val="231B6FDF"/>
    <w:lvl w:ilvl="0" w:tentative="0">
      <w:start w:val="1"/>
      <w:numFmt w:val="decimal"/>
      <w:pStyle w:val="41"/>
      <w:suff w:val="space"/>
      <w:lvlText w:val="%1."/>
      <w:lvlJc w:val="left"/>
      <w:pPr>
        <w:ind w:left="136" w:hanging="136"/>
      </w:pPr>
      <w:rPr>
        <w:rFonts w:hint="default" w:ascii="Arial" w:hAnsi="Arial" w:eastAsia="宋体"/>
        <w:b w:val="0"/>
        <w:i w:val="0"/>
        <w:sz w:val="18"/>
      </w:rPr>
    </w:lvl>
    <w:lvl w:ilvl="1" w:tentative="0">
      <w:start w:val="1"/>
      <w:numFmt w:val="lowerLetter"/>
      <w:lvlText w:val="%2)"/>
      <w:lvlJc w:val="left"/>
      <w:pPr>
        <w:ind w:left="953" w:hanging="420"/>
      </w:pPr>
    </w:lvl>
    <w:lvl w:ilvl="2" w:tentative="0">
      <w:start w:val="1"/>
      <w:numFmt w:val="lowerRoman"/>
      <w:lvlText w:val="%3."/>
      <w:lvlJc w:val="right"/>
      <w:pPr>
        <w:ind w:left="1373" w:hanging="420"/>
      </w:pPr>
    </w:lvl>
    <w:lvl w:ilvl="3" w:tentative="0">
      <w:start w:val="1"/>
      <w:numFmt w:val="decimal"/>
      <w:lvlText w:val="%4."/>
      <w:lvlJc w:val="left"/>
      <w:pPr>
        <w:ind w:left="1793" w:hanging="420"/>
      </w:pPr>
    </w:lvl>
    <w:lvl w:ilvl="4" w:tentative="0">
      <w:start w:val="1"/>
      <w:numFmt w:val="lowerLetter"/>
      <w:lvlText w:val="%5)"/>
      <w:lvlJc w:val="left"/>
      <w:pPr>
        <w:ind w:left="2213" w:hanging="420"/>
      </w:pPr>
    </w:lvl>
    <w:lvl w:ilvl="5" w:tentative="0">
      <w:start w:val="1"/>
      <w:numFmt w:val="lowerRoman"/>
      <w:lvlText w:val="%6."/>
      <w:lvlJc w:val="right"/>
      <w:pPr>
        <w:ind w:left="2633" w:hanging="420"/>
      </w:pPr>
    </w:lvl>
    <w:lvl w:ilvl="6" w:tentative="0">
      <w:start w:val="1"/>
      <w:numFmt w:val="decimal"/>
      <w:lvlText w:val="%7."/>
      <w:lvlJc w:val="left"/>
      <w:pPr>
        <w:ind w:left="3053" w:hanging="420"/>
      </w:pPr>
    </w:lvl>
    <w:lvl w:ilvl="7" w:tentative="0">
      <w:start w:val="1"/>
      <w:numFmt w:val="lowerLetter"/>
      <w:lvlText w:val="%8)"/>
      <w:lvlJc w:val="left"/>
      <w:pPr>
        <w:ind w:left="3473" w:hanging="420"/>
      </w:pPr>
    </w:lvl>
    <w:lvl w:ilvl="8" w:tentative="0">
      <w:start w:val="1"/>
      <w:numFmt w:val="lowerRoman"/>
      <w:lvlText w:val="%9."/>
      <w:lvlJc w:val="right"/>
      <w:pPr>
        <w:ind w:left="3893" w:hanging="420"/>
      </w:pPr>
    </w:lvl>
  </w:abstractNum>
  <w:abstractNum w:abstractNumId="3">
    <w:nsid w:val="3BFC0497"/>
    <w:multiLevelType w:val="multilevel"/>
    <w:tmpl w:val="3BFC0497"/>
    <w:lvl w:ilvl="0" w:tentative="0">
      <w:start w:val="1"/>
      <w:numFmt w:val="decimal"/>
      <w:pStyle w:val="38"/>
      <w:isLgl/>
      <w:suff w:val="space"/>
      <w:lvlText w:val="%1."/>
      <w:lvlJc w:val="left"/>
      <w:pPr>
        <w:ind w:left="0" w:firstLine="0"/>
      </w:pPr>
    </w:lvl>
    <w:lvl w:ilvl="1" w:tentative="0">
      <w:start w:val="1"/>
      <w:numFmt w:val="decimal"/>
      <w:pStyle w:val="40"/>
      <w:isLgl/>
      <w:suff w:val="space"/>
      <w:lvlText w:val="%1.%2."/>
      <w:lvlJc w:val="left"/>
      <w:pPr>
        <w:ind w:left="0" w:firstLine="0"/>
      </w:pPr>
      <w:rPr>
        <w:rFonts w:hint="default" w:ascii="宋体" w:hAnsi="宋体" w:eastAsia="宋体" w:cs="宋体"/>
        <w:sz w:val="24"/>
        <w:szCs w:val="24"/>
        <w:lang w:bidi="zh-CN"/>
      </w:rPr>
    </w:lvl>
    <w:lvl w:ilvl="2" w:tentative="0">
      <w:start w:val="1"/>
      <w:numFmt w:val="decimal"/>
      <w:isLgl/>
      <w:suff w:val="space"/>
      <w:lvlText w:val="%1.%2.%3."/>
      <w:lvlJc w:val="left"/>
      <w:pPr>
        <w:ind w:left="2976" w:firstLine="0"/>
      </w:pPr>
      <w:rPr>
        <w:rFonts w:hint="default"/>
        <w:sz w:val="24"/>
        <w:szCs w:val="24"/>
      </w:rPr>
    </w:lvl>
    <w:lvl w:ilvl="3" w:tentative="0">
      <w:start w:val="1"/>
      <w:numFmt w:val="decimal"/>
      <w:isLgl/>
      <w:suff w:val="space"/>
      <w:lvlText w:val="%1.%2.%3.%4."/>
      <w:lvlJc w:val="left"/>
      <w:pPr>
        <w:ind w:left="0" w:firstLine="0"/>
      </w:pPr>
      <w:rPr>
        <w:rFonts w:hint="default" w:ascii="Arial" w:hAnsi="Arial" w:cs="Arial"/>
        <w:b/>
        <w:bCs/>
        <w:i w:val="0"/>
        <w:iCs w:val="0"/>
        <w:caps w:val="0"/>
        <w:smallCaps w:val="0"/>
        <w:strike w:val="0"/>
        <w:dstrike w:val="0"/>
        <w:vanish w:val="0"/>
        <w:spacing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8"/>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YyZjEwNWNhYzg4Mjk4Nzk5YTQwMzUwYTZjMDA1OTgifQ=="/>
  </w:docVars>
  <w:rsids>
    <w:rsidRoot w:val="00172A27"/>
    <w:rsid w:val="00575FAF"/>
    <w:rsid w:val="00C9190B"/>
    <w:rsid w:val="00ED7DB2"/>
    <w:rsid w:val="02FFCF23"/>
    <w:rsid w:val="03F939CE"/>
    <w:rsid w:val="07FFEA11"/>
    <w:rsid w:val="0BFF9DAE"/>
    <w:rsid w:val="137F0CE3"/>
    <w:rsid w:val="13FB5795"/>
    <w:rsid w:val="16B6EA19"/>
    <w:rsid w:val="19DC16B2"/>
    <w:rsid w:val="19FD891E"/>
    <w:rsid w:val="1B73CBFC"/>
    <w:rsid w:val="1BBF2E0C"/>
    <w:rsid w:val="1BFE3655"/>
    <w:rsid w:val="1DFC7F6E"/>
    <w:rsid w:val="1DFDE013"/>
    <w:rsid w:val="1EBB416C"/>
    <w:rsid w:val="1EFE04D0"/>
    <w:rsid w:val="1EFF3341"/>
    <w:rsid w:val="1F28FB30"/>
    <w:rsid w:val="1F2B083E"/>
    <w:rsid w:val="1F77A022"/>
    <w:rsid w:val="1FF2723D"/>
    <w:rsid w:val="1FFEB294"/>
    <w:rsid w:val="1FFF6F1A"/>
    <w:rsid w:val="21193EA1"/>
    <w:rsid w:val="232519D8"/>
    <w:rsid w:val="277F70F2"/>
    <w:rsid w:val="297D1F13"/>
    <w:rsid w:val="29F1AB67"/>
    <w:rsid w:val="2A92671B"/>
    <w:rsid w:val="2B51D552"/>
    <w:rsid w:val="2B7B42B3"/>
    <w:rsid w:val="2C7F34EE"/>
    <w:rsid w:val="2D3F7EBB"/>
    <w:rsid w:val="2D6BB139"/>
    <w:rsid w:val="2E7FE7AD"/>
    <w:rsid w:val="2EF6AF46"/>
    <w:rsid w:val="2F453613"/>
    <w:rsid w:val="2F5F4AD6"/>
    <w:rsid w:val="2F9FA680"/>
    <w:rsid w:val="2FBF1519"/>
    <w:rsid w:val="324F31EA"/>
    <w:rsid w:val="32DD2BAC"/>
    <w:rsid w:val="33F2E0C3"/>
    <w:rsid w:val="353F9C5B"/>
    <w:rsid w:val="355E13F1"/>
    <w:rsid w:val="35DF9F86"/>
    <w:rsid w:val="35F7CC2B"/>
    <w:rsid w:val="36AB794F"/>
    <w:rsid w:val="37B15D2D"/>
    <w:rsid w:val="37CC5B9B"/>
    <w:rsid w:val="37EF11A0"/>
    <w:rsid w:val="385B10A2"/>
    <w:rsid w:val="394ADC87"/>
    <w:rsid w:val="3BB3353D"/>
    <w:rsid w:val="3BE77565"/>
    <w:rsid w:val="3BFF503E"/>
    <w:rsid w:val="3C750DD9"/>
    <w:rsid w:val="3CCC22BA"/>
    <w:rsid w:val="3D67435F"/>
    <w:rsid w:val="3D9B7375"/>
    <w:rsid w:val="3EDC1896"/>
    <w:rsid w:val="3EF70513"/>
    <w:rsid w:val="3EFBBA51"/>
    <w:rsid w:val="3EFD2D2A"/>
    <w:rsid w:val="3F4FAAA1"/>
    <w:rsid w:val="3F8A2552"/>
    <w:rsid w:val="3F8F0A31"/>
    <w:rsid w:val="3F91C7FF"/>
    <w:rsid w:val="3F924D26"/>
    <w:rsid w:val="3FAC2C02"/>
    <w:rsid w:val="3FBC5B74"/>
    <w:rsid w:val="3FD71762"/>
    <w:rsid w:val="3FDB02D1"/>
    <w:rsid w:val="3FDE78D6"/>
    <w:rsid w:val="3FDE79BC"/>
    <w:rsid w:val="3FFB3782"/>
    <w:rsid w:val="3FFD22E9"/>
    <w:rsid w:val="3FFFAAA4"/>
    <w:rsid w:val="3FFFD7DE"/>
    <w:rsid w:val="47DF3BB2"/>
    <w:rsid w:val="48574FEF"/>
    <w:rsid w:val="4AFD419A"/>
    <w:rsid w:val="4B9FBF41"/>
    <w:rsid w:val="4BD8877C"/>
    <w:rsid w:val="4CBF1FFC"/>
    <w:rsid w:val="4CFD65FB"/>
    <w:rsid w:val="4EFE5B7B"/>
    <w:rsid w:val="4F5DD360"/>
    <w:rsid w:val="4F8549A1"/>
    <w:rsid w:val="4F9FDB67"/>
    <w:rsid w:val="4FBE89E9"/>
    <w:rsid w:val="4FEF0BBA"/>
    <w:rsid w:val="4FEF3835"/>
    <w:rsid w:val="4FF7522E"/>
    <w:rsid w:val="4FFBD459"/>
    <w:rsid w:val="51ECB56E"/>
    <w:rsid w:val="52DF2875"/>
    <w:rsid w:val="53FE4DDE"/>
    <w:rsid w:val="54EF6E91"/>
    <w:rsid w:val="557485DB"/>
    <w:rsid w:val="557FF902"/>
    <w:rsid w:val="55B75137"/>
    <w:rsid w:val="55BAE94B"/>
    <w:rsid w:val="5771984D"/>
    <w:rsid w:val="577FB03C"/>
    <w:rsid w:val="57BCC64D"/>
    <w:rsid w:val="57BF0DBE"/>
    <w:rsid w:val="57CCB334"/>
    <w:rsid w:val="57F67172"/>
    <w:rsid w:val="57F6C4FB"/>
    <w:rsid w:val="57F7DDDD"/>
    <w:rsid w:val="57FAEED1"/>
    <w:rsid w:val="59A30AAA"/>
    <w:rsid w:val="59B98122"/>
    <w:rsid w:val="59F75CB3"/>
    <w:rsid w:val="5A86191C"/>
    <w:rsid w:val="5AAF7BB6"/>
    <w:rsid w:val="5B33C440"/>
    <w:rsid w:val="5B5974BC"/>
    <w:rsid w:val="5B6E5489"/>
    <w:rsid w:val="5BD95440"/>
    <w:rsid w:val="5BE6F466"/>
    <w:rsid w:val="5BFD1BD1"/>
    <w:rsid w:val="5BFD85F6"/>
    <w:rsid w:val="5BFE0E32"/>
    <w:rsid w:val="5CEFFEE3"/>
    <w:rsid w:val="5CFB5B0B"/>
    <w:rsid w:val="5D56AB0E"/>
    <w:rsid w:val="5DBB52E1"/>
    <w:rsid w:val="5DFE06A5"/>
    <w:rsid w:val="5EAF5C47"/>
    <w:rsid w:val="5EF29CC9"/>
    <w:rsid w:val="5EF7072D"/>
    <w:rsid w:val="5F3DFCAF"/>
    <w:rsid w:val="5F759992"/>
    <w:rsid w:val="5F771B53"/>
    <w:rsid w:val="5F7EF152"/>
    <w:rsid w:val="5FCB651D"/>
    <w:rsid w:val="5FDE9CE8"/>
    <w:rsid w:val="5FE62D26"/>
    <w:rsid w:val="5FEE509B"/>
    <w:rsid w:val="5FEFC88B"/>
    <w:rsid w:val="5FF66E5A"/>
    <w:rsid w:val="5FF73398"/>
    <w:rsid w:val="5FFD8A2C"/>
    <w:rsid w:val="60FFFA97"/>
    <w:rsid w:val="62B93397"/>
    <w:rsid w:val="637ED149"/>
    <w:rsid w:val="63E4D18C"/>
    <w:rsid w:val="649D726C"/>
    <w:rsid w:val="65FF38DD"/>
    <w:rsid w:val="65FFED0E"/>
    <w:rsid w:val="66DFE391"/>
    <w:rsid w:val="66E93635"/>
    <w:rsid w:val="6792D243"/>
    <w:rsid w:val="67B7BCEF"/>
    <w:rsid w:val="69AFE710"/>
    <w:rsid w:val="6A777BBF"/>
    <w:rsid w:val="6BF7C6A7"/>
    <w:rsid w:val="6CFF4EA9"/>
    <w:rsid w:val="6EBFFF26"/>
    <w:rsid w:val="6EF67690"/>
    <w:rsid w:val="6EFA9D8B"/>
    <w:rsid w:val="6EFC998E"/>
    <w:rsid w:val="6EFEED39"/>
    <w:rsid w:val="6F767003"/>
    <w:rsid w:val="6F77C861"/>
    <w:rsid w:val="6FAFA88F"/>
    <w:rsid w:val="6FB40826"/>
    <w:rsid w:val="6FB6F416"/>
    <w:rsid w:val="6FB7E080"/>
    <w:rsid w:val="6FBAD168"/>
    <w:rsid w:val="6FBB789F"/>
    <w:rsid w:val="6FCB1491"/>
    <w:rsid w:val="6FDE338B"/>
    <w:rsid w:val="6FE3CC04"/>
    <w:rsid w:val="6FEBB0B1"/>
    <w:rsid w:val="6FF19749"/>
    <w:rsid w:val="6FF579EF"/>
    <w:rsid w:val="6FF727E6"/>
    <w:rsid w:val="6FFD7A41"/>
    <w:rsid w:val="6FFF1B74"/>
    <w:rsid w:val="6FFF5B0B"/>
    <w:rsid w:val="6FFFC9E1"/>
    <w:rsid w:val="717EB62F"/>
    <w:rsid w:val="71AF8499"/>
    <w:rsid w:val="71FB29C7"/>
    <w:rsid w:val="72C01781"/>
    <w:rsid w:val="72EB5A28"/>
    <w:rsid w:val="733B1CFA"/>
    <w:rsid w:val="73B7D7AE"/>
    <w:rsid w:val="73BE1FEE"/>
    <w:rsid w:val="73D7FD42"/>
    <w:rsid w:val="73FB5AA6"/>
    <w:rsid w:val="73FE0467"/>
    <w:rsid w:val="74DD4163"/>
    <w:rsid w:val="756F8A4B"/>
    <w:rsid w:val="75CD2081"/>
    <w:rsid w:val="75DE2977"/>
    <w:rsid w:val="75ED77F8"/>
    <w:rsid w:val="767E8FCD"/>
    <w:rsid w:val="767F1F1E"/>
    <w:rsid w:val="76EF3DBD"/>
    <w:rsid w:val="76F5E998"/>
    <w:rsid w:val="76F73DAD"/>
    <w:rsid w:val="76FE3845"/>
    <w:rsid w:val="76FF0856"/>
    <w:rsid w:val="76FF1358"/>
    <w:rsid w:val="771FFAA9"/>
    <w:rsid w:val="775A5A06"/>
    <w:rsid w:val="776AE940"/>
    <w:rsid w:val="7777AF13"/>
    <w:rsid w:val="777893FB"/>
    <w:rsid w:val="777FA4B8"/>
    <w:rsid w:val="777FA9E6"/>
    <w:rsid w:val="77AE46AA"/>
    <w:rsid w:val="77D3CE81"/>
    <w:rsid w:val="77DF1554"/>
    <w:rsid w:val="77EE4B7E"/>
    <w:rsid w:val="77F64DC9"/>
    <w:rsid w:val="77FE1761"/>
    <w:rsid w:val="77FF7535"/>
    <w:rsid w:val="78AFACB8"/>
    <w:rsid w:val="78F59063"/>
    <w:rsid w:val="794CAFAB"/>
    <w:rsid w:val="795F223D"/>
    <w:rsid w:val="797BBEF2"/>
    <w:rsid w:val="797DA067"/>
    <w:rsid w:val="79AB13B7"/>
    <w:rsid w:val="79EFD60A"/>
    <w:rsid w:val="7ADDA027"/>
    <w:rsid w:val="7ADF192B"/>
    <w:rsid w:val="7AE26E54"/>
    <w:rsid w:val="7AF35797"/>
    <w:rsid w:val="7AF77451"/>
    <w:rsid w:val="7B4B188E"/>
    <w:rsid w:val="7B851528"/>
    <w:rsid w:val="7B9EFEC4"/>
    <w:rsid w:val="7BB382CB"/>
    <w:rsid w:val="7BB7C709"/>
    <w:rsid w:val="7BBD19C6"/>
    <w:rsid w:val="7BDF3710"/>
    <w:rsid w:val="7BE60BE5"/>
    <w:rsid w:val="7BF75274"/>
    <w:rsid w:val="7BF7DEF3"/>
    <w:rsid w:val="7BFCA2D0"/>
    <w:rsid w:val="7BFD3E74"/>
    <w:rsid w:val="7BFE7E18"/>
    <w:rsid w:val="7BFFE8F0"/>
    <w:rsid w:val="7C9FFD5F"/>
    <w:rsid w:val="7CAABD80"/>
    <w:rsid w:val="7CD7E990"/>
    <w:rsid w:val="7CDF0055"/>
    <w:rsid w:val="7CEB9009"/>
    <w:rsid w:val="7D6DB6B9"/>
    <w:rsid w:val="7D9E107F"/>
    <w:rsid w:val="7DBB2092"/>
    <w:rsid w:val="7DBF280C"/>
    <w:rsid w:val="7DBFB55B"/>
    <w:rsid w:val="7DD47D2D"/>
    <w:rsid w:val="7DF9BB13"/>
    <w:rsid w:val="7DFA1E21"/>
    <w:rsid w:val="7DFE3A57"/>
    <w:rsid w:val="7DFF21C8"/>
    <w:rsid w:val="7E1E02E6"/>
    <w:rsid w:val="7E2BE17B"/>
    <w:rsid w:val="7E5B6A4B"/>
    <w:rsid w:val="7E7B9715"/>
    <w:rsid w:val="7E7BB991"/>
    <w:rsid w:val="7E7F0FE4"/>
    <w:rsid w:val="7E958D95"/>
    <w:rsid w:val="7E97A72B"/>
    <w:rsid w:val="7E9D1358"/>
    <w:rsid w:val="7E9DFF0A"/>
    <w:rsid w:val="7EAF79E3"/>
    <w:rsid w:val="7ED24263"/>
    <w:rsid w:val="7ED7FF26"/>
    <w:rsid w:val="7EDAA8ED"/>
    <w:rsid w:val="7EF01782"/>
    <w:rsid w:val="7EF6F48B"/>
    <w:rsid w:val="7EF8E05E"/>
    <w:rsid w:val="7EFB0E0C"/>
    <w:rsid w:val="7EFB1DC4"/>
    <w:rsid w:val="7EFF6F8C"/>
    <w:rsid w:val="7F292513"/>
    <w:rsid w:val="7F338CE2"/>
    <w:rsid w:val="7F3560D1"/>
    <w:rsid w:val="7F3F10D5"/>
    <w:rsid w:val="7F4EFB8E"/>
    <w:rsid w:val="7F5B2F6F"/>
    <w:rsid w:val="7F5EC40D"/>
    <w:rsid w:val="7F7507BA"/>
    <w:rsid w:val="7F7ECF66"/>
    <w:rsid w:val="7F7F337F"/>
    <w:rsid w:val="7F7F9B53"/>
    <w:rsid w:val="7F7FBE20"/>
    <w:rsid w:val="7F94DCC2"/>
    <w:rsid w:val="7F959E18"/>
    <w:rsid w:val="7F989E43"/>
    <w:rsid w:val="7F9F52A3"/>
    <w:rsid w:val="7FB06214"/>
    <w:rsid w:val="7FB6414A"/>
    <w:rsid w:val="7FBDDBE7"/>
    <w:rsid w:val="7FBEB756"/>
    <w:rsid w:val="7FCFEC72"/>
    <w:rsid w:val="7FD70ECA"/>
    <w:rsid w:val="7FD71FDE"/>
    <w:rsid w:val="7FD7B35C"/>
    <w:rsid w:val="7FD93799"/>
    <w:rsid w:val="7FDDCFDF"/>
    <w:rsid w:val="7FE3B768"/>
    <w:rsid w:val="7FEF24D8"/>
    <w:rsid w:val="7FEF6DE3"/>
    <w:rsid w:val="7FEF7B36"/>
    <w:rsid w:val="7FEFA212"/>
    <w:rsid w:val="7FEFA574"/>
    <w:rsid w:val="7FF17307"/>
    <w:rsid w:val="7FF32E61"/>
    <w:rsid w:val="7FF50A51"/>
    <w:rsid w:val="7FF53715"/>
    <w:rsid w:val="7FF571E8"/>
    <w:rsid w:val="7FF81C1A"/>
    <w:rsid w:val="7FFA29B1"/>
    <w:rsid w:val="7FFAD10F"/>
    <w:rsid w:val="7FFAFBC5"/>
    <w:rsid w:val="7FFBA87C"/>
    <w:rsid w:val="7FFBC4AA"/>
    <w:rsid w:val="7FFD0B37"/>
    <w:rsid w:val="7FFD171C"/>
    <w:rsid w:val="7FFDD16C"/>
    <w:rsid w:val="7FFE004E"/>
    <w:rsid w:val="7FFF8035"/>
    <w:rsid w:val="7FFF92F1"/>
    <w:rsid w:val="7FFF994C"/>
    <w:rsid w:val="7FFFA789"/>
    <w:rsid w:val="8D7EDF0C"/>
    <w:rsid w:val="8E9DB2FF"/>
    <w:rsid w:val="8EDFEE05"/>
    <w:rsid w:val="8F47DD38"/>
    <w:rsid w:val="931BDC7D"/>
    <w:rsid w:val="97F79771"/>
    <w:rsid w:val="997FB133"/>
    <w:rsid w:val="99EDBC61"/>
    <w:rsid w:val="9ABFC15C"/>
    <w:rsid w:val="9B7FE021"/>
    <w:rsid w:val="9DB7A1EC"/>
    <w:rsid w:val="9DCE23B6"/>
    <w:rsid w:val="9E5FB829"/>
    <w:rsid w:val="9E8452A0"/>
    <w:rsid w:val="9E959CCE"/>
    <w:rsid w:val="9F7A9916"/>
    <w:rsid w:val="9FAE8EFD"/>
    <w:rsid w:val="9FCB77D2"/>
    <w:rsid w:val="9FF3D782"/>
    <w:rsid w:val="9FFDE3E4"/>
    <w:rsid w:val="A56FE247"/>
    <w:rsid w:val="A72FC52F"/>
    <w:rsid w:val="A7DF9EE8"/>
    <w:rsid w:val="AAFB5392"/>
    <w:rsid w:val="AAFF9916"/>
    <w:rsid w:val="ABEE332C"/>
    <w:rsid w:val="AC7DE8C0"/>
    <w:rsid w:val="ADEF590A"/>
    <w:rsid w:val="ADF60863"/>
    <w:rsid w:val="ADF796C6"/>
    <w:rsid w:val="ADFEB4E3"/>
    <w:rsid w:val="AF8B3271"/>
    <w:rsid w:val="AF9F7F74"/>
    <w:rsid w:val="AFBFDFBC"/>
    <w:rsid w:val="AFCB9077"/>
    <w:rsid w:val="AFFBCFF8"/>
    <w:rsid w:val="AFFE65E5"/>
    <w:rsid w:val="AFFEA5E6"/>
    <w:rsid w:val="AFFFD870"/>
    <w:rsid w:val="B0F78389"/>
    <w:rsid w:val="B33F5862"/>
    <w:rsid w:val="B3CCB613"/>
    <w:rsid w:val="B3FF3579"/>
    <w:rsid w:val="B47BB1EA"/>
    <w:rsid w:val="B4F94E0E"/>
    <w:rsid w:val="B4FF7798"/>
    <w:rsid w:val="B587BAD0"/>
    <w:rsid w:val="B5BE5ABA"/>
    <w:rsid w:val="B5DD5843"/>
    <w:rsid w:val="B687B7D3"/>
    <w:rsid w:val="B693356D"/>
    <w:rsid w:val="B6FDDE3D"/>
    <w:rsid w:val="B7670CCE"/>
    <w:rsid w:val="B77AD225"/>
    <w:rsid w:val="B77B0EB1"/>
    <w:rsid w:val="B77EE1E9"/>
    <w:rsid w:val="B79E4104"/>
    <w:rsid w:val="B7BF6352"/>
    <w:rsid w:val="B8FD1BCB"/>
    <w:rsid w:val="BABDA881"/>
    <w:rsid w:val="BABF3464"/>
    <w:rsid w:val="BAFD5A65"/>
    <w:rsid w:val="BBB5F8E5"/>
    <w:rsid w:val="BBBFFE7C"/>
    <w:rsid w:val="BBE752A8"/>
    <w:rsid w:val="BBEE17E4"/>
    <w:rsid w:val="BBF743E5"/>
    <w:rsid w:val="BBFECCD5"/>
    <w:rsid w:val="BCBFC246"/>
    <w:rsid w:val="BCD74F71"/>
    <w:rsid w:val="BCF57AC3"/>
    <w:rsid w:val="BCFB6BFC"/>
    <w:rsid w:val="BDAF8647"/>
    <w:rsid w:val="BDB7A419"/>
    <w:rsid w:val="BDF77997"/>
    <w:rsid w:val="BDFF5736"/>
    <w:rsid w:val="BDFFFCA8"/>
    <w:rsid w:val="BE372F79"/>
    <w:rsid w:val="BE7ECD46"/>
    <w:rsid w:val="BEBF353B"/>
    <w:rsid w:val="BEDD78FF"/>
    <w:rsid w:val="BEDF1F19"/>
    <w:rsid w:val="BEF65ADA"/>
    <w:rsid w:val="BEFAE4F9"/>
    <w:rsid w:val="BEFB6B17"/>
    <w:rsid w:val="BF39E309"/>
    <w:rsid w:val="BF3F993E"/>
    <w:rsid w:val="BF5F10F2"/>
    <w:rsid w:val="BF6F7AA8"/>
    <w:rsid w:val="BF7C4665"/>
    <w:rsid w:val="BF7EB5D1"/>
    <w:rsid w:val="BF7ED308"/>
    <w:rsid w:val="BF7FC459"/>
    <w:rsid w:val="BF9FE696"/>
    <w:rsid w:val="BFB54617"/>
    <w:rsid w:val="BFBFC925"/>
    <w:rsid w:val="BFC9489E"/>
    <w:rsid w:val="BFCE4074"/>
    <w:rsid w:val="BFD7DAAD"/>
    <w:rsid w:val="BFE74428"/>
    <w:rsid w:val="BFED3C5C"/>
    <w:rsid w:val="BFF77DA4"/>
    <w:rsid w:val="BFFBBFF9"/>
    <w:rsid w:val="BFFE094D"/>
    <w:rsid w:val="C67FCDC3"/>
    <w:rsid w:val="CBFFF191"/>
    <w:rsid w:val="CC0F04E9"/>
    <w:rsid w:val="CDB50B4C"/>
    <w:rsid w:val="CDCD6270"/>
    <w:rsid w:val="CDFB5AA8"/>
    <w:rsid w:val="CDFBC3F0"/>
    <w:rsid w:val="CEDF2B93"/>
    <w:rsid w:val="CEFF4052"/>
    <w:rsid w:val="CF5D0840"/>
    <w:rsid w:val="CFE04A14"/>
    <w:rsid w:val="CFEE19F7"/>
    <w:rsid w:val="CFFD96BB"/>
    <w:rsid w:val="D1FF7A5D"/>
    <w:rsid w:val="D3E663FE"/>
    <w:rsid w:val="D45FD89E"/>
    <w:rsid w:val="D5797CB9"/>
    <w:rsid w:val="D57EEAF6"/>
    <w:rsid w:val="D5DA56E8"/>
    <w:rsid w:val="D5FAA749"/>
    <w:rsid w:val="D66F6362"/>
    <w:rsid w:val="D67C774A"/>
    <w:rsid w:val="D6E655E6"/>
    <w:rsid w:val="D6E97EA2"/>
    <w:rsid w:val="D6FF9A4B"/>
    <w:rsid w:val="D7B3878B"/>
    <w:rsid w:val="D7B74B36"/>
    <w:rsid w:val="D7DCF2F9"/>
    <w:rsid w:val="D7DF5FAB"/>
    <w:rsid w:val="D7FF0755"/>
    <w:rsid w:val="D8BFF05E"/>
    <w:rsid w:val="DA7E14FC"/>
    <w:rsid w:val="DAE3DC5D"/>
    <w:rsid w:val="DBEF1CB8"/>
    <w:rsid w:val="DCDF7103"/>
    <w:rsid w:val="DCFF5C1A"/>
    <w:rsid w:val="DD7F6C71"/>
    <w:rsid w:val="DDBE0E87"/>
    <w:rsid w:val="DDC6BB1D"/>
    <w:rsid w:val="DDD5BA24"/>
    <w:rsid w:val="DDDD7775"/>
    <w:rsid w:val="DDEF1415"/>
    <w:rsid w:val="DDFE0912"/>
    <w:rsid w:val="DEEEF8AE"/>
    <w:rsid w:val="DEFE7AF9"/>
    <w:rsid w:val="DF7E90FD"/>
    <w:rsid w:val="DFA3BE40"/>
    <w:rsid w:val="DFAB17F5"/>
    <w:rsid w:val="DFBCBC10"/>
    <w:rsid w:val="DFBE8A57"/>
    <w:rsid w:val="DFBECE57"/>
    <w:rsid w:val="DFBFD50F"/>
    <w:rsid w:val="DFD832A3"/>
    <w:rsid w:val="DFD94975"/>
    <w:rsid w:val="DFDFF9EF"/>
    <w:rsid w:val="DFFB4789"/>
    <w:rsid w:val="DFFDC3FF"/>
    <w:rsid w:val="DFFF01BE"/>
    <w:rsid w:val="DFFFC014"/>
    <w:rsid w:val="DFFFE5EF"/>
    <w:rsid w:val="E177EDCE"/>
    <w:rsid w:val="E2FE9434"/>
    <w:rsid w:val="E3CEDD29"/>
    <w:rsid w:val="E5BF3B4E"/>
    <w:rsid w:val="E6F7B7D8"/>
    <w:rsid w:val="E6FCEB28"/>
    <w:rsid w:val="E72FD633"/>
    <w:rsid w:val="E73B8D22"/>
    <w:rsid w:val="E777121E"/>
    <w:rsid w:val="E7ED1CB5"/>
    <w:rsid w:val="E7F4C717"/>
    <w:rsid w:val="E8EF3EAF"/>
    <w:rsid w:val="E97D6575"/>
    <w:rsid w:val="EBA7FA48"/>
    <w:rsid w:val="EBA8BDF4"/>
    <w:rsid w:val="EBDD8995"/>
    <w:rsid w:val="EBF7F5F9"/>
    <w:rsid w:val="EBFD7AFE"/>
    <w:rsid w:val="EBFF7330"/>
    <w:rsid w:val="ED7B98DD"/>
    <w:rsid w:val="ED7F1E23"/>
    <w:rsid w:val="EDDF4E1B"/>
    <w:rsid w:val="EDFF9A8E"/>
    <w:rsid w:val="EE6BE2DB"/>
    <w:rsid w:val="EE6F9FBB"/>
    <w:rsid w:val="EE984965"/>
    <w:rsid w:val="EECB5057"/>
    <w:rsid w:val="EEDE7054"/>
    <w:rsid w:val="EF151449"/>
    <w:rsid w:val="EF3FEE16"/>
    <w:rsid w:val="EF7FCD62"/>
    <w:rsid w:val="EF8F36C5"/>
    <w:rsid w:val="EFF7E392"/>
    <w:rsid w:val="EFFC8E8F"/>
    <w:rsid w:val="EFFDC2A0"/>
    <w:rsid w:val="EFFFCC53"/>
    <w:rsid w:val="F0EF3AEE"/>
    <w:rsid w:val="F1FD9D73"/>
    <w:rsid w:val="F1FF2346"/>
    <w:rsid w:val="F23F3C4B"/>
    <w:rsid w:val="F2DABFCB"/>
    <w:rsid w:val="F33DCB38"/>
    <w:rsid w:val="F37FAB8D"/>
    <w:rsid w:val="F39C34BF"/>
    <w:rsid w:val="F3AB95C9"/>
    <w:rsid w:val="F3D328D9"/>
    <w:rsid w:val="F3E94CF1"/>
    <w:rsid w:val="F3FF3C55"/>
    <w:rsid w:val="F3FFAFF0"/>
    <w:rsid w:val="F48F5C6B"/>
    <w:rsid w:val="F4AD6CD0"/>
    <w:rsid w:val="F4DFAEDA"/>
    <w:rsid w:val="F4E61545"/>
    <w:rsid w:val="F5114B1A"/>
    <w:rsid w:val="F5DFF546"/>
    <w:rsid w:val="F5EE0723"/>
    <w:rsid w:val="F5FB38B0"/>
    <w:rsid w:val="F5FFCA32"/>
    <w:rsid w:val="F617C3A6"/>
    <w:rsid w:val="F66D3A65"/>
    <w:rsid w:val="F6A7C3C5"/>
    <w:rsid w:val="F6F49364"/>
    <w:rsid w:val="F6FD1541"/>
    <w:rsid w:val="F73EEB47"/>
    <w:rsid w:val="F777C099"/>
    <w:rsid w:val="F77FAF24"/>
    <w:rsid w:val="F7BFB631"/>
    <w:rsid w:val="F7DE651A"/>
    <w:rsid w:val="F7DF1559"/>
    <w:rsid w:val="F7DF98E0"/>
    <w:rsid w:val="F7EE0070"/>
    <w:rsid w:val="F7F4DD57"/>
    <w:rsid w:val="F7FB83A8"/>
    <w:rsid w:val="F7FD732A"/>
    <w:rsid w:val="F8AF7CD2"/>
    <w:rsid w:val="F8BEBD6B"/>
    <w:rsid w:val="F8FF4555"/>
    <w:rsid w:val="F91F904E"/>
    <w:rsid w:val="F97DB697"/>
    <w:rsid w:val="F9E752F3"/>
    <w:rsid w:val="F9F72799"/>
    <w:rsid w:val="FA7C4A28"/>
    <w:rsid w:val="FA871BC4"/>
    <w:rsid w:val="FAAD8439"/>
    <w:rsid w:val="FAFB1086"/>
    <w:rsid w:val="FAFEDC92"/>
    <w:rsid w:val="FB57CDCF"/>
    <w:rsid w:val="FB5D1306"/>
    <w:rsid w:val="FB7B129F"/>
    <w:rsid w:val="FB7F09FF"/>
    <w:rsid w:val="FB7FA063"/>
    <w:rsid w:val="FBBA7CF6"/>
    <w:rsid w:val="FBD392AE"/>
    <w:rsid w:val="FBD7C223"/>
    <w:rsid w:val="FBDBB327"/>
    <w:rsid w:val="FBF3DF0D"/>
    <w:rsid w:val="FBF77D05"/>
    <w:rsid w:val="FBF90C9B"/>
    <w:rsid w:val="FBFABD02"/>
    <w:rsid w:val="FBFE649E"/>
    <w:rsid w:val="FBFEB21D"/>
    <w:rsid w:val="FCC74A58"/>
    <w:rsid w:val="FCDDF4A1"/>
    <w:rsid w:val="FCFF02F6"/>
    <w:rsid w:val="FD2F52AC"/>
    <w:rsid w:val="FD87420F"/>
    <w:rsid w:val="FDAFB43B"/>
    <w:rsid w:val="FDBFABEF"/>
    <w:rsid w:val="FDDB571C"/>
    <w:rsid w:val="FDEB2DCF"/>
    <w:rsid w:val="FDEEC856"/>
    <w:rsid w:val="FDF32A01"/>
    <w:rsid w:val="FDFD5C9F"/>
    <w:rsid w:val="FDFF90E4"/>
    <w:rsid w:val="FDFFD89C"/>
    <w:rsid w:val="FE75A0E8"/>
    <w:rsid w:val="FE7F691B"/>
    <w:rsid w:val="FE7F6F89"/>
    <w:rsid w:val="FED4AEA8"/>
    <w:rsid w:val="FEEF4A2C"/>
    <w:rsid w:val="FEFBC187"/>
    <w:rsid w:val="FEFD40D2"/>
    <w:rsid w:val="FEFF593A"/>
    <w:rsid w:val="FF1FE15E"/>
    <w:rsid w:val="FF3BBD9A"/>
    <w:rsid w:val="FF3BBFE3"/>
    <w:rsid w:val="FF4B71DA"/>
    <w:rsid w:val="FF5D7511"/>
    <w:rsid w:val="FF6FB7FF"/>
    <w:rsid w:val="FF6FD7D0"/>
    <w:rsid w:val="FF77FAE4"/>
    <w:rsid w:val="FF78CB6E"/>
    <w:rsid w:val="FF7C78D1"/>
    <w:rsid w:val="FF7DF279"/>
    <w:rsid w:val="FF7F8F34"/>
    <w:rsid w:val="FF8D1B8C"/>
    <w:rsid w:val="FF9F67D0"/>
    <w:rsid w:val="FF9FBE35"/>
    <w:rsid w:val="FFAF3F60"/>
    <w:rsid w:val="FFB78527"/>
    <w:rsid w:val="FFBE0228"/>
    <w:rsid w:val="FFBE527E"/>
    <w:rsid w:val="FFBF36EC"/>
    <w:rsid w:val="FFBFC351"/>
    <w:rsid w:val="FFBFFC62"/>
    <w:rsid w:val="FFCAD5E6"/>
    <w:rsid w:val="FFD72545"/>
    <w:rsid w:val="FFDE12B3"/>
    <w:rsid w:val="FFDF520B"/>
    <w:rsid w:val="FFDFB3A4"/>
    <w:rsid w:val="FFDFD3A4"/>
    <w:rsid w:val="FFE96D40"/>
    <w:rsid w:val="FFEB5D84"/>
    <w:rsid w:val="FFEDFCCF"/>
    <w:rsid w:val="FFEE83A4"/>
    <w:rsid w:val="FFEF485D"/>
    <w:rsid w:val="FFEF97D4"/>
    <w:rsid w:val="FFEFD8E5"/>
    <w:rsid w:val="FFF1F880"/>
    <w:rsid w:val="FFF35CF4"/>
    <w:rsid w:val="FFF68986"/>
    <w:rsid w:val="FFF70A6B"/>
    <w:rsid w:val="FFF76F23"/>
    <w:rsid w:val="FFF77FD9"/>
    <w:rsid w:val="FFF7CA6C"/>
    <w:rsid w:val="FFF7D990"/>
    <w:rsid w:val="FFFA673F"/>
    <w:rsid w:val="FFFAD332"/>
    <w:rsid w:val="FFFBFDF1"/>
    <w:rsid w:val="FFFDA009"/>
    <w:rsid w:val="FFFF84E0"/>
    <w:rsid w:val="FFFF9EF4"/>
    <w:rsid w:val="FFFFD0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21">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Body Text"/>
    <w:semiHidden/>
    <w:unhideWhenUsed/>
    <w:qFormat/>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toc 3"/>
    <w:basedOn w:val="1"/>
    <w:next w:val="1"/>
    <w:qFormat/>
    <w:uiPriority w:val="0"/>
    <w:pPr>
      <w:ind w:left="840" w:leftChars="400"/>
    </w:pPr>
  </w:style>
  <w:style w:type="paragraph" w:styleId="13">
    <w:name w:val="footer"/>
    <w:basedOn w:val="1"/>
    <w:qFormat/>
    <w:uiPriority w:val="0"/>
    <w:pPr>
      <w:tabs>
        <w:tab w:val="center" w:pos="4153"/>
        <w:tab w:val="right" w:pos="8306"/>
      </w:tabs>
      <w:snapToGrid w:val="0"/>
      <w:jc w:val="left"/>
    </w:pPr>
    <w:rPr>
      <w:rFonts w:ascii="Times New Roman" w:hAnsi="Times New Roman" w:eastAsia="宋体" w:cs="Times New Roman"/>
      <w:sz w:val="18"/>
      <w:szCs w:val="20"/>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imes New Roman"/>
      <w:sz w:val="18"/>
      <w:szCs w:val="20"/>
    </w:rPr>
  </w:style>
  <w:style w:type="paragraph" w:styleId="15">
    <w:name w:val="toc 1"/>
    <w:basedOn w:val="1"/>
    <w:next w:val="1"/>
    <w:qFormat/>
    <w:uiPriority w:val="0"/>
  </w:style>
  <w:style w:type="paragraph" w:styleId="16">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7">
    <w:name w:val="toc 2"/>
    <w:basedOn w:val="1"/>
    <w:next w:val="1"/>
    <w:qFormat/>
    <w:uiPriority w:val="0"/>
    <w:pPr>
      <w:ind w:left="420" w:leftChars="200"/>
    </w:pPr>
  </w:style>
  <w:style w:type="paragraph" w:styleId="18">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9">
    <w:name w:val="Title"/>
    <w:next w:val="1"/>
    <w:qFormat/>
    <w:uiPriority w:val="9"/>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paragraph" w:customStyle="1" w:styleId="24">
    <w:name w:val="WPSOffice手动目录 1"/>
    <w:qFormat/>
    <w:uiPriority w:val="0"/>
    <w:pPr>
      <w:ind w:leftChars="0"/>
    </w:pPr>
    <w:rPr>
      <w:rFonts w:ascii="Times New Roman" w:hAnsi="Times New Roman" w:eastAsia="宋体" w:cs="Times New Roman"/>
      <w:sz w:val="20"/>
      <w:szCs w:val="20"/>
    </w:rPr>
  </w:style>
  <w:style w:type="paragraph" w:customStyle="1" w:styleId="25">
    <w:name w:val="WPSOffice手动目录 2"/>
    <w:qFormat/>
    <w:uiPriority w:val="0"/>
    <w:pPr>
      <w:ind w:leftChars="200"/>
    </w:pPr>
    <w:rPr>
      <w:rFonts w:ascii="Times New Roman" w:hAnsi="Times New Roman" w:eastAsia="宋体" w:cs="Times New Roman"/>
      <w:sz w:val="20"/>
      <w:szCs w:val="20"/>
    </w:rPr>
  </w:style>
  <w:style w:type="paragraph" w:customStyle="1" w:styleId="26">
    <w:name w:val="WPSOffice手动目录 3"/>
    <w:qFormat/>
    <w:uiPriority w:val="0"/>
    <w:pPr>
      <w:ind w:leftChars="400"/>
    </w:pPr>
    <w:rPr>
      <w:rFonts w:ascii="Times New Roman" w:hAnsi="Times New Roman" w:eastAsia="宋体" w:cs="Times New Roman"/>
      <w:sz w:val="20"/>
      <w:szCs w:val="20"/>
    </w:rPr>
  </w:style>
  <w:style w:type="character" w:customStyle="1" w:styleId="27">
    <w:name w:val="font01"/>
    <w:basedOn w:val="21"/>
    <w:qFormat/>
    <w:uiPriority w:val="0"/>
    <w:rPr>
      <w:rFonts w:hint="default" w:ascii="等线" w:hAnsi="等线" w:eastAsia="等线" w:cs="等线"/>
      <w:color w:val="000000"/>
      <w:sz w:val="20"/>
      <w:szCs w:val="20"/>
      <w:u w:val="none"/>
    </w:rPr>
  </w:style>
  <w:style w:type="character" w:customStyle="1" w:styleId="28">
    <w:name w:val="font21"/>
    <w:basedOn w:val="21"/>
    <w:qFormat/>
    <w:uiPriority w:val="0"/>
    <w:rPr>
      <w:rFonts w:hint="default" w:ascii="等线" w:hAnsi="等线" w:eastAsia="等线" w:cs="等线"/>
      <w:b/>
      <w:bCs/>
      <w:color w:val="000000"/>
      <w:sz w:val="20"/>
      <w:szCs w:val="20"/>
      <w:u w:val="none"/>
    </w:rPr>
  </w:style>
  <w:style w:type="character" w:customStyle="1" w:styleId="29">
    <w:name w:val="font31"/>
    <w:basedOn w:val="21"/>
    <w:qFormat/>
    <w:uiPriority w:val="0"/>
    <w:rPr>
      <w:rFonts w:hint="default" w:ascii="等线" w:hAnsi="等线" w:eastAsia="等线" w:cs="等线"/>
      <w:color w:val="000000"/>
      <w:sz w:val="20"/>
      <w:szCs w:val="20"/>
      <w:u w:val="none"/>
    </w:rPr>
  </w:style>
  <w:style w:type="character" w:customStyle="1" w:styleId="30">
    <w:name w:val="font41"/>
    <w:basedOn w:val="21"/>
    <w:qFormat/>
    <w:uiPriority w:val="0"/>
    <w:rPr>
      <w:rFonts w:hint="default" w:ascii="等线" w:hAnsi="等线" w:eastAsia="等线" w:cs="等线"/>
      <w:b/>
      <w:bCs/>
      <w:color w:val="000000"/>
      <w:sz w:val="20"/>
      <w:szCs w:val="20"/>
      <w:u w:val="none"/>
    </w:rPr>
  </w:style>
  <w:style w:type="character" w:customStyle="1" w:styleId="31">
    <w:name w:val="font51"/>
    <w:basedOn w:val="21"/>
    <w:qFormat/>
    <w:uiPriority w:val="0"/>
    <w:rPr>
      <w:rFonts w:hint="default" w:ascii="等线" w:hAnsi="等线" w:eastAsia="等线" w:cs="等线"/>
      <w:b/>
      <w:bCs/>
      <w:color w:val="FF0000"/>
      <w:sz w:val="20"/>
      <w:szCs w:val="20"/>
      <w:u w:val="none"/>
    </w:rPr>
  </w:style>
  <w:style w:type="character" w:customStyle="1" w:styleId="32">
    <w:name w:val="font61"/>
    <w:basedOn w:val="21"/>
    <w:qFormat/>
    <w:uiPriority w:val="0"/>
    <w:rPr>
      <w:rFonts w:hint="default" w:ascii="等线" w:hAnsi="等线" w:eastAsia="等线" w:cs="等线"/>
      <w:b/>
      <w:bCs/>
      <w:color w:val="000000"/>
      <w:sz w:val="20"/>
      <w:szCs w:val="20"/>
      <w:u w:val="none"/>
    </w:rPr>
  </w:style>
  <w:style w:type="character" w:customStyle="1" w:styleId="33">
    <w:name w:val="font71"/>
    <w:basedOn w:val="21"/>
    <w:qFormat/>
    <w:uiPriority w:val="0"/>
    <w:rPr>
      <w:rFonts w:hint="default" w:ascii="等线" w:hAnsi="等线" w:eastAsia="等线" w:cs="等线"/>
      <w:color w:val="000000"/>
      <w:sz w:val="20"/>
      <w:szCs w:val="20"/>
      <w:u w:val="none"/>
    </w:rPr>
  </w:style>
  <w:style w:type="character" w:customStyle="1" w:styleId="34">
    <w:name w:val="font81"/>
    <w:basedOn w:val="21"/>
    <w:qFormat/>
    <w:uiPriority w:val="0"/>
    <w:rPr>
      <w:rFonts w:hint="default" w:ascii="等线" w:hAnsi="等线" w:eastAsia="等线" w:cs="等线"/>
      <w:color w:val="0D0D0D"/>
      <w:sz w:val="20"/>
      <w:szCs w:val="20"/>
      <w:u w:val="none"/>
    </w:rPr>
  </w:style>
  <w:style w:type="character" w:customStyle="1" w:styleId="35">
    <w:name w:val="font91"/>
    <w:basedOn w:val="21"/>
    <w:qFormat/>
    <w:uiPriority w:val="0"/>
    <w:rPr>
      <w:rFonts w:hint="default" w:ascii="等线" w:hAnsi="等线" w:eastAsia="等线" w:cs="等线"/>
      <w:b/>
      <w:bCs/>
      <w:color w:val="0D0D0D"/>
      <w:sz w:val="20"/>
      <w:szCs w:val="20"/>
      <w:u w:val="none"/>
    </w:rPr>
  </w:style>
  <w:style w:type="character" w:customStyle="1" w:styleId="36">
    <w:name w:val="font101"/>
    <w:basedOn w:val="21"/>
    <w:qFormat/>
    <w:uiPriority w:val="0"/>
    <w:rPr>
      <w:rFonts w:hint="default" w:ascii="等线" w:hAnsi="等线" w:eastAsia="等线" w:cs="等线"/>
      <w:color w:val="FF0000"/>
      <w:sz w:val="20"/>
      <w:szCs w:val="20"/>
      <w:u w:val="none"/>
    </w:rPr>
  </w:style>
  <w:style w:type="paragraph" w:customStyle="1" w:styleId="37">
    <w:name w:val="表格内容（SANGFOR）"/>
    <w:unhideWhenUsed/>
    <w:qFormat/>
    <w:uiPriority w:val="0"/>
    <w:pPr>
      <w:snapToGrid w:val="0"/>
      <w:spacing w:before="80" w:after="80"/>
    </w:pPr>
    <w:rPr>
      <w:rFonts w:ascii="Arial" w:hAnsi="Arial" w:eastAsia="宋体" w:cs="Times New Roman"/>
      <w:sz w:val="18"/>
      <w:szCs w:val="24"/>
      <w:lang w:val="en-US" w:eastAsia="zh-CN" w:bidi="ar-SA"/>
    </w:rPr>
  </w:style>
  <w:style w:type="paragraph" w:customStyle="1" w:styleId="38">
    <w:name w:val="SANGFOR_1_标题1"/>
    <w:basedOn w:val="1"/>
    <w:next w:val="39"/>
    <w:qFormat/>
    <w:uiPriority w:val="0"/>
    <w:pPr>
      <w:keepNext/>
      <w:keepLines/>
      <w:pageBreakBefore/>
      <w:widowControl/>
      <w:numPr>
        <w:ilvl w:val="0"/>
        <w:numId w:val="1"/>
      </w:numPr>
      <w:spacing w:before="240" w:after="240" w:line="360" w:lineRule="auto"/>
      <w:jc w:val="left"/>
      <w:outlineLvl w:val="0"/>
    </w:pPr>
    <w:rPr>
      <w:rFonts w:ascii="Arial" w:hAnsi="Arial" w:eastAsia="宋体" w:cs="Times New Roman"/>
      <w:b/>
      <w:bCs/>
      <w:kern w:val="44"/>
      <w:sz w:val="36"/>
      <w:szCs w:val="36"/>
    </w:rPr>
  </w:style>
  <w:style w:type="paragraph" w:customStyle="1" w:styleId="39">
    <w:name w:val="正文（SANGFOR）"/>
    <w:basedOn w:val="1"/>
    <w:qFormat/>
    <w:uiPriority w:val="0"/>
    <w:pPr>
      <w:tabs>
        <w:tab w:val="right" w:pos="9031"/>
      </w:tabs>
      <w:autoSpaceDE w:val="0"/>
      <w:autoSpaceDN w:val="0"/>
      <w:adjustRightInd w:val="0"/>
      <w:spacing w:before="80" w:after="80" w:line="300" w:lineRule="auto"/>
      <w:ind w:left="567"/>
    </w:pPr>
    <w:rPr>
      <w:rFonts w:ascii="Arial" w:hAnsi="Arial" w:eastAsia="宋体" w:cs="Times New Roman"/>
      <w:kern w:val="0"/>
      <w:szCs w:val="21"/>
    </w:rPr>
  </w:style>
  <w:style w:type="paragraph" w:customStyle="1" w:styleId="40">
    <w:name w:val="SANGFOR_2_标题2"/>
    <w:basedOn w:val="3"/>
    <w:next w:val="39"/>
    <w:qFormat/>
    <w:uiPriority w:val="0"/>
    <w:pPr>
      <w:widowControl/>
      <w:numPr>
        <w:ilvl w:val="1"/>
        <w:numId w:val="1"/>
      </w:numPr>
      <w:jc w:val="left"/>
    </w:pPr>
    <w:rPr>
      <w:rFonts w:ascii="Arial" w:hAnsi="Arial" w:cs="Arial"/>
      <w:kern w:val="0"/>
      <w:szCs w:val="28"/>
    </w:rPr>
  </w:style>
  <w:style w:type="paragraph" w:customStyle="1" w:styleId="41">
    <w:name w:val="1.表格内序号（SANGFOR）"/>
    <w:basedOn w:val="37"/>
    <w:qFormat/>
    <w:uiPriority w:val="0"/>
    <w:pPr>
      <w:numPr>
        <w:ilvl w:val="0"/>
        <w:numId w:val="2"/>
      </w:numPr>
      <w:snapToGrid/>
    </w:pPr>
  </w:style>
  <w:style w:type="paragraph" w:customStyle="1" w:styleId="42">
    <w:name w:val="图样式(SANGFOR)"/>
    <w:basedOn w:val="1"/>
    <w:qFormat/>
    <w:uiPriority w:val="0"/>
    <w:pPr>
      <w:tabs>
        <w:tab w:val="left" w:pos="907"/>
        <w:tab w:val="right" w:pos="9031"/>
      </w:tabs>
      <w:autoSpaceDE w:val="0"/>
      <w:autoSpaceDN w:val="0"/>
      <w:adjustRightInd w:val="0"/>
      <w:spacing w:line="300" w:lineRule="auto"/>
      <w:ind w:left="567"/>
      <w:jc w:val="center"/>
    </w:pPr>
    <w:rPr>
      <w:rFonts w:ascii="Arial" w:hAnsi="Arial" w:eastAsia="宋体" w:cs="Times New Roman"/>
      <w:kern w:val="0"/>
      <w:szCs w:val="21"/>
    </w:rPr>
  </w:style>
  <w:style w:type="character" w:customStyle="1" w:styleId="43">
    <w:name w:val="font11"/>
    <w:basedOn w:val="21"/>
    <w:qFormat/>
    <w:uiPriority w:val="0"/>
    <w:rPr>
      <w:rFonts w:hint="default" w:ascii="等线" w:hAnsi="等线" w:eastAsia="等线" w:cs="等线"/>
      <w:color w:val="000000"/>
      <w:sz w:val="20"/>
      <w:szCs w:val="20"/>
      <w:u w:val="none"/>
    </w:rPr>
  </w:style>
  <w:style w:type="paragraph" w:customStyle="1" w:styleId="44">
    <w:name w:val="章标题"/>
    <w:next w:val="1"/>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 w:type="paragraph" w:customStyle="1" w:styleId="45">
    <w:name w:val="题注1"/>
    <w:next w:val="1"/>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Users/qdw/Library/Containers/com.kingsoft.wpsoffice.mac/Data/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3</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2024-07-22T00:50:00Z</dcterms:created>
  <dc:creator>冈巴烙</dc:creator>
  <cp:lastModifiedBy>邱DW</cp:lastModifiedBy>
  <dcterms:modified xsi:type="dcterms:W3CDTF">2025-02-27T08:58:31Z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F84DE2A81D5D6B8EB7B8BF67147D30B8_43</vt:lpwstr>
  </property>
</Properties>
</file>