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C3D0E">
      <w:pPr>
        <w:rPr>
          <w:rFonts w:hint="eastAsia"/>
          <w:lang w:val="en-US" w:eastAsia="zh-CN"/>
        </w:rPr>
      </w:pPr>
      <w:r>
        <w:rPr>
          <w:rFonts w:hint="eastAsia"/>
          <w:lang w:val="en-US" w:eastAsia="zh-CN"/>
        </w:rPr>
        <w:t>基于《金匮要略》的多粒度知识表示模型构建研究</w:t>
      </w:r>
    </w:p>
    <w:p w14:paraId="3C89A80B">
      <w:pPr>
        <w:rPr>
          <w:rFonts w:hint="default"/>
          <w:lang w:val="en-US" w:eastAsia="zh-CN"/>
        </w:rPr>
      </w:pPr>
      <w:r>
        <w:rPr>
          <w:rFonts w:hint="eastAsia"/>
          <w:lang w:val="en-US" w:eastAsia="zh-CN"/>
        </w:rPr>
        <w:t>王世文  赵泽儒</w:t>
      </w:r>
      <w:r>
        <w:rPr>
          <w:rFonts w:hint="eastAsia"/>
          <w:lang w:val="en-US" w:eastAsia="zh-CN"/>
        </w:rPr>
        <w:t>*</w:t>
      </w:r>
      <w:r>
        <w:rPr>
          <w:rFonts w:hint="eastAsia"/>
          <w:lang w:val="en-US" w:eastAsia="zh-CN"/>
        </w:rPr>
        <w:t xml:space="preserve">  邢建斌</w:t>
      </w:r>
    </w:p>
    <w:p w14:paraId="648F344B">
      <w:pPr>
        <w:rPr>
          <w:rFonts w:hint="eastAsia"/>
          <w:lang w:val="en-US" w:eastAsia="zh-CN"/>
        </w:rPr>
      </w:pPr>
      <w:r>
        <w:rPr>
          <w:rFonts w:hint="eastAsia"/>
          <w:lang w:val="en-US" w:eastAsia="zh-CN"/>
        </w:rPr>
        <w:t>（天津师范大学 管理学院，天津  300387）</w:t>
      </w:r>
    </w:p>
    <w:p w14:paraId="2311B01B">
      <w:pPr>
        <w:rPr>
          <w:rFonts w:hint="eastAsia"/>
          <w:lang w:val="en-US" w:eastAsia="zh-CN"/>
        </w:rPr>
      </w:pPr>
      <w:r>
        <w:rPr>
          <w:rFonts w:hint="eastAsia"/>
          <w:lang w:val="en-US" w:eastAsia="zh-CN"/>
        </w:rPr>
        <w:t xml:space="preserve">摘要：[目的] </w:t>
      </w:r>
      <w:r>
        <w:rPr>
          <w:rFonts w:hint="eastAsia"/>
          <w:lang w:val="en-US" w:eastAsia="zh-CN"/>
        </w:rPr>
        <w:t>本文基于多粒度层级划分提出多粒度的知识表示框架与模型，以提升中医古籍知识挖掘与利用效率。</w:t>
      </w:r>
      <w:r>
        <w:rPr>
          <w:rFonts w:hint="eastAsia"/>
          <w:lang w:val="en-US" w:eastAsia="zh-CN"/>
        </w:rPr>
        <w:t xml:space="preserve">[方法] </w:t>
      </w:r>
      <w:r>
        <w:rPr>
          <w:rFonts w:hint="eastAsia"/>
          <w:lang w:val="en-US" w:eastAsia="zh-CN"/>
        </w:rPr>
        <w:t>本文首先通过对《金匮要略》的分析与归纳，提出从知识内容角度出发的多粒度层级划分结构。然后，据此构建出中医古籍多粒度知识表示框架，并给出多粒度知识表示模型，</w:t>
      </w:r>
      <w:r>
        <w:rPr>
          <w:rFonts w:hint="eastAsia"/>
          <w:lang w:val="en-US" w:eastAsia="zh-CN"/>
        </w:rPr>
        <w:t>并以《金匮要略》和《温病条辨》中的知识内容进行了模型展示与验证。</w:t>
      </w:r>
      <w:r>
        <w:rPr>
          <w:rFonts w:hint="eastAsia"/>
          <w:lang w:val="en-US" w:eastAsia="zh-CN"/>
        </w:rPr>
        <w:t xml:space="preserve">[结果] </w:t>
      </w:r>
      <w:r>
        <w:rPr>
          <w:rFonts w:hint="eastAsia"/>
          <w:lang w:val="en-US" w:eastAsia="zh-CN"/>
        </w:rPr>
        <w:t>对多粒度知识表示模型的应用，</w:t>
      </w:r>
      <w:r>
        <w:rPr>
          <w:rFonts w:hint="eastAsia"/>
          <w:lang w:val="en-US" w:eastAsia="zh-CN"/>
        </w:rPr>
        <w:t>展示出模型的普适性和科学性，</w:t>
      </w:r>
      <w:r>
        <w:rPr>
          <w:rFonts w:hint="eastAsia"/>
          <w:lang w:val="en-US" w:eastAsia="zh-CN"/>
        </w:rPr>
        <w:t>体现出模型在中医古籍领域中的可用性和有效性，</w:t>
      </w:r>
      <w:r>
        <w:rPr>
          <w:rFonts w:hint="eastAsia"/>
          <w:lang w:val="en-US" w:eastAsia="zh-CN"/>
        </w:rPr>
        <w:t>有效支持中医古籍知识表示与组织。</w:t>
      </w:r>
      <w:r>
        <w:rPr>
          <w:rFonts w:hint="eastAsia"/>
          <w:lang w:val="en-US" w:eastAsia="zh-CN"/>
        </w:rPr>
        <w:t xml:space="preserve">[局限] </w:t>
      </w:r>
      <w:r>
        <w:rPr>
          <w:rFonts w:hint="eastAsia"/>
          <w:lang w:val="en-US" w:eastAsia="zh-CN"/>
        </w:rPr>
        <w:t>模型在结构庞大、内容繁多典籍和中草药类古籍中的应用需进一步验证其可用性和普适性。</w:t>
      </w:r>
      <w:r>
        <w:rPr>
          <w:rFonts w:hint="eastAsia"/>
          <w:lang w:val="en-US" w:eastAsia="zh-CN"/>
        </w:rPr>
        <w:t xml:space="preserve">[结论] </w:t>
      </w:r>
      <w:r>
        <w:rPr>
          <w:rFonts w:hint="eastAsia"/>
          <w:lang w:val="en-US" w:eastAsia="zh-CN"/>
        </w:rPr>
        <w:t>多粒度知识表示模型为中医古籍知识挖掘与组织提供了可行方案，具有理论与实践价值。</w:t>
      </w:r>
    </w:p>
    <w:p w14:paraId="5B5B6839">
      <w:pPr>
        <w:rPr>
          <w:rFonts w:hint="eastAsia"/>
          <w:lang w:val="en-US" w:eastAsia="zh-CN"/>
        </w:rPr>
      </w:pPr>
      <w:r>
        <w:rPr>
          <w:rFonts w:hint="eastAsia"/>
          <w:lang w:val="en-US" w:eastAsia="zh-CN"/>
        </w:rPr>
        <w:t>关键词：</w:t>
      </w:r>
      <w:r>
        <w:rPr>
          <w:rFonts w:hint="eastAsia"/>
          <w:lang w:val="en-US" w:eastAsia="zh-CN"/>
        </w:rPr>
        <w:t>中医古籍；知识表示；多粒度；知识元；知识表示模型</w:t>
      </w:r>
    </w:p>
    <w:p w14:paraId="1E4B5E19">
      <w:pPr>
        <w:rPr>
          <w:rFonts w:hint="eastAsia"/>
          <w:lang w:val="en-US" w:eastAsia="zh-CN"/>
        </w:rPr>
      </w:pPr>
      <w:bookmarkStart w:id="0" w:name="OLE_LINK5"/>
      <w:r>
        <w:rPr>
          <w:rFonts w:hint="eastAsia"/>
        </w:rPr>
        <w:t>分类号：</w:t>
      </w:r>
      <w:r>
        <w:rPr>
          <w:rFonts w:hint="eastAsia"/>
          <w:lang w:val="en-US" w:eastAsia="zh-CN"/>
        </w:rPr>
        <w:t>G254</w:t>
      </w:r>
    </w:p>
    <w:p w14:paraId="6C3C7D2D">
      <w:pPr>
        <w:rPr>
          <w:rFonts w:hint="eastAsia"/>
          <w:lang w:val="en-US" w:eastAsia="zh-CN"/>
        </w:rPr>
      </w:pPr>
    </w:p>
    <w:p w14:paraId="78FCA274">
      <w:pPr>
        <w:rPr>
          <w:rFonts w:hint="default"/>
          <w:lang w:val="en-US" w:eastAsia="zh-CN"/>
        </w:rPr>
      </w:pPr>
      <w:r>
        <w:rPr>
          <w:rFonts w:hint="default"/>
          <w:lang w:val="en-US" w:eastAsia="zh-CN"/>
        </w:rPr>
        <w:t>Construction of a Multi-Granularity Knowledge Representation Model Based on Synopsis of Golden Chamber</w:t>
      </w:r>
    </w:p>
    <w:p w14:paraId="7487ADCC">
      <w:pPr>
        <w:rPr>
          <w:rFonts w:hint="default"/>
          <w:lang w:val="en-US" w:eastAsia="zh-CN"/>
        </w:rPr>
      </w:pPr>
      <w:r>
        <w:rPr>
          <w:rFonts w:hint="default"/>
          <w:lang w:val="en-US" w:eastAsia="zh-CN"/>
        </w:rPr>
        <w:t>WANG Shi-wen</w:t>
      </w:r>
      <w:r>
        <w:rPr>
          <w:rFonts w:hint="eastAsia"/>
          <w:lang w:val="en-US" w:eastAsia="zh-CN"/>
        </w:rPr>
        <w:t xml:space="preserve">  </w:t>
      </w:r>
      <w:r>
        <w:rPr>
          <w:rFonts w:hint="default"/>
          <w:lang w:val="en-US" w:eastAsia="zh-CN"/>
        </w:rPr>
        <w:t>ZHAO Ze-ru</w:t>
      </w:r>
      <w:r>
        <w:rPr>
          <w:rFonts w:hint="eastAsia"/>
          <w:lang w:val="en-US" w:eastAsia="zh-CN"/>
        </w:rPr>
        <w:t>*</w:t>
      </w:r>
    </w:p>
    <w:p w14:paraId="601B3C94">
      <w:pPr>
        <w:rPr>
          <w:rFonts w:hint="default"/>
          <w:lang w:val="en-US" w:eastAsia="zh-CN"/>
        </w:rPr>
      </w:pPr>
      <w:r>
        <w:rPr>
          <w:rFonts w:hint="default"/>
          <w:lang w:val="en-US" w:eastAsia="zh-CN"/>
        </w:rPr>
        <w:t>(School of Management, Tianjin Normal University, Tianjin, 300387)</w:t>
      </w:r>
    </w:p>
    <w:p w14:paraId="21CA0FAD">
      <w:pPr>
        <w:rPr>
          <w:rFonts w:hint="default"/>
        </w:rPr>
      </w:pPr>
      <w:r>
        <w:rPr>
          <w:rFonts w:hint="default"/>
        </w:rPr>
        <w:t xml:space="preserve">Abstract：[Objective] </w:t>
      </w:r>
      <w:r>
        <w:rPr>
          <w:rFonts w:hint="default"/>
          <w:lang w:val="en-GB"/>
        </w:rPr>
        <w:t>This paper proposes a multi-granularity knowledge representation framework and model based on multi-granularity hierarchical division to enhance the efficiency of knowledge mining and utilization in ancient Chinese medical literature.</w:t>
      </w:r>
      <w:r>
        <w:rPr>
          <w:rFonts w:hint="default"/>
        </w:rPr>
        <w:t xml:space="preserve">[Methods] </w:t>
      </w:r>
      <w:r>
        <w:rPr>
          <w:rFonts w:hint="default"/>
          <w:lang w:val="en-GB"/>
        </w:rPr>
        <w:t>This article first proposes a multi granularity hierarchical structure from the perspective of knowledge content by analyzing and summarizing the "Synopsis of the Golden Chamber".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"Synopsis of Golden Chamber" and "Wenbing Tiaobian".</w:t>
      </w:r>
      <w:r>
        <w:rPr>
          <w:rFonts w:hint="default"/>
        </w:rPr>
        <w:t>[</w:t>
      </w:r>
      <w:bookmarkStart w:id="1" w:name="OLE_LINK1"/>
      <w:bookmarkStart w:id="2" w:name="OLE_LINK2"/>
      <w:r>
        <w:rPr>
          <w:rFonts w:hint="default"/>
        </w:rPr>
        <w:t>Results</w:t>
      </w:r>
      <w:bookmarkEnd w:id="1"/>
      <w:bookmarkEnd w:id="2"/>
      <w:r>
        <w:rPr>
          <w:rFonts w:hint="default"/>
        </w:rPr>
        <w:t xml:space="preserve">] </w:t>
      </w:r>
      <w:r>
        <w:rPr>
          <w:rFonts w:hint="default"/>
          <w:lang w:val="en-GB"/>
        </w:rPr>
        <w:t>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w:t>
      </w:r>
      <w:r>
        <w:rPr>
          <w:rFonts w:hint="default"/>
        </w:rPr>
        <w:t>[Limitations]</w:t>
      </w:r>
      <w:r>
        <w:rPr>
          <w:rFonts w:hint="eastAsia"/>
          <w:lang w:val="en-US" w:eastAsia="zh-CN"/>
        </w:rPr>
        <w:t xml:space="preserve"> </w:t>
      </w:r>
      <w:r>
        <w:rPr>
          <w:rFonts w:hint="default"/>
          <w:lang w:val="en-GB"/>
        </w:rPr>
        <w:t>The application of the model in large-scale, content-rich ancient texts and ancient texts on traditional Chinese medicine needs further validation of its feasibility and universality.</w:t>
      </w:r>
      <w:r>
        <w:rPr>
          <w:rFonts w:hint="default"/>
        </w:rPr>
        <w:t xml:space="preserve">[Conclusions] </w:t>
      </w:r>
      <w:r>
        <w:rPr>
          <w:rFonts w:hint="default"/>
          <w:lang w:val="en-GB"/>
        </w:rPr>
        <w:t>The multi-granularity knowledge representation model provides a feasible solution for knowledge mining and organization in ancient Chinese medical literature, with both theoretical and practical significance.</w:t>
      </w:r>
    </w:p>
    <w:p w14:paraId="5FC81E7C">
      <w:pPr>
        <w:rPr>
          <w:rFonts w:hint="default"/>
          <w:lang w:val="en-US" w:eastAsia="zh-CN"/>
        </w:rPr>
      </w:pPr>
      <w:r>
        <w:rPr>
          <w:rFonts w:hint="default"/>
        </w:rPr>
        <w:t>Keywords：</w:t>
      </w:r>
      <w:r>
        <w:rPr>
          <w:rFonts w:hint="default"/>
          <w:lang w:val="en-GB"/>
        </w:rPr>
        <w:t xml:space="preserve"> </w:t>
      </w:r>
      <w:r>
        <w:rPr>
          <w:rFonts w:hint="default"/>
        </w:rPr>
        <w:t>TCM ancient literature</w:t>
      </w:r>
      <w:r>
        <w:rPr>
          <w:rFonts w:hint="eastAsia"/>
          <w:lang w:val="en-US" w:eastAsia="zh-CN"/>
        </w:rPr>
        <w:t>;</w:t>
      </w:r>
      <w:r>
        <w:rPr>
          <w:rFonts w:hint="default"/>
          <w:lang w:val="en-US" w:eastAsia="zh-CN"/>
        </w:rPr>
        <w:t xml:space="preserve"> knowledge representation</w:t>
      </w:r>
      <w:r>
        <w:rPr>
          <w:rFonts w:hint="eastAsia"/>
          <w:lang w:val="en-US" w:eastAsia="zh-CN"/>
        </w:rPr>
        <w:t>; multi-granularity; knowledge element; Description model of knowledge</w:t>
      </w:r>
    </w:p>
    <w:bookmarkEnd w:id="0"/>
    <w:p w14:paraId="2014E4A6">
      <w:pPr>
        <w:rPr>
          <w:rFonts w:hint="eastAsia"/>
          <w:lang w:val="en-US" w:eastAsia="zh-CN"/>
        </w:rPr>
      </w:pPr>
      <w:r>
        <w:rPr>
          <w:rFonts w:hint="eastAsia"/>
          <w:lang w:val="en-US" w:eastAsia="zh-CN"/>
        </w:rPr>
        <w:t>1  引言</w:t>
      </w:r>
    </w:p>
    <w:p w14:paraId="2479A96A">
      <w:pPr>
        <w:rPr>
          <w:rFonts w:hint="default"/>
          <w:lang w:val="en-US" w:eastAsia="zh-CN"/>
        </w:rPr>
      </w:pPr>
      <w:r>
        <w:rPr>
          <w:rFonts w:hint="default"/>
          <w:lang w:val="en-US" w:eastAsia="zh-CN"/>
        </w:rPr>
        <w:t>自布利斯于1929年首次提出知识组织的概念后，知识组织得到了快速的发展</w:t>
      </w:r>
      <w:r>
        <w:rPr>
          <w:rFonts w:hint="default"/>
          <w:lang w:val="en-US" w:eastAsia="zh-CN"/>
        </w:rPr>
        <w:t>[1]</w:t>
      </w:r>
      <w:r>
        <w:rPr>
          <w:rFonts w:hint="default"/>
          <w:lang w:val="en-US" w:eastAsia="zh-CN"/>
        </w:rPr>
        <w:t>。知识表示作为知识组织的基础，伴随着知识组织的发展也不断深入。</w:t>
      </w:r>
      <w:r>
        <w:rPr>
          <w:rFonts w:hint="default"/>
          <w:lang w:val="en-US" w:eastAsia="zh-CN"/>
        </w:rPr>
        <w:t>随着知识经济和知识管理热潮的兴起，人们把知识管理的目光从文献单元和信息单元的管理逐渐放到了对知识单元的管理上，并期望能实现从对知识载体和知识属性特征的管理过渡到对知识内容本身的管理</w:t>
      </w:r>
      <w:r>
        <w:rPr>
          <w:rFonts w:hint="default"/>
          <w:lang w:val="en-US" w:eastAsia="zh-CN"/>
        </w:rPr>
        <w:t>[2]</w:t>
      </w:r>
      <w:r>
        <w:rPr>
          <w:rFonts w:hint="default"/>
          <w:lang w:val="en-US" w:eastAsia="zh-CN"/>
        </w:rPr>
        <w:t>。我国著名情报学学者马费成教授</w:t>
      </w:r>
      <w:r>
        <w:rPr>
          <w:rFonts w:hint="default"/>
          <w:lang w:val="en-US" w:eastAsia="zh-CN"/>
        </w:rPr>
        <w:t>[3,4]</w:t>
      </w:r>
      <w:r>
        <w:rPr>
          <w:rFonts w:hint="default"/>
          <w:lang w:val="en-US" w:eastAsia="zh-CN"/>
        </w:rPr>
        <w:t>指出：“知识信息的表达和组织必须从物理层次的文献单元向认识层次的知识单元或情报单元转换。”另一位情报学者徐如镜先生</w:t>
      </w:r>
      <w:r>
        <w:rPr>
          <w:rFonts w:hint="default"/>
          <w:lang w:val="en-US" w:eastAsia="zh-CN"/>
        </w:rPr>
        <w:t>[5]</w:t>
      </w:r>
      <w:r>
        <w:rPr>
          <w:rFonts w:hint="default"/>
          <w:lang w:val="en-US" w:eastAsia="zh-CN"/>
        </w:rPr>
        <w:t>也指出：“知识的控制单位长期停留在文献一级，而人们对知识的需求一般不是以文献为单位。”用户信息需求的日益细化、精确化，使得信息的检索与挖掘等呈现出细粒度和知识化的发展趋势。</w:t>
      </w:r>
    </w:p>
    <w:p w14:paraId="2F09D39D">
      <w:pPr>
        <w:rPr>
          <w:rFonts w:hint="eastAsia"/>
          <w:lang w:val="en-US" w:eastAsia="zh-CN"/>
        </w:rPr>
      </w:pPr>
      <w:r>
        <w:rPr>
          <w:rFonts w:hint="eastAsia"/>
          <w:lang w:val="en-US" w:eastAsia="zh-CN"/>
        </w:rPr>
        <w:t>2  相关研究</w:t>
      </w:r>
    </w:p>
    <w:p w14:paraId="1B51A189">
      <w:pPr>
        <w:rPr>
          <w:rFonts w:hint="default"/>
          <w:lang w:val="en-US" w:eastAsia="zh-CN"/>
        </w:rPr>
      </w:pPr>
      <w:r>
        <w:rPr>
          <w:rFonts w:hint="eastAsia"/>
          <w:lang w:val="en-US" w:eastAsia="zh-CN"/>
        </w:rPr>
        <w:t>2.1  中医古籍知识表示相关研究</w:t>
      </w:r>
    </w:p>
    <w:p w14:paraId="612DD154">
      <w:pPr>
        <w:rPr>
          <w:rFonts w:hint="default"/>
          <w:lang w:val="en-US" w:eastAsia="zh-CN"/>
        </w:rPr>
      </w:pPr>
      <w:r>
        <w:rPr>
          <w:rFonts w:hint="default"/>
          <w:lang w:val="en-US" w:eastAsia="zh-CN"/>
        </w:rPr>
        <w:t>在中医领域，古籍研究工作的重要性日渐提升。中医学界众多经典古籍中的辨证论治思路及经验是中医学界的宝贵财富。中共中央办公厅、国务院办公厅印发《关于推进新时代古籍工作的意见》，明确指出要梳理挖掘古典医籍精华，推动中医药传承创新发展</w:t>
      </w:r>
      <w:r>
        <w:rPr>
          <w:rFonts w:hint="default"/>
          <w:lang w:val="en-US" w:eastAsia="zh-CN"/>
        </w:rPr>
        <w:t>[6]</w:t>
      </w:r>
      <w:r>
        <w:rPr>
          <w:rFonts w:hint="default"/>
          <w:lang w:val="en-US" w:eastAsia="zh-CN"/>
        </w:rPr>
        <w:t>。随着信息技术的发展，了解、获取中医古籍医学知识越来越便利，但在大数据与大模型背景下，用户所接触的不确定信息量不断增加，海量文献与信息使得用户难以快速精准地获取定向、准确的知识。用户需求与知识服务平台之间存在显著矛盾：平台多局限于文献层面的知识服务提供，缺乏深度挖掘与重组；而用户的知识需求日益个性化、差异化与品质化，期望在短时间内获取组织良好的多层次知识内容，而不仅仅是文献信息。多粒度思想为解决这一矛盾提供了新思路，被广泛应用于信息搜索行为</w:t>
      </w:r>
      <w:r>
        <w:rPr>
          <w:rFonts w:hint="default"/>
          <w:lang w:val="en-US" w:eastAsia="zh-CN"/>
        </w:rPr>
        <w:t>[7]</w:t>
      </w:r>
      <w:r>
        <w:rPr>
          <w:rFonts w:hint="default"/>
          <w:lang w:val="en-US" w:eastAsia="zh-CN"/>
        </w:rPr>
        <w:t>、语义模型构建</w:t>
      </w:r>
      <w:r>
        <w:rPr>
          <w:rFonts w:hint="default"/>
          <w:lang w:val="en-US" w:eastAsia="zh-CN"/>
        </w:rPr>
        <w:t>[8]</w:t>
      </w:r>
      <w:r>
        <w:rPr>
          <w:rFonts w:hint="default"/>
          <w:lang w:val="en-US" w:eastAsia="zh-CN"/>
        </w:rPr>
        <w:t>、文本知识组织等领域</w:t>
      </w:r>
      <w:r>
        <w:rPr>
          <w:rFonts w:hint="default"/>
          <w:lang w:val="en-US" w:eastAsia="zh-CN"/>
        </w:rPr>
        <w:t>[9]</w:t>
      </w:r>
      <w:r>
        <w:rPr>
          <w:rFonts w:hint="default"/>
          <w:lang w:val="en-US" w:eastAsia="zh-CN"/>
        </w:rPr>
        <w:t>。基于知识粒度理论的知识组织方法，以满足用户多粒度知识需求为目标，可为用户提供个性化满意解答</w:t>
      </w:r>
      <w:r>
        <w:rPr>
          <w:rFonts w:hint="default"/>
          <w:lang w:val="en-US" w:eastAsia="zh-CN"/>
        </w:rPr>
        <w:t>[9]</w:t>
      </w:r>
      <w:r>
        <w:rPr>
          <w:rFonts w:hint="default"/>
          <w:lang w:val="en-US" w:eastAsia="zh-CN"/>
        </w:rPr>
        <w:t>。</w:t>
      </w:r>
    </w:p>
    <w:p w14:paraId="58E14131">
      <w:pPr>
        <w:rPr>
          <w:rFonts w:hint="default"/>
          <w:lang w:val="en-US" w:eastAsia="zh-CN"/>
        </w:rPr>
      </w:pPr>
      <w:r>
        <w:rPr>
          <w:rFonts w:hint="eastAsia"/>
          <w:lang w:val="en-US" w:eastAsia="zh-CN"/>
        </w:rPr>
        <w:t>2.2  多粒度层级模型相关研究</w:t>
      </w:r>
    </w:p>
    <w:p w14:paraId="3451A216">
      <w:pPr>
        <w:rPr>
          <w:rFonts w:hint="default"/>
          <w:lang w:val="en-US" w:eastAsia="zh-CN"/>
        </w:rPr>
      </w:pPr>
      <w:r>
        <w:rPr>
          <w:rFonts w:hint="default"/>
          <w:lang w:val="en-US" w:eastAsia="zh-CN"/>
        </w:rPr>
        <w:t>综上所述，本文将从文献、信息层面深入到知识内容层面，对中医古籍中的知识进行多粒度的知识表示研究，使得中医辨证施治知识可以进一步贴合用户的多粒度知识需求，解决不同粒度中的具体问题。为中医古籍领域的知识表示和组织提供新的研究思路与实践方法，丰富知识表示理论的研究范式，也为知识组织理论的发展提供新的视角与理论支撑，推动知识表示理论的创新与发展。</w:t>
      </w:r>
    </w:p>
    <w:p w14:paraId="0C635D62">
      <w:pPr>
        <w:rPr>
          <w:rFonts w:hint="eastAsia"/>
          <w:lang w:val="en-US" w:eastAsia="zh-CN"/>
        </w:rPr>
      </w:pPr>
      <w:r>
        <w:rPr>
          <w:rFonts w:hint="eastAsia"/>
          <w:lang w:val="en-US" w:eastAsia="zh-CN"/>
        </w:rPr>
        <w:t>3  基于《金匮要略》的多粒度知识层级划分</w:t>
      </w:r>
    </w:p>
    <w:p w14:paraId="41AAFC85">
      <w:pPr>
        <w:rPr>
          <w:rFonts w:hint="default"/>
          <w:lang w:val="en-US" w:eastAsia="zh-CN"/>
        </w:rPr>
      </w:pPr>
      <w:r>
        <w:rPr>
          <w:rFonts w:hint="default"/>
          <w:lang w:val="en-US" w:eastAsia="zh-CN"/>
        </w:rPr>
        <w:t>在进行多粒度知识表示研究时，对多粒度层级的描述与划分是必不可少的环节。本节首先对《金匮要略》中知识内容进行分析与解构，提炼并归纳出多粒度的知识层级结构，为后续构建多粒度知识表示模型提供支持。</w:t>
      </w:r>
    </w:p>
    <w:p w14:paraId="3E29E974">
      <w:pPr>
        <w:rPr>
          <w:rFonts w:hint="eastAsia"/>
          <w:lang w:val="en-US" w:eastAsia="zh-CN"/>
        </w:rPr>
      </w:pPr>
      <w:r>
        <w:rPr>
          <w:rFonts w:hint="eastAsia"/>
          <w:lang w:val="en-US" w:eastAsia="zh-CN"/>
        </w:rPr>
        <w:t>3.1  《金匮要略》中知识内容结构分析</w:t>
      </w:r>
    </w:p>
    <w:p w14:paraId="3C6D8DB5">
      <w:pPr>
        <w:rPr>
          <w:rFonts w:hint="default"/>
          <w:lang w:val="en-US" w:eastAsia="zh-CN"/>
        </w:rPr>
      </w:pPr>
      <w:r>
        <w:rPr>
          <w:rFonts w:hint="default"/>
          <w:lang w:val="en-US" w:eastAsia="zh-CN"/>
        </w:rPr>
        <w:t>多粒度的知识表示建立在多粒度层级分类的基础之上。对知识资源进行多粒度层级分类有利于更为深入、更为明确地对知识内容进行描述和揭示。通过将知识的控制单位深入到文献中的知识内容单元，挖掘从文献单元到文献中最细粒度的知识元之间存在的多种不同粒度层级，本研究基于对《金匮要略》中知识内容的分析，提出多粒度知识层级结构如图1所示。将其划分为知识元层、知识单元层、知识集层、知识群层和知识体层五个粒度层次，以实现完整全面的知识内容表示与多粒度知识结构组织，进而满足不同层次的需求。</w:t>
      </w:r>
    </w:p>
    <w:p w14:paraId="31D54A73">
      <w:pPr>
        <w:rPr>
          <w:rFonts w:hint="eastAsia"/>
          <w:lang w:val="en-US" w:eastAsia="zh-CN"/>
        </w:rPr>
      </w:pPr>
      <w:r>
        <w:rPr>
          <w:rFonts w:hint="eastAsia"/>
          <w:lang w:val="en-US" w:eastAsia="zh-CN"/>
        </w:rPr>
        <w:drawing>
          <wp:inline distT="0" distB="0" distL="114300" distR="114300">
            <wp:extent cx="4373880" cy="4328795"/>
            <wp:effectExtent l="0" t="0" r="0" b="14605"/>
            <wp:docPr id="11" name="图片 11" descr="图1多粒度层级机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多粒度层级机构图"/>
                    <pic:cNvPicPr>
                      <a:picLocks noChangeAspect="1"/>
                    </pic:cNvPicPr>
                  </pic:nvPicPr>
                  <pic:blipFill>
                    <a:blip r:embed="rId4"/>
                    <a:stretch>
                      <a:fillRect/>
                    </a:stretch>
                  </pic:blipFill>
                  <pic:spPr>
                    <a:xfrm>
                      <a:off x="0" y="0"/>
                      <a:ext cx="4373880" cy="4328795"/>
                    </a:xfrm>
                    <a:prstGeom prst="rect">
                      <a:avLst/>
                    </a:prstGeom>
                  </pic:spPr>
                </pic:pic>
              </a:graphicData>
            </a:graphic>
          </wp:inline>
        </w:drawing>
      </w:r>
    </w:p>
    <w:p w14:paraId="3ECE5C8D">
      <w:pPr>
        <w:rPr>
          <w:rFonts w:hint="default"/>
          <w:lang w:val="en-US" w:eastAsia="zh-CN"/>
        </w:rPr>
      </w:pPr>
      <w:r>
        <w:rPr>
          <w:rFonts w:hint="default"/>
          <w:lang w:val="en-US" w:eastAsia="zh-CN"/>
        </w:rPr>
        <w:t>图1 多粒度层级结构图</w:t>
      </w:r>
    </w:p>
    <w:p w14:paraId="43D6658A">
      <w:pPr>
        <w:rPr>
          <w:rFonts w:hint="default"/>
          <w:lang w:val="en-US" w:eastAsia="zh-CN"/>
        </w:rPr>
      </w:pPr>
      <w:r>
        <w:rPr>
          <w:rFonts w:hint="default"/>
          <w:lang w:val="en-US" w:eastAsia="zh-CN"/>
        </w:rPr>
        <w:t>（1）知识元层</w:t>
      </w:r>
    </w:p>
    <w:p w14:paraId="085D6384">
      <w:pPr>
        <w:rPr>
          <w:rFonts w:hint="default"/>
          <w:lang w:val="en-US" w:eastAsia="zh-CN"/>
        </w:rPr>
      </w:pPr>
      <w:r>
        <w:rPr>
          <w:rFonts w:hint="default"/>
          <w:lang w:val="en-US" w:eastAsia="zh-CN"/>
        </w:rPr>
        <w:t>知识元是知识结构的最小组成单位，聚焦于独立完整的知识点，强调了不可再分性、完整性和独立性。在书籍结构层次中，知识元对应着表达完整含义的句子，知识元层就是以句子中蕴含的知识元为单位进行知识表示。比如《金匮要略》，书中的“茯苓桂枝白术甘草汤”可以被作为方剂知识元；再比如原文“病溢饮者，当发其汗”，则可以被分为辨治知识元，等等。通过总结《金匮要略》知识元的特点，可以将知识元类型按照描述型知识元和过程型知识元进行划分。过程型知识元强调了知识属性之间的逻辑关系，表示的是过程或推断等动作；描述型知识元则描述的是具体方剂或物体等非过程型知识。知识元层面侧重于对最小单位知识点的识别与表示，利用键与键值的形式将知识属性和属性值进行对应，来表示具体的知识内容，并作为知识链条中的一个个知识点而存在。</w:t>
      </w:r>
    </w:p>
    <w:p w14:paraId="1411426A">
      <w:pPr>
        <w:rPr>
          <w:rFonts w:hint="default"/>
          <w:lang w:val="en-US" w:eastAsia="zh-CN"/>
        </w:rPr>
      </w:pPr>
      <w:r>
        <w:rPr>
          <w:rFonts w:hint="eastAsia"/>
          <w:lang w:val="en-US" w:eastAsia="zh-CN"/>
        </w:rPr>
        <w:t>表6</w:t>
      </w:r>
      <w:r>
        <w:rPr>
          <w:rFonts w:hint="default"/>
          <w:lang w:val="en-US" w:eastAsia="zh-CN"/>
        </w:rPr>
        <w:t xml:space="preserve"> 《金匮要略》知识元层知识表示实例</w:t>
      </w:r>
    </w:p>
    <w:tbl>
      <w:tblPr>
        <w:tblStyle w:val="6"/>
        <w:tblW w:w="105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1"/>
        <w:gridCol w:w="1863"/>
        <w:gridCol w:w="930"/>
        <w:gridCol w:w="1469"/>
        <w:gridCol w:w="2865"/>
        <w:gridCol w:w="1799"/>
      </w:tblGrid>
      <w:tr w14:paraId="025D9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10536" w:type="dxa"/>
            <w:gridSpan w:val="6"/>
            <w:tcBorders>
              <w:top w:val="single" w:color="000000" w:sz="4" w:space="0"/>
              <w:left w:val="nil"/>
              <w:bottom w:val="nil"/>
              <w:right w:val="nil"/>
            </w:tcBorders>
            <w:shd w:val="clear" w:color="auto" w:fill="FFFFFF"/>
            <w:noWrap/>
            <w:vAlign w:val="center"/>
          </w:tcPr>
          <w:p w14:paraId="1612ED79">
            <w:pPr>
              <w:rPr>
                <w:rFonts w:hint="eastAsia"/>
              </w:rPr>
            </w:pPr>
            <w:r>
              <w:rPr>
                <w:rFonts w:hint="eastAsia"/>
                <w:lang w:val="en-US" w:eastAsia="zh-CN"/>
              </w:rPr>
              <w:t>知识元层级描述模型（知识点）</w:t>
            </w:r>
          </w:p>
        </w:tc>
      </w:tr>
      <w:tr w14:paraId="77DE0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4" w:space="0"/>
              <w:left w:val="nil"/>
              <w:bottom w:val="nil"/>
              <w:right w:val="nil"/>
            </w:tcBorders>
            <w:shd w:val="clear" w:color="auto" w:fill="FFFFFF"/>
            <w:noWrap/>
            <w:vAlign w:val="center"/>
          </w:tcPr>
          <w:p w14:paraId="64E81CEB">
            <w:pPr>
              <w:rPr>
                <w:rFonts w:hint="eastAsia"/>
              </w:rPr>
            </w:pPr>
            <w:r>
              <w:rPr>
                <w:rFonts w:hint="eastAsia"/>
                <w:lang w:val="en-US" w:eastAsia="zh-CN"/>
              </w:rPr>
              <w:t>描述维度</w:t>
            </w:r>
          </w:p>
        </w:tc>
        <w:tc>
          <w:tcPr>
            <w:tcW w:w="0" w:type="auto"/>
            <w:tcBorders>
              <w:top w:val="single" w:color="000000" w:sz="4" w:space="0"/>
              <w:left w:val="nil"/>
              <w:bottom w:val="nil"/>
              <w:right w:val="nil"/>
            </w:tcBorders>
            <w:shd w:val="clear" w:color="auto" w:fill="FFFFFF"/>
            <w:noWrap/>
            <w:vAlign w:val="center"/>
          </w:tcPr>
          <w:p w14:paraId="64747201">
            <w:pPr>
              <w:rPr>
                <w:rFonts w:hint="eastAsia"/>
              </w:rPr>
            </w:pPr>
            <w:r>
              <w:rPr>
                <w:rFonts w:hint="eastAsia"/>
                <w:lang w:val="en-US" w:eastAsia="zh-CN"/>
              </w:rPr>
              <w:t>描述项</w:t>
            </w:r>
          </w:p>
        </w:tc>
        <w:tc>
          <w:tcPr>
            <w:tcW w:w="0" w:type="auto"/>
            <w:gridSpan w:val="4"/>
            <w:tcBorders>
              <w:top w:val="single" w:color="000000" w:sz="4" w:space="0"/>
              <w:left w:val="nil"/>
              <w:bottom w:val="nil"/>
              <w:right w:val="nil"/>
            </w:tcBorders>
            <w:shd w:val="clear" w:color="auto" w:fill="FFFFFF"/>
            <w:noWrap/>
            <w:vAlign w:val="center"/>
          </w:tcPr>
          <w:p w14:paraId="456E93DA">
            <w:pPr>
              <w:rPr>
                <w:rFonts w:hint="eastAsia"/>
              </w:rPr>
            </w:pPr>
            <w:r>
              <w:rPr>
                <w:rFonts w:hint="eastAsia"/>
                <w:lang w:val="en-US" w:eastAsia="zh-CN"/>
              </w:rPr>
              <w:t>值</w:t>
            </w:r>
          </w:p>
        </w:tc>
      </w:tr>
      <w:tr w14:paraId="06030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1179491E">
            <w:pPr>
              <w:rPr>
                <w:rFonts w:hint="eastAsia"/>
              </w:rPr>
            </w:pPr>
            <w:r>
              <w:rPr>
                <w:rFonts w:hint="eastAsia"/>
                <w:lang w:val="en-US" w:eastAsia="zh-CN"/>
              </w:rPr>
              <w:t>外部属性</w:t>
            </w:r>
          </w:p>
        </w:tc>
        <w:tc>
          <w:tcPr>
            <w:tcW w:w="1596" w:type="dxa"/>
            <w:tcBorders>
              <w:top w:val="nil"/>
              <w:left w:val="nil"/>
              <w:bottom w:val="nil"/>
              <w:right w:val="nil"/>
            </w:tcBorders>
            <w:shd w:val="clear" w:color="auto" w:fill="FFFFFF"/>
            <w:vAlign w:val="top"/>
          </w:tcPr>
          <w:p w14:paraId="458F4EBA">
            <w:pPr>
              <w:rPr>
                <w:rFonts w:hint="eastAsia"/>
              </w:rPr>
            </w:pPr>
            <w:r>
              <w:rPr>
                <w:rFonts w:hint="eastAsia"/>
                <w:lang w:val="en-US" w:eastAsia="zh-CN"/>
              </w:rPr>
              <w:t>知识元id</w:t>
            </w:r>
          </w:p>
        </w:tc>
        <w:tc>
          <w:tcPr>
            <w:tcW w:w="7560" w:type="dxa"/>
            <w:gridSpan w:val="4"/>
            <w:tcBorders>
              <w:top w:val="nil"/>
              <w:left w:val="nil"/>
              <w:bottom w:val="nil"/>
              <w:right w:val="nil"/>
            </w:tcBorders>
            <w:shd w:val="clear" w:color="auto" w:fill="FFFFFF"/>
            <w:vAlign w:val="top"/>
          </w:tcPr>
          <w:p w14:paraId="41ECD12E">
            <w:pPr>
              <w:rPr>
                <w:rFonts w:hint="eastAsia"/>
              </w:rPr>
            </w:pPr>
            <w:r>
              <w:rPr>
                <w:rFonts w:hint="eastAsia"/>
                <w:lang w:val="en-US" w:eastAsia="zh-CN"/>
              </w:rPr>
              <w:t>R222.3-1-13-4-2-3</w:t>
            </w:r>
          </w:p>
        </w:tc>
      </w:tr>
      <w:tr w14:paraId="52DD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08EC01A4">
            <w:pPr>
              <w:rPr>
                <w:rFonts w:hint="eastAsia"/>
              </w:rPr>
            </w:pPr>
          </w:p>
        </w:tc>
        <w:tc>
          <w:tcPr>
            <w:tcW w:w="1596" w:type="dxa"/>
            <w:tcBorders>
              <w:top w:val="nil"/>
              <w:left w:val="nil"/>
              <w:bottom w:val="nil"/>
              <w:right w:val="nil"/>
            </w:tcBorders>
            <w:shd w:val="clear" w:color="auto" w:fill="FFFFFF"/>
            <w:vAlign w:val="top"/>
          </w:tcPr>
          <w:p w14:paraId="727327D8">
            <w:pPr>
              <w:rPr>
                <w:rFonts w:hint="eastAsia"/>
              </w:rPr>
            </w:pPr>
            <w:r>
              <w:rPr>
                <w:rFonts w:hint="eastAsia"/>
                <w:lang w:val="en-US" w:eastAsia="zh-CN"/>
              </w:rPr>
              <w:t>知识元类型</w:t>
            </w:r>
          </w:p>
        </w:tc>
        <w:tc>
          <w:tcPr>
            <w:tcW w:w="7560" w:type="dxa"/>
            <w:gridSpan w:val="4"/>
            <w:tcBorders>
              <w:top w:val="nil"/>
              <w:left w:val="nil"/>
              <w:bottom w:val="nil"/>
              <w:right w:val="nil"/>
            </w:tcBorders>
            <w:shd w:val="clear" w:color="auto" w:fill="FFFFFF"/>
            <w:vAlign w:val="top"/>
          </w:tcPr>
          <w:p w14:paraId="6E2915D3">
            <w:pPr>
              <w:rPr>
                <w:rFonts w:hint="eastAsia"/>
              </w:rPr>
            </w:pPr>
            <w:r>
              <w:rPr>
                <w:rFonts w:hint="eastAsia"/>
                <w:lang w:val="en-US" w:eastAsia="zh-CN"/>
              </w:rPr>
              <w:t>方剂知识元</w:t>
            </w:r>
          </w:p>
        </w:tc>
      </w:tr>
      <w:tr w14:paraId="2745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127EB925">
            <w:pPr>
              <w:rPr>
                <w:rFonts w:hint="eastAsia"/>
              </w:rPr>
            </w:pPr>
            <w:r>
              <w:rPr>
                <w:rFonts w:hint="eastAsia"/>
                <w:lang w:val="en-US" w:eastAsia="zh-CN"/>
              </w:rPr>
              <w:t>内容信息</w:t>
            </w:r>
          </w:p>
        </w:tc>
        <w:tc>
          <w:tcPr>
            <w:tcW w:w="1596" w:type="dxa"/>
            <w:tcBorders>
              <w:top w:val="nil"/>
              <w:left w:val="nil"/>
              <w:bottom w:val="nil"/>
              <w:right w:val="nil"/>
            </w:tcBorders>
            <w:shd w:val="clear" w:color="auto" w:fill="FFFFFF"/>
            <w:vAlign w:val="top"/>
          </w:tcPr>
          <w:p w14:paraId="23A8246E">
            <w:pPr>
              <w:rPr>
                <w:rFonts w:hint="eastAsia"/>
              </w:rPr>
            </w:pPr>
            <w:r>
              <w:rPr>
                <w:rFonts w:hint="eastAsia"/>
                <w:lang w:val="en-US" w:eastAsia="zh-CN"/>
              </w:rPr>
              <w:t>知识属性与属性值</w:t>
            </w:r>
          </w:p>
        </w:tc>
        <w:tc>
          <w:tcPr>
            <w:tcW w:w="0" w:type="auto"/>
            <w:tcBorders>
              <w:top w:val="nil"/>
              <w:left w:val="nil"/>
              <w:bottom w:val="nil"/>
              <w:right w:val="nil"/>
            </w:tcBorders>
            <w:shd w:val="clear" w:color="auto" w:fill="FFFFFF"/>
            <w:noWrap/>
            <w:vAlign w:val="top"/>
          </w:tcPr>
          <w:p w14:paraId="477E7EBB">
            <w:pPr>
              <w:rPr>
                <w:rFonts w:hint="default"/>
              </w:rPr>
            </w:pPr>
            <w:r>
              <w:rPr>
                <w:rFonts w:hint="default"/>
                <w:lang w:val="en-US" w:eastAsia="zh-CN"/>
              </w:rPr>
              <w:t>a1</w:t>
            </w:r>
          </w:p>
        </w:tc>
        <w:tc>
          <w:tcPr>
            <w:tcW w:w="1500" w:type="dxa"/>
            <w:tcBorders>
              <w:top w:val="nil"/>
              <w:left w:val="nil"/>
              <w:bottom w:val="nil"/>
              <w:right w:val="nil"/>
            </w:tcBorders>
            <w:shd w:val="clear" w:color="auto" w:fill="FFFFFF"/>
            <w:vAlign w:val="top"/>
          </w:tcPr>
          <w:p w14:paraId="7F943898">
            <w:pPr>
              <w:rPr>
                <w:rFonts w:hint="eastAsia"/>
              </w:rPr>
            </w:pPr>
            <w:r>
              <w:rPr>
                <w:rFonts w:hint="eastAsia"/>
                <w:lang w:val="en-US" w:eastAsia="zh-CN"/>
              </w:rPr>
              <w:t>方剂名称</w:t>
            </w:r>
          </w:p>
        </w:tc>
        <w:tc>
          <w:tcPr>
            <w:tcW w:w="3120" w:type="dxa"/>
            <w:tcBorders>
              <w:top w:val="nil"/>
              <w:left w:val="nil"/>
              <w:bottom w:val="nil"/>
              <w:right w:val="nil"/>
            </w:tcBorders>
            <w:shd w:val="clear" w:color="auto" w:fill="FFFFFF"/>
            <w:vAlign w:val="top"/>
          </w:tcPr>
          <w:p w14:paraId="23992B9B">
            <w:pPr>
              <w:rPr>
                <w:rFonts w:hint="eastAsia"/>
              </w:rPr>
            </w:pPr>
            <w:r>
              <w:rPr>
                <w:rFonts w:hint="eastAsia"/>
                <w:lang w:val="en-US" w:eastAsia="zh-CN"/>
              </w:rPr>
              <w:t>滑石白鱼散方</w:t>
            </w:r>
          </w:p>
        </w:tc>
        <w:tc>
          <w:tcPr>
            <w:tcW w:w="0" w:type="auto"/>
            <w:tcBorders>
              <w:top w:val="nil"/>
              <w:left w:val="nil"/>
              <w:bottom w:val="nil"/>
              <w:right w:val="nil"/>
            </w:tcBorders>
            <w:shd w:val="clear" w:color="auto" w:fill="FFFFFF"/>
            <w:noWrap/>
            <w:vAlign w:val="top"/>
          </w:tcPr>
          <w:p w14:paraId="46A66124">
            <w:pPr>
              <w:rPr>
                <w:rFonts w:hint="eastAsia"/>
              </w:rPr>
            </w:pPr>
          </w:p>
        </w:tc>
      </w:tr>
      <w:tr w14:paraId="40BF5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686026D6">
            <w:pPr>
              <w:rPr>
                <w:rFonts w:hint="eastAsia"/>
              </w:rPr>
            </w:pPr>
          </w:p>
        </w:tc>
        <w:tc>
          <w:tcPr>
            <w:tcW w:w="1596" w:type="dxa"/>
            <w:tcBorders>
              <w:top w:val="nil"/>
              <w:left w:val="nil"/>
              <w:bottom w:val="nil"/>
              <w:right w:val="nil"/>
            </w:tcBorders>
            <w:shd w:val="clear" w:color="auto" w:fill="FFFFFF"/>
            <w:vAlign w:val="top"/>
          </w:tcPr>
          <w:p w14:paraId="122A0C60">
            <w:pPr>
              <w:rPr>
                <w:rFonts w:hint="eastAsia"/>
              </w:rPr>
            </w:pPr>
          </w:p>
        </w:tc>
        <w:tc>
          <w:tcPr>
            <w:tcW w:w="0" w:type="auto"/>
            <w:tcBorders>
              <w:top w:val="nil"/>
              <w:left w:val="nil"/>
              <w:bottom w:val="nil"/>
              <w:right w:val="nil"/>
            </w:tcBorders>
            <w:shd w:val="clear" w:color="auto" w:fill="FFFFFF"/>
            <w:noWrap/>
            <w:vAlign w:val="top"/>
          </w:tcPr>
          <w:p w14:paraId="419EF46E">
            <w:pPr>
              <w:rPr>
                <w:rFonts w:hint="default"/>
              </w:rPr>
            </w:pPr>
            <w:r>
              <w:rPr>
                <w:rFonts w:hint="default"/>
                <w:lang w:val="en-US" w:eastAsia="zh-CN"/>
              </w:rPr>
              <w:t>a2</w:t>
            </w:r>
          </w:p>
        </w:tc>
        <w:tc>
          <w:tcPr>
            <w:tcW w:w="1500" w:type="dxa"/>
            <w:tcBorders>
              <w:top w:val="nil"/>
              <w:left w:val="nil"/>
              <w:bottom w:val="nil"/>
              <w:right w:val="nil"/>
            </w:tcBorders>
            <w:shd w:val="clear" w:color="auto" w:fill="FFFFFF"/>
            <w:vAlign w:val="top"/>
          </w:tcPr>
          <w:p w14:paraId="08A473F9">
            <w:pPr>
              <w:rPr>
                <w:rFonts w:hint="eastAsia"/>
              </w:rPr>
            </w:pPr>
            <w:r>
              <w:rPr>
                <w:rFonts w:hint="eastAsia"/>
                <w:lang w:val="en-US" w:eastAsia="zh-CN"/>
              </w:rPr>
              <w:t>方剂组成</w:t>
            </w:r>
          </w:p>
        </w:tc>
        <w:tc>
          <w:tcPr>
            <w:tcW w:w="3120" w:type="dxa"/>
            <w:tcBorders>
              <w:top w:val="nil"/>
              <w:left w:val="nil"/>
              <w:bottom w:val="nil"/>
              <w:right w:val="nil"/>
            </w:tcBorders>
            <w:shd w:val="clear" w:color="auto" w:fill="FFFFFF"/>
            <w:vAlign w:val="top"/>
          </w:tcPr>
          <w:p w14:paraId="6126222D">
            <w:pPr>
              <w:rPr>
                <w:rFonts w:hint="eastAsia"/>
              </w:rPr>
            </w:pPr>
            <w:r>
              <w:rPr>
                <w:rFonts w:hint="eastAsia"/>
                <w:lang w:val="en-US" w:eastAsia="zh-CN"/>
              </w:rPr>
              <w:t>滑石，二分</w:t>
            </w:r>
          </w:p>
        </w:tc>
        <w:tc>
          <w:tcPr>
            <w:tcW w:w="0" w:type="auto"/>
            <w:tcBorders>
              <w:top w:val="nil"/>
              <w:left w:val="nil"/>
              <w:bottom w:val="nil"/>
              <w:right w:val="nil"/>
            </w:tcBorders>
            <w:shd w:val="clear" w:color="auto" w:fill="FFFFFF"/>
            <w:noWrap/>
            <w:vAlign w:val="top"/>
          </w:tcPr>
          <w:p w14:paraId="69D30F7D">
            <w:pPr>
              <w:rPr>
                <w:rFonts w:hint="eastAsia"/>
              </w:rPr>
            </w:pPr>
          </w:p>
        </w:tc>
      </w:tr>
      <w:tr w14:paraId="4FBF0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6E6A3510">
            <w:pPr>
              <w:rPr>
                <w:rFonts w:hint="eastAsia"/>
              </w:rPr>
            </w:pPr>
          </w:p>
        </w:tc>
        <w:tc>
          <w:tcPr>
            <w:tcW w:w="1596" w:type="dxa"/>
            <w:tcBorders>
              <w:top w:val="nil"/>
              <w:left w:val="nil"/>
              <w:bottom w:val="nil"/>
              <w:right w:val="nil"/>
            </w:tcBorders>
            <w:shd w:val="clear" w:color="auto" w:fill="FFFFFF"/>
            <w:vAlign w:val="top"/>
          </w:tcPr>
          <w:p w14:paraId="38F7B88E">
            <w:pPr>
              <w:rPr>
                <w:rFonts w:hint="eastAsia"/>
              </w:rPr>
            </w:pPr>
          </w:p>
        </w:tc>
        <w:tc>
          <w:tcPr>
            <w:tcW w:w="804" w:type="dxa"/>
            <w:tcBorders>
              <w:top w:val="nil"/>
              <w:left w:val="nil"/>
              <w:bottom w:val="nil"/>
              <w:right w:val="nil"/>
            </w:tcBorders>
            <w:shd w:val="clear" w:color="auto" w:fill="FFFFFF"/>
            <w:vAlign w:val="top"/>
          </w:tcPr>
          <w:p w14:paraId="527C7EF2">
            <w:pPr>
              <w:rPr>
                <w:rFonts w:hint="eastAsia"/>
              </w:rPr>
            </w:pPr>
          </w:p>
        </w:tc>
        <w:tc>
          <w:tcPr>
            <w:tcW w:w="1500" w:type="dxa"/>
            <w:tcBorders>
              <w:top w:val="nil"/>
              <w:left w:val="nil"/>
              <w:bottom w:val="nil"/>
              <w:right w:val="nil"/>
            </w:tcBorders>
            <w:shd w:val="clear" w:color="auto" w:fill="FFFFFF"/>
            <w:vAlign w:val="top"/>
          </w:tcPr>
          <w:p w14:paraId="5DB01A1F">
            <w:pPr>
              <w:rPr>
                <w:rFonts w:hint="eastAsia"/>
              </w:rPr>
            </w:pPr>
          </w:p>
        </w:tc>
        <w:tc>
          <w:tcPr>
            <w:tcW w:w="3120" w:type="dxa"/>
            <w:tcBorders>
              <w:top w:val="nil"/>
              <w:left w:val="nil"/>
              <w:bottom w:val="nil"/>
              <w:right w:val="nil"/>
            </w:tcBorders>
            <w:shd w:val="clear" w:color="auto" w:fill="FFFFFF"/>
            <w:vAlign w:val="top"/>
          </w:tcPr>
          <w:p w14:paraId="5797030D">
            <w:pPr>
              <w:rPr>
                <w:rFonts w:hint="eastAsia"/>
              </w:rPr>
            </w:pPr>
            <w:r>
              <w:rPr>
                <w:rFonts w:hint="eastAsia"/>
                <w:lang w:val="en-US" w:eastAsia="zh-CN"/>
              </w:rPr>
              <w:t>乱发，二分</w:t>
            </w:r>
          </w:p>
        </w:tc>
        <w:tc>
          <w:tcPr>
            <w:tcW w:w="0" w:type="auto"/>
            <w:tcBorders>
              <w:top w:val="nil"/>
              <w:left w:val="nil"/>
              <w:bottom w:val="nil"/>
              <w:right w:val="nil"/>
            </w:tcBorders>
            <w:shd w:val="clear" w:color="auto" w:fill="FFFFFF"/>
            <w:noWrap/>
            <w:vAlign w:val="top"/>
          </w:tcPr>
          <w:p w14:paraId="5B3BBC59">
            <w:pPr>
              <w:rPr>
                <w:rFonts w:hint="eastAsia"/>
              </w:rPr>
            </w:pPr>
          </w:p>
        </w:tc>
      </w:tr>
      <w:tr w14:paraId="031E1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60AE2FD">
            <w:pPr>
              <w:rPr>
                <w:rFonts w:hint="eastAsia"/>
              </w:rPr>
            </w:pPr>
          </w:p>
        </w:tc>
        <w:tc>
          <w:tcPr>
            <w:tcW w:w="1596" w:type="dxa"/>
            <w:tcBorders>
              <w:top w:val="nil"/>
              <w:left w:val="nil"/>
              <w:bottom w:val="nil"/>
              <w:right w:val="nil"/>
            </w:tcBorders>
            <w:shd w:val="clear" w:color="auto" w:fill="FFFFFF"/>
            <w:vAlign w:val="top"/>
          </w:tcPr>
          <w:p w14:paraId="0205C9C6">
            <w:pPr>
              <w:rPr>
                <w:rFonts w:hint="eastAsia"/>
              </w:rPr>
            </w:pPr>
          </w:p>
        </w:tc>
        <w:tc>
          <w:tcPr>
            <w:tcW w:w="804" w:type="dxa"/>
            <w:tcBorders>
              <w:top w:val="nil"/>
              <w:left w:val="nil"/>
              <w:bottom w:val="nil"/>
              <w:right w:val="nil"/>
            </w:tcBorders>
            <w:shd w:val="clear" w:color="auto" w:fill="FFFFFF"/>
            <w:vAlign w:val="top"/>
          </w:tcPr>
          <w:p w14:paraId="3838D61F">
            <w:pPr>
              <w:rPr>
                <w:rFonts w:hint="eastAsia"/>
              </w:rPr>
            </w:pPr>
          </w:p>
        </w:tc>
        <w:tc>
          <w:tcPr>
            <w:tcW w:w="1500" w:type="dxa"/>
            <w:tcBorders>
              <w:top w:val="nil"/>
              <w:left w:val="nil"/>
              <w:bottom w:val="nil"/>
              <w:right w:val="nil"/>
            </w:tcBorders>
            <w:shd w:val="clear" w:color="auto" w:fill="FFFFFF"/>
            <w:vAlign w:val="top"/>
          </w:tcPr>
          <w:p w14:paraId="6A35142B">
            <w:pPr>
              <w:rPr>
                <w:rFonts w:hint="eastAsia"/>
              </w:rPr>
            </w:pPr>
          </w:p>
        </w:tc>
        <w:tc>
          <w:tcPr>
            <w:tcW w:w="3120" w:type="dxa"/>
            <w:tcBorders>
              <w:top w:val="nil"/>
              <w:left w:val="nil"/>
              <w:bottom w:val="nil"/>
              <w:right w:val="nil"/>
            </w:tcBorders>
            <w:shd w:val="clear" w:color="auto" w:fill="FFFFFF"/>
            <w:vAlign w:val="top"/>
          </w:tcPr>
          <w:p w14:paraId="26304307">
            <w:pPr>
              <w:rPr>
                <w:rFonts w:hint="eastAsia"/>
              </w:rPr>
            </w:pPr>
            <w:r>
              <w:rPr>
                <w:rFonts w:hint="eastAsia"/>
                <w:lang w:val="en-US" w:eastAsia="zh-CN"/>
              </w:rPr>
              <w:t>白鱼，二分</w:t>
            </w:r>
          </w:p>
        </w:tc>
        <w:tc>
          <w:tcPr>
            <w:tcW w:w="0" w:type="auto"/>
            <w:tcBorders>
              <w:top w:val="nil"/>
              <w:left w:val="nil"/>
              <w:bottom w:val="nil"/>
              <w:right w:val="nil"/>
            </w:tcBorders>
            <w:shd w:val="clear" w:color="auto" w:fill="FFFFFF"/>
            <w:noWrap/>
            <w:vAlign w:val="top"/>
          </w:tcPr>
          <w:p w14:paraId="19924001">
            <w:pPr>
              <w:rPr>
                <w:rFonts w:hint="eastAsia"/>
              </w:rPr>
            </w:pPr>
          </w:p>
        </w:tc>
      </w:tr>
      <w:tr w14:paraId="2C361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61881B5">
            <w:pPr>
              <w:rPr>
                <w:rFonts w:hint="eastAsia"/>
              </w:rPr>
            </w:pPr>
          </w:p>
        </w:tc>
        <w:tc>
          <w:tcPr>
            <w:tcW w:w="1596" w:type="dxa"/>
            <w:tcBorders>
              <w:top w:val="nil"/>
              <w:left w:val="nil"/>
              <w:bottom w:val="nil"/>
              <w:right w:val="nil"/>
            </w:tcBorders>
            <w:shd w:val="clear" w:color="auto" w:fill="FFFFFF"/>
            <w:vAlign w:val="top"/>
          </w:tcPr>
          <w:p w14:paraId="1110F7E9">
            <w:pPr>
              <w:rPr>
                <w:rFonts w:hint="eastAsia"/>
              </w:rPr>
            </w:pPr>
          </w:p>
        </w:tc>
        <w:tc>
          <w:tcPr>
            <w:tcW w:w="0" w:type="auto"/>
            <w:tcBorders>
              <w:top w:val="nil"/>
              <w:left w:val="nil"/>
              <w:bottom w:val="nil"/>
              <w:right w:val="nil"/>
            </w:tcBorders>
            <w:shd w:val="clear" w:color="auto" w:fill="FFFFFF"/>
            <w:noWrap/>
            <w:vAlign w:val="top"/>
          </w:tcPr>
          <w:p w14:paraId="64CC8C5D">
            <w:pPr>
              <w:rPr>
                <w:rFonts w:hint="default"/>
              </w:rPr>
            </w:pPr>
            <w:r>
              <w:rPr>
                <w:rFonts w:hint="default"/>
                <w:lang w:val="en-US" w:eastAsia="zh-CN"/>
              </w:rPr>
              <w:t>a3</w:t>
            </w:r>
          </w:p>
        </w:tc>
        <w:tc>
          <w:tcPr>
            <w:tcW w:w="1500" w:type="dxa"/>
            <w:tcBorders>
              <w:top w:val="nil"/>
              <w:left w:val="nil"/>
              <w:bottom w:val="nil"/>
              <w:right w:val="nil"/>
            </w:tcBorders>
            <w:shd w:val="clear" w:color="auto" w:fill="FFFFFF"/>
            <w:vAlign w:val="top"/>
          </w:tcPr>
          <w:p w14:paraId="0D83B6AC">
            <w:pPr>
              <w:rPr>
                <w:rFonts w:hint="eastAsia"/>
              </w:rPr>
            </w:pPr>
            <w:r>
              <w:rPr>
                <w:rFonts w:hint="eastAsia"/>
                <w:lang w:val="en-US" w:eastAsia="zh-CN"/>
              </w:rPr>
              <w:t>炮制法</w:t>
            </w:r>
          </w:p>
        </w:tc>
        <w:tc>
          <w:tcPr>
            <w:tcW w:w="3120" w:type="dxa"/>
            <w:tcBorders>
              <w:top w:val="nil"/>
              <w:left w:val="nil"/>
              <w:bottom w:val="nil"/>
              <w:right w:val="nil"/>
            </w:tcBorders>
            <w:shd w:val="clear" w:color="auto" w:fill="FFFFFF"/>
            <w:vAlign w:val="top"/>
          </w:tcPr>
          <w:p w14:paraId="3FA95636">
            <w:pPr>
              <w:rPr>
                <w:rFonts w:hint="eastAsia"/>
              </w:rPr>
            </w:pPr>
            <w:r>
              <w:rPr>
                <w:rFonts w:hint="eastAsia"/>
                <w:lang w:val="en-US" w:eastAsia="zh-CN"/>
              </w:rPr>
              <w:t>乱发，烧</w:t>
            </w:r>
          </w:p>
        </w:tc>
        <w:tc>
          <w:tcPr>
            <w:tcW w:w="0" w:type="auto"/>
            <w:tcBorders>
              <w:top w:val="nil"/>
              <w:left w:val="nil"/>
              <w:bottom w:val="nil"/>
              <w:right w:val="nil"/>
            </w:tcBorders>
            <w:shd w:val="clear" w:color="auto" w:fill="FFFFFF"/>
            <w:noWrap/>
            <w:vAlign w:val="top"/>
          </w:tcPr>
          <w:p w14:paraId="0F7184C8">
            <w:pPr>
              <w:rPr>
                <w:rFonts w:hint="eastAsia"/>
              </w:rPr>
            </w:pPr>
          </w:p>
        </w:tc>
      </w:tr>
      <w:tr w14:paraId="4D95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098CCBE2">
            <w:pPr>
              <w:rPr>
                <w:rFonts w:hint="eastAsia"/>
              </w:rPr>
            </w:pPr>
          </w:p>
        </w:tc>
        <w:tc>
          <w:tcPr>
            <w:tcW w:w="1596" w:type="dxa"/>
            <w:tcBorders>
              <w:top w:val="nil"/>
              <w:left w:val="nil"/>
              <w:bottom w:val="nil"/>
              <w:right w:val="nil"/>
            </w:tcBorders>
            <w:shd w:val="clear" w:color="auto" w:fill="FFFFFF"/>
            <w:vAlign w:val="top"/>
          </w:tcPr>
          <w:p w14:paraId="4F0756B7">
            <w:pPr>
              <w:rPr>
                <w:rFonts w:hint="eastAsia"/>
              </w:rPr>
            </w:pPr>
          </w:p>
        </w:tc>
        <w:tc>
          <w:tcPr>
            <w:tcW w:w="0" w:type="auto"/>
            <w:tcBorders>
              <w:top w:val="nil"/>
              <w:left w:val="nil"/>
              <w:bottom w:val="nil"/>
              <w:right w:val="nil"/>
            </w:tcBorders>
            <w:shd w:val="clear" w:color="auto" w:fill="FFFFFF"/>
            <w:noWrap/>
            <w:vAlign w:val="top"/>
          </w:tcPr>
          <w:p w14:paraId="35B3DDE4">
            <w:pPr>
              <w:rPr>
                <w:rFonts w:hint="default"/>
              </w:rPr>
            </w:pPr>
            <w:r>
              <w:rPr>
                <w:rFonts w:hint="default"/>
                <w:lang w:val="en-US" w:eastAsia="zh-CN"/>
              </w:rPr>
              <w:t>a4</w:t>
            </w:r>
          </w:p>
        </w:tc>
        <w:tc>
          <w:tcPr>
            <w:tcW w:w="1500" w:type="dxa"/>
            <w:tcBorders>
              <w:top w:val="nil"/>
              <w:left w:val="nil"/>
              <w:bottom w:val="nil"/>
              <w:right w:val="nil"/>
            </w:tcBorders>
            <w:shd w:val="clear" w:color="auto" w:fill="FFFFFF"/>
            <w:vAlign w:val="top"/>
          </w:tcPr>
          <w:p w14:paraId="2449EB9D">
            <w:pPr>
              <w:rPr>
                <w:rFonts w:hint="eastAsia"/>
              </w:rPr>
            </w:pPr>
            <w:r>
              <w:rPr>
                <w:rFonts w:hint="eastAsia"/>
                <w:lang w:val="en-US" w:eastAsia="zh-CN"/>
              </w:rPr>
              <w:t>煎煮法</w:t>
            </w:r>
          </w:p>
        </w:tc>
        <w:tc>
          <w:tcPr>
            <w:tcW w:w="3120" w:type="dxa"/>
            <w:tcBorders>
              <w:top w:val="nil"/>
              <w:left w:val="nil"/>
              <w:bottom w:val="nil"/>
              <w:right w:val="nil"/>
            </w:tcBorders>
            <w:shd w:val="clear" w:color="auto" w:fill="FFFFFF"/>
            <w:vAlign w:val="top"/>
          </w:tcPr>
          <w:p w14:paraId="7D45F47E">
            <w:pPr>
              <w:rPr>
                <w:rFonts w:hint="eastAsia"/>
              </w:rPr>
            </w:pPr>
            <w:r>
              <w:rPr>
                <w:rFonts w:hint="eastAsia"/>
                <w:lang w:val="en-US" w:eastAsia="zh-CN"/>
              </w:rPr>
              <w:t>上三味，杵为散</w:t>
            </w:r>
          </w:p>
        </w:tc>
        <w:tc>
          <w:tcPr>
            <w:tcW w:w="0" w:type="auto"/>
            <w:tcBorders>
              <w:top w:val="nil"/>
              <w:left w:val="nil"/>
              <w:bottom w:val="nil"/>
              <w:right w:val="nil"/>
            </w:tcBorders>
            <w:shd w:val="clear" w:color="auto" w:fill="FFFFFF"/>
            <w:noWrap/>
            <w:vAlign w:val="top"/>
          </w:tcPr>
          <w:p w14:paraId="5B682209">
            <w:pPr>
              <w:rPr>
                <w:rFonts w:hint="eastAsia"/>
              </w:rPr>
            </w:pPr>
          </w:p>
        </w:tc>
      </w:tr>
      <w:tr w14:paraId="17992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134AA84">
            <w:pPr>
              <w:rPr>
                <w:rFonts w:hint="eastAsia"/>
              </w:rPr>
            </w:pPr>
          </w:p>
        </w:tc>
        <w:tc>
          <w:tcPr>
            <w:tcW w:w="1596" w:type="dxa"/>
            <w:tcBorders>
              <w:top w:val="nil"/>
              <w:left w:val="nil"/>
              <w:bottom w:val="nil"/>
              <w:right w:val="nil"/>
            </w:tcBorders>
            <w:shd w:val="clear" w:color="auto" w:fill="FFFFFF"/>
            <w:vAlign w:val="top"/>
          </w:tcPr>
          <w:p w14:paraId="1D032CB1">
            <w:pPr>
              <w:rPr>
                <w:rFonts w:hint="eastAsia"/>
              </w:rPr>
            </w:pPr>
          </w:p>
        </w:tc>
        <w:tc>
          <w:tcPr>
            <w:tcW w:w="0" w:type="auto"/>
            <w:tcBorders>
              <w:top w:val="nil"/>
              <w:left w:val="nil"/>
              <w:bottom w:val="nil"/>
              <w:right w:val="nil"/>
            </w:tcBorders>
            <w:shd w:val="clear" w:color="auto" w:fill="FFFFFF"/>
            <w:noWrap/>
            <w:vAlign w:val="top"/>
          </w:tcPr>
          <w:p w14:paraId="06D4D064">
            <w:pPr>
              <w:rPr>
                <w:rFonts w:hint="default"/>
              </w:rPr>
            </w:pPr>
            <w:r>
              <w:rPr>
                <w:rFonts w:hint="default"/>
                <w:lang w:val="en-US" w:eastAsia="zh-CN"/>
              </w:rPr>
              <w:t>a5</w:t>
            </w:r>
          </w:p>
        </w:tc>
        <w:tc>
          <w:tcPr>
            <w:tcW w:w="1500" w:type="dxa"/>
            <w:tcBorders>
              <w:top w:val="nil"/>
              <w:left w:val="nil"/>
              <w:bottom w:val="nil"/>
              <w:right w:val="nil"/>
            </w:tcBorders>
            <w:shd w:val="clear" w:color="auto" w:fill="FFFFFF"/>
            <w:vAlign w:val="top"/>
          </w:tcPr>
          <w:p w14:paraId="7B8EA901">
            <w:pPr>
              <w:rPr>
                <w:rFonts w:hint="eastAsia"/>
              </w:rPr>
            </w:pPr>
            <w:r>
              <w:rPr>
                <w:rFonts w:hint="eastAsia"/>
                <w:lang w:val="en-US" w:eastAsia="zh-CN"/>
              </w:rPr>
              <w:t>用药方法</w:t>
            </w:r>
          </w:p>
        </w:tc>
        <w:tc>
          <w:tcPr>
            <w:tcW w:w="3120" w:type="dxa"/>
            <w:tcBorders>
              <w:top w:val="nil"/>
              <w:left w:val="nil"/>
              <w:bottom w:val="nil"/>
              <w:right w:val="nil"/>
            </w:tcBorders>
            <w:shd w:val="clear" w:color="auto" w:fill="FFFFFF"/>
            <w:vAlign w:val="top"/>
          </w:tcPr>
          <w:p w14:paraId="5449D46B">
            <w:pPr>
              <w:rPr>
                <w:rFonts w:hint="eastAsia"/>
              </w:rPr>
            </w:pPr>
            <w:r>
              <w:rPr>
                <w:rFonts w:hint="eastAsia"/>
                <w:lang w:val="en-US" w:eastAsia="zh-CN"/>
              </w:rPr>
              <w:t>饮服半钱匕</w:t>
            </w:r>
          </w:p>
        </w:tc>
        <w:tc>
          <w:tcPr>
            <w:tcW w:w="0" w:type="auto"/>
            <w:tcBorders>
              <w:top w:val="nil"/>
              <w:left w:val="nil"/>
              <w:bottom w:val="nil"/>
              <w:right w:val="nil"/>
            </w:tcBorders>
            <w:shd w:val="clear" w:color="auto" w:fill="FFFFFF"/>
            <w:noWrap/>
            <w:vAlign w:val="top"/>
          </w:tcPr>
          <w:p w14:paraId="2BAB3075">
            <w:pPr>
              <w:rPr>
                <w:rFonts w:hint="eastAsia"/>
              </w:rPr>
            </w:pPr>
          </w:p>
        </w:tc>
      </w:tr>
      <w:tr w14:paraId="01C18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2D07EBE9">
            <w:pPr>
              <w:rPr>
                <w:rFonts w:hint="eastAsia"/>
              </w:rPr>
            </w:pPr>
          </w:p>
        </w:tc>
        <w:tc>
          <w:tcPr>
            <w:tcW w:w="1596" w:type="dxa"/>
            <w:tcBorders>
              <w:top w:val="nil"/>
              <w:left w:val="nil"/>
              <w:bottom w:val="nil"/>
              <w:right w:val="nil"/>
            </w:tcBorders>
            <w:shd w:val="clear" w:color="auto" w:fill="FFFFFF"/>
            <w:vAlign w:val="top"/>
          </w:tcPr>
          <w:p w14:paraId="3B1C59DA">
            <w:pPr>
              <w:rPr>
                <w:rFonts w:hint="eastAsia"/>
              </w:rPr>
            </w:pPr>
          </w:p>
        </w:tc>
        <w:tc>
          <w:tcPr>
            <w:tcW w:w="0" w:type="auto"/>
            <w:tcBorders>
              <w:top w:val="nil"/>
              <w:left w:val="nil"/>
              <w:bottom w:val="nil"/>
              <w:right w:val="nil"/>
            </w:tcBorders>
            <w:shd w:val="clear" w:color="auto" w:fill="FFFFFF"/>
            <w:noWrap/>
            <w:vAlign w:val="top"/>
          </w:tcPr>
          <w:p w14:paraId="0C3EB948">
            <w:pPr>
              <w:rPr>
                <w:rFonts w:hint="default"/>
              </w:rPr>
            </w:pPr>
            <w:r>
              <w:rPr>
                <w:rFonts w:hint="default"/>
                <w:lang w:val="en-US" w:eastAsia="zh-CN"/>
              </w:rPr>
              <w:t>a6</w:t>
            </w:r>
          </w:p>
        </w:tc>
        <w:tc>
          <w:tcPr>
            <w:tcW w:w="1500" w:type="dxa"/>
            <w:tcBorders>
              <w:top w:val="nil"/>
              <w:left w:val="nil"/>
              <w:bottom w:val="nil"/>
              <w:right w:val="nil"/>
            </w:tcBorders>
            <w:shd w:val="clear" w:color="auto" w:fill="FFFFFF"/>
            <w:vAlign w:val="top"/>
          </w:tcPr>
          <w:p w14:paraId="6FE679EA">
            <w:pPr>
              <w:rPr>
                <w:rFonts w:hint="eastAsia"/>
              </w:rPr>
            </w:pPr>
            <w:r>
              <w:rPr>
                <w:rFonts w:hint="eastAsia"/>
                <w:lang w:val="en-US" w:eastAsia="zh-CN"/>
              </w:rPr>
              <w:t>用药频率</w:t>
            </w:r>
          </w:p>
        </w:tc>
        <w:tc>
          <w:tcPr>
            <w:tcW w:w="3120" w:type="dxa"/>
            <w:tcBorders>
              <w:top w:val="nil"/>
              <w:left w:val="nil"/>
              <w:bottom w:val="nil"/>
              <w:right w:val="nil"/>
            </w:tcBorders>
            <w:shd w:val="clear" w:color="auto" w:fill="FFFFFF"/>
            <w:vAlign w:val="top"/>
          </w:tcPr>
          <w:p w14:paraId="0CDD04FF">
            <w:pPr>
              <w:rPr>
                <w:rFonts w:hint="eastAsia"/>
              </w:rPr>
            </w:pPr>
            <w:r>
              <w:rPr>
                <w:rFonts w:hint="eastAsia"/>
                <w:lang w:val="en-US" w:eastAsia="zh-CN"/>
              </w:rPr>
              <w:t>日三服</w:t>
            </w:r>
          </w:p>
        </w:tc>
        <w:tc>
          <w:tcPr>
            <w:tcW w:w="0" w:type="auto"/>
            <w:tcBorders>
              <w:top w:val="nil"/>
              <w:left w:val="nil"/>
              <w:bottom w:val="nil"/>
              <w:right w:val="nil"/>
            </w:tcBorders>
            <w:shd w:val="clear" w:color="auto" w:fill="FFFFFF"/>
            <w:noWrap/>
            <w:vAlign w:val="top"/>
          </w:tcPr>
          <w:p w14:paraId="17DDD3AC">
            <w:pPr>
              <w:rPr>
                <w:rFonts w:hint="eastAsia"/>
              </w:rPr>
            </w:pPr>
          </w:p>
        </w:tc>
      </w:tr>
      <w:tr w14:paraId="5DF4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7F10CAA">
            <w:pPr>
              <w:rPr>
                <w:rFonts w:hint="eastAsia"/>
              </w:rPr>
            </w:pPr>
          </w:p>
        </w:tc>
        <w:tc>
          <w:tcPr>
            <w:tcW w:w="1596" w:type="dxa"/>
            <w:tcBorders>
              <w:top w:val="nil"/>
              <w:left w:val="nil"/>
              <w:bottom w:val="nil"/>
              <w:right w:val="nil"/>
            </w:tcBorders>
            <w:shd w:val="clear" w:color="auto" w:fill="FFFFFF"/>
            <w:vAlign w:val="top"/>
          </w:tcPr>
          <w:p w14:paraId="47F382E9">
            <w:pPr>
              <w:rPr>
                <w:rFonts w:hint="eastAsia"/>
              </w:rPr>
            </w:pPr>
            <w:r>
              <w:rPr>
                <w:rFonts w:hint="eastAsia"/>
                <w:lang w:val="en-US" w:eastAsia="zh-CN"/>
              </w:rPr>
              <w:t>属性间关系</w:t>
            </w:r>
          </w:p>
        </w:tc>
        <w:tc>
          <w:tcPr>
            <w:tcW w:w="0" w:type="auto"/>
            <w:gridSpan w:val="4"/>
            <w:tcBorders>
              <w:top w:val="nil"/>
              <w:left w:val="nil"/>
              <w:bottom w:val="nil"/>
              <w:right w:val="nil"/>
            </w:tcBorders>
            <w:shd w:val="clear" w:color="auto" w:fill="FFFFFF"/>
            <w:noWrap/>
            <w:vAlign w:val="top"/>
          </w:tcPr>
          <w:p w14:paraId="3BD5EB56">
            <w:pPr>
              <w:rPr>
                <w:rFonts w:hint="eastAsia"/>
              </w:rPr>
            </w:pPr>
            <w:r>
              <w:rPr>
                <w:rFonts w:hint="eastAsia"/>
                <w:lang w:val="en-US" w:eastAsia="zh-CN"/>
              </w:rPr>
              <w:t>[("a1","a2","a3","a4","a5","a6","并列")]</w:t>
            </w:r>
          </w:p>
        </w:tc>
      </w:tr>
      <w:tr w14:paraId="6B916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2450F440">
            <w:pPr>
              <w:rPr>
                <w:rFonts w:hint="eastAsia"/>
              </w:rPr>
            </w:pPr>
            <w:r>
              <w:rPr>
                <w:rFonts w:hint="eastAsia"/>
                <w:lang w:val="en-US" w:eastAsia="zh-CN"/>
              </w:rPr>
              <w:t>环境属性</w:t>
            </w:r>
          </w:p>
        </w:tc>
        <w:tc>
          <w:tcPr>
            <w:tcW w:w="1596" w:type="dxa"/>
            <w:tcBorders>
              <w:top w:val="nil"/>
              <w:left w:val="nil"/>
              <w:bottom w:val="nil"/>
              <w:right w:val="nil"/>
            </w:tcBorders>
            <w:shd w:val="clear" w:color="auto" w:fill="FFFFFF"/>
            <w:vAlign w:val="top"/>
          </w:tcPr>
          <w:p w14:paraId="6B2D9392">
            <w:pPr>
              <w:rPr>
                <w:rFonts w:hint="eastAsia"/>
              </w:rPr>
            </w:pPr>
            <w:r>
              <w:rPr>
                <w:rFonts w:hint="eastAsia"/>
                <w:lang w:val="en-US" w:eastAsia="zh-CN"/>
              </w:rPr>
              <w:t>来源</w:t>
            </w:r>
          </w:p>
        </w:tc>
        <w:tc>
          <w:tcPr>
            <w:tcW w:w="7560" w:type="dxa"/>
            <w:gridSpan w:val="4"/>
            <w:tcBorders>
              <w:top w:val="nil"/>
              <w:left w:val="nil"/>
              <w:bottom w:val="nil"/>
              <w:right w:val="nil"/>
            </w:tcBorders>
            <w:shd w:val="clear" w:color="auto" w:fill="FFFFFF"/>
            <w:vAlign w:val="top"/>
          </w:tcPr>
          <w:p w14:paraId="4F1076A7">
            <w:pPr>
              <w:rPr>
                <w:rFonts w:hint="eastAsia"/>
              </w:rPr>
            </w:pPr>
            <w:r>
              <w:rPr>
                <w:rFonts w:hint="eastAsia"/>
                <w:lang w:val="en-US" w:eastAsia="zh-CN"/>
              </w:rPr>
              <w:t>《金匮要略语译》[卷中，消渴小便利淋病脉证并治第十三]P89</w:t>
            </w:r>
          </w:p>
        </w:tc>
      </w:tr>
      <w:tr w14:paraId="35821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single" w:color="000000" w:sz="4" w:space="0"/>
              <w:right w:val="nil"/>
            </w:tcBorders>
            <w:shd w:val="clear" w:color="auto" w:fill="FFFFFF"/>
            <w:noWrap/>
            <w:vAlign w:val="center"/>
          </w:tcPr>
          <w:p w14:paraId="50695DFC">
            <w:pPr>
              <w:rPr>
                <w:rFonts w:hint="eastAsia"/>
              </w:rPr>
            </w:pPr>
          </w:p>
        </w:tc>
        <w:tc>
          <w:tcPr>
            <w:tcW w:w="1596" w:type="dxa"/>
            <w:tcBorders>
              <w:top w:val="nil"/>
              <w:left w:val="nil"/>
              <w:bottom w:val="single" w:color="000000" w:sz="4" w:space="0"/>
              <w:right w:val="nil"/>
            </w:tcBorders>
            <w:shd w:val="clear" w:color="auto" w:fill="FFFFFF"/>
            <w:vAlign w:val="top"/>
          </w:tcPr>
          <w:p w14:paraId="1DD2DD1E">
            <w:pPr>
              <w:rPr>
                <w:rFonts w:hint="eastAsia"/>
              </w:rPr>
            </w:pPr>
            <w:r>
              <w:rPr>
                <w:rFonts w:hint="eastAsia"/>
                <w:lang w:val="en-US" w:eastAsia="zh-CN"/>
              </w:rPr>
              <w:t>所属知识单元</w:t>
            </w:r>
          </w:p>
        </w:tc>
        <w:tc>
          <w:tcPr>
            <w:tcW w:w="7560" w:type="dxa"/>
            <w:gridSpan w:val="4"/>
            <w:tcBorders>
              <w:top w:val="nil"/>
              <w:left w:val="nil"/>
              <w:bottom w:val="single" w:color="000000" w:sz="4" w:space="0"/>
              <w:right w:val="nil"/>
            </w:tcBorders>
            <w:shd w:val="clear" w:color="auto" w:fill="FFFFFF"/>
            <w:vAlign w:val="top"/>
          </w:tcPr>
          <w:p w14:paraId="3C8C56F9">
            <w:pPr>
              <w:rPr>
                <w:rFonts w:hint="eastAsia"/>
              </w:rPr>
            </w:pPr>
            <w:r>
              <w:rPr>
                <w:rFonts w:hint="eastAsia"/>
                <w:lang w:val="en-US" w:eastAsia="zh-CN"/>
              </w:rPr>
              <w:t>R222.3-1-13-4-2</w:t>
            </w:r>
          </w:p>
        </w:tc>
      </w:tr>
    </w:tbl>
    <w:p w14:paraId="2C0FB356">
      <w:pPr>
        <w:rPr>
          <w:rFonts w:hint="default"/>
          <w:lang w:val="en-US" w:eastAsia="zh-CN"/>
        </w:rPr>
      </w:pPr>
      <w:r>
        <w:rPr>
          <w:rFonts w:hint="default"/>
          <w:lang w:val="en-US" w:eastAsia="zh-CN"/>
        </w:rPr>
        <w:t>在《温病条辨》中，由于全书写作风格和形式基本一致，所以在选择上主要考虑知识内容的典型性与普遍性，选取了知识内容涵盖较为全面的上焦篇当中的秋燥章节为例。采用手工的方式进行人工筛选与标注，逐层级地构建出多粒度知识表示模型，具体操作过程与《金匮要略》多粒度知识表示模型构建一致</w:t>
      </w:r>
      <w:r>
        <w:rPr>
          <w:rFonts w:hint="eastAsia"/>
          <w:lang w:val="en-US" w:eastAsia="zh-CN"/>
        </w:rPr>
        <w:t>。</w:t>
      </w:r>
    </w:p>
    <w:p w14:paraId="66BC347A">
      <w:pPr>
        <w:rPr>
          <w:rFonts w:hint="default"/>
          <w:lang w:val="en-US" w:eastAsia="zh-CN"/>
        </w:rPr>
      </w:pPr>
      <w:r>
        <w:rPr>
          <w:rFonts w:hint="default"/>
          <w:lang w:val="en-US" w:eastAsia="zh-CN"/>
        </w:rPr>
        <w:br w:type="page"/>
      </w:r>
    </w:p>
    <w:p w14:paraId="3F99745A">
      <w:pPr>
        <w:rPr>
          <w:rFonts w:hint="eastAsia"/>
          <w:lang w:val="en-US" w:eastAsia="zh-CN"/>
        </w:rPr>
      </w:pPr>
      <w:r>
        <w:rPr>
          <w:rFonts w:hint="eastAsia"/>
          <w:lang w:val="en-US" w:eastAsia="zh-CN"/>
        </w:rPr>
        <w:t>参考文献</w:t>
      </w:r>
    </w:p>
    <w:p w14:paraId="6FFE057E">
      <w:pPr>
        <w:rPr>
          <w:rFonts w:hint="default"/>
          <w:lang w:val="en-US" w:eastAsia="zh-CN"/>
        </w:rPr>
      </w:pPr>
      <w:r>
        <w:rPr>
          <w:rFonts w:hint="default"/>
          <w:lang w:val="en-US" w:eastAsia="zh-CN"/>
        </w:rPr>
        <w:t>[1]BLISS H E, DEWEY J. The organization of knowledge and the system of the sciences[M]. New York: Henry Holt and Company, 1929: 356-357.</w:t>
      </w:r>
    </w:p>
    <w:p w14:paraId="28482214">
      <w:pPr>
        <w:rPr>
          <w:rFonts w:hint="default"/>
          <w:lang w:val="en-US" w:eastAsia="zh-CN"/>
        </w:rPr>
      </w:pPr>
      <w:r>
        <w:rPr>
          <w:rFonts w:hint="default"/>
          <w:lang w:val="en-US" w:eastAsia="zh-CN"/>
        </w:rPr>
        <w:t>[2]文庭孝.知识单元的演变及其评价研究[J].图书情报工作,2007,(10):72-76.</w:t>
      </w:r>
    </w:p>
    <w:p w14:paraId="1D3462F7">
      <w:pPr>
        <w:rPr>
          <w:rFonts w:hint="default"/>
          <w:lang w:val="en-US" w:eastAsia="zh-CN"/>
        </w:rPr>
      </w:pPr>
      <w:r>
        <w:rPr>
          <w:rFonts w:hint="default"/>
          <w:lang w:val="en-US" w:eastAsia="zh-CN"/>
        </w:rPr>
        <w:t>[3]马费成.情报学的进展与深化[J].情报学报,1996,(05):22-28.</w:t>
      </w:r>
    </w:p>
    <w:p w14:paraId="44892F51">
      <w:pPr>
        <w:rPr>
          <w:rFonts w:hint="default"/>
          <w:lang w:val="en-US" w:eastAsia="zh-CN"/>
        </w:rPr>
      </w:pPr>
      <w:r>
        <w:rPr>
          <w:rFonts w:hint="default"/>
          <w:lang w:val="en-US" w:eastAsia="zh-CN"/>
        </w:rPr>
        <w:t>[4]马费成.在数字环境下实现知识的组织和提供[J].郑州大学学报(哲学社会科学版),2005,(04):5-7,14.</w:t>
      </w:r>
    </w:p>
    <w:p w14:paraId="3374F3AA">
      <w:pPr>
        <w:rPr>
          <w:rFonts w:hint="default"/>
          <w:lang w:val="en-US" w:eastAsia="zh-CN"/>
        </w:rPr>
      </w:pPr>
      <w:r>
        <w:rPr>
          <w:rFonts w:hint="default"/>
          <w:lang w:val="en-US" w:eastAsia="zh-CN"/>
        </w:rPr>
        <w:t>[5]徐如镜.开发知识资源发展知识产业服务知识经济[J].现代图书情报技术,2002,(S1):4-6.</w:t>
      </w:r>
    </w:p>
    <w:p w14:paraId="1820EF8E">
      <w:pPr>
        <w:rPr>
          <w:rFonts w:hint="default"/>
          <w:lang w:val="en-US" w:eastAsia="zh-CN"/>
        </w:rPr>
      </w:pPr>
      <w:r>
        <w:rPr>
          <w:rFonts w:hint="default"/>
          <w:lang w:val="en-US" w:eastAsia="zh-CN"/>
        </w:rPr>
        <w:t>[6]中共中央办公厅国务院办公厅印发《关于推进新时代古籍工作的意见》[J].中华人民共和国国务院公报,2022,(12):30-33.</w:t>
      </w:r>
    </w:p>
    <w:p w14:paraId="2305A026">
      <w:pPr>
        <w:rPr>
          <w:rFonts w:hint="default"/>
          <w:lang w:val="en-US" w:eastAsia="zh-CN"/>
        </w:rPr>
      </w:pPr>
      <w:r>
        <w:rPr>
          <w:rFonts w:hint="default"/>
          <w:lang w:val="en-US" w:eastAsia="zh-CN"/>
        </w:rPr>
        <w:t>[7]陈静,李扬.多粒度信息搜索行为研究综述[J].信息资源管理学报,2022,12(02):39-51,64.</w:t>
      </w:r>
    </w:p>
    <w:p w14:paraId="556EEEE7">
      <w:pPr>
        <w:rPr>
          <w:rFonts w:hint="default"/>
          <w:lang w:val="en-US" w:eastAsia="zh-CN"/>
        </w:rPr>
      </w:pPr>
      <w:r>
        <w:rPr>
          <w:rFonts w:hint="default"/>
          <w:lang w:val="en-US" w:eastAsia="zh-CN"/>
        </w:rPr>
        <w:t>[8]李聪聪,梁海明,董玉成.多粒度语言环境下基于持续学习和行为建模的个性化语义共识决策模型[J/OL].中国管理科学,1-12[2025-05-02].</w:t>
      </w:r>
    </w:p>
    <w:p w14:paraId="5A972A2F">
      <w:pPr>
        <w:rPr>
          <w:rFonts w:hint="default"/>
        </w:rPr>
      </w:pPr>
      <w:r>
        <w:rPr>
          <w:rFonts w:hint="default"/>
        </w:rPr>
        <w:t>[</w:t>
      </w:r>
      <w:r>
        <w:rPr>
          <w:rFonts w:hint="default"/>
          <w:lang w:val="en-US" w:eastAsia="zh-CN"/>
        </w:rPr>
        <w:t>9</w:t>
      </w:r>
      <w:r>
        <w:rPr>
          <w:rFonts w:hint="default"/>
        </w:rPr>
        <w:t>]范昊,王一帆.知识关联视角下标准文档的多粒度知识组织方法研究[J].信息资源管理学报,2024,14(04):133-145.</w:t>
      </w:r>
    </w:p>
    <w:p w14:paraId="6FD75F12">
      <w:pPr>
        <w:rPr>
          <w:rFonts w:hint="default"/>
          <w:lang w:val="en-US" w:eastAsia="zh-CN"/>
        </w:rPr>
      </w:pPr>
      <w:r>
        <w:rPr>
          <w:rFonts w:hint="default"/>
          <w:lang w:val="en-US" w:eastAsia="zh-CN"/>
        </w:rPr>
        <w:t>[10]丁侃.基于知识元信息技术的中医古籍元数据研究[D].北京市:中国中医科学院,2009.</w:t>
      </w:r>
    </w:p>
    <w:p w14:paraId="4C89512D">
      <w:pPr>
        <w:rPr>
          <w:rFonts w:hint="default"/>
          <w:lang w:val="en-US" w:eastAsia="zh-CN"/>
        </w:rPr>
      </w:pPr>
    </w:p>
    <w:p w14:paraId="43B32DE6">
      <w:pPr>
        <w:rPr>
          <w:rFonts w:hint="eastAsia"/>
          <w:lang w:val="en-US" w:eastAsia="zh-CN"/>
        </w:rPr>
      </w:pPr>
      <w:r>
        <w:rPr>
          <w:rFonts w:hint="eastAsia"/>
          <w:lang w:val="en-US" w:eastAsia="zh-CN"/>
        </w:rPr>
        <w:t>作者简介：</w:t>
      </w:r>
    </w:p>
    <w:p w14:paraId="2A243989">
      <w:pPr>
        <w:rPr>
          <w:rFonts w:hint="eastAsia"/>
          <w:lang w:val="en-US" w:eastAsia="zh-CN"/>
        </w:rPr>
      </w:pPr>
      <w:r>
        <w:rPr>
          <w:rFonts w:hint="eastAsia"/>
          <w:lang w:val="en-US" w:eastAsia="zh-CN"/>
        </w:rPr>
        <w:t>王世文，男，1967年生，硕士，教授，研究方向：信息管理与信息系统、健康信息学、智能决策研究。</w:t>
      </w:r>
    </w:p>
    <w:p w14:paraId="2B9EE48D">
      <w:pPr>
        <w:rPr>
          <w:rFonts w:hint="eastAsia"/>
          <w:lang w:val="en-US" w:eastAsia="zh-CN"/>
        </w:rPr>
      </w:pPr>
      <w:r>
        <w:rPr>
          <w:rFonts w:hint="eastAsia"/>
          <w:lang w:val="en-US" w:eastAsia="zh-CN"/>
        </w:rPr>
        <w:t>赵泽儒，男，1996年生，硕士研究生，研究方向：知识图谱与智能问答、知识组织研究，</w:t>
      </w:r>
      <w:r>
        <w:t>E-mail</w:t>
      </w:r>
      <w:r>
        <w:rPr>
          <w:rFonts w:hint="eastAsia"/>
        </w:rPr>
        <w:t>：</w:t>
      </w:r>
      <w:r>
        <w:rPr>
          <w:rFonts w:hint="eastAsia"/>
          <w:lang w:val="en-US" w:eastAsia="zh-CN"/>
        </w:rPr>
        <w:fldChar w:fldCharType="begin"/>
      </w:r>
      <w:r>
        <w:rPr>
          <w:rFonts w:hint="eastAsia"/>
          <w:lang w:val="en-US" w:eastAsia="zh-CN"/>
        </w:rPr>
        <w:instrText xml:space="preserve"> HYPERLINK "mailto:13652001060@163.com" </w:instrText>
      </w:r>
      <w:r>
        <w:rPr>
          <w:rFonts w:hint="eastAsia"/>
          <w:lang w:val="en-US" w:eastAsia="zh-CN"/>
        </w:rPr>
        <w:fldChar w:fldCharType="separate"/>
      </w:r>
      <w:r>
        <w:rPr>
          <w:rFonts w:hint="eastAsia"/>
          <w:lang w:val="en-US" w:eastAsia="zh-CN"/>
        </w:rPr>
        <w:t>13652001060@163.com</w:t>
      </w:r>
      <w:r>
        <w:rPr>
          <w:rFonts w:hint="eastAsia"/>
          <w:lang w:val="en-US" w:eastAsia="zh-CN"/>
        </w:rPr>
        <w:fldChar w:fldCharType="end"/>
      </w:r>
      <w:r>
        <w:rPr>
          <w:rFonts w:hint="eastAsia"/>
          <w:lang w:val="en-US" w:eastAsia="zh-CN"/>
        </w:rPr>
        <w:t>。</w:t>
      </w:r>
    </w:p>
    <w:p w14:paraId="5E694F00">
      <w:pPr>
        <w:rPr>
          <w:rFonts w:hint="default"/>
          <w:lang w:val="en-US" w:eastAsia="zh-CN"/>
        </w:rPr>
      </w:pPr>
      <w:r>
        <w:rPr>
          <w:rFonts w:hint="eastAsia"/>
          <w:lang w:val="en-US" w:eastAsia="zh-CN"/>
        </w:rPr>
        <w:t>邢建斌，男，1998年生，硕士研究生，研究方向：知识图谱、大模型构建及RAG系统在图书情报领域的应用研究。</w:t>
      </w:r>
    </w:p>
    <w:p w14:paraId="262300F8">
      <w:pPr>
        <w:rPr>
          <w:rFonts w:hint="default"/>
          <w:lang w:val="en-US" w:eastAsia="zh-CN"/>
        </w:rPr>
      </w:pPr>
    </w:p>
    <w:p w14:paraId="22A605CA">
      <w:pPr>
        <w:rPr>
          <w:rFonts w:hint="eastAsia"/>
          <w:lang w:val="en-US" w:eastAsia="zh-CN"/>
        </w:rPr>
      </w:pPr>
      <w:r>
        <w:rPr>
          <w:rFonts w:hint="eastAsia"/>
          <w:lang w:val="en-US" w:eastAsia="zh-CN"/>
        </w:rPr>
        <w:t>作者贡献声明：</w:t>
      </w:r>
    </w:p>
    <w:p w14:paraId="0D54B9BC">
      <w:pPr>
        <w:rPr>
          <w:rFonts w:hint="eastAsia"/>
          <w:lang w:val="en-US" w:eastAsia="zh-CN"/>
        </w:rPr>
      </w:pPr>
      <w:r>
        <w:rPr>
          <w:rFonts w:hint="eastAsia"/>
          <w:lang w:val="en-US" w:eastAsia="zh-CN"/>
        </w:rPr>
        <w:t>王世文：提出研究思路，论文最终版本修订；</w:t>
      </w:r>
    </w:p>
    <w:p w14:paraId="5A8FAE7D">
      <w:pPr>
        <w:rPr>
          <w:rFonts w:hint="eastAsia"/>
          <w:lang w:val="en-US" w:eastAsia="zh-CN"/>
        </w:rPr>
      </w:pPr>
      <w:r>
        <w:rPr>
          <w:rFonts w:hint="eastAsia"/>
          <w:lang w:val="en-US" w:eastAsia="zh-CN"/>
        </w:rPr>
        <w:t>赵泽儒：研究过程实施，数据的获取、标注与分析，论文起草与修改。</w:t>
      </w:r>
    </w:p>
    <w:p w14:paraId="489D9AD7">
      <w:pPr>
        <w:rPr>
          <w:rFonts w:hint="default"/>
          <w:lang w:val="en-US" w:eastAsia="zh-CN"/>
        </w:rPr>
      </w:pPr>
      <w:r>
        <w:rPr>
          <w:rFonts w:hint="eastAsia"/>
          <w:lang w:val="en-US" w:eastAsia="zh-CN"/>
        </w:rPr>
        <w:t>邢建斌：数据的清洗、标注与分析。</w:t>
      </w:r>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A31A3"/>
    <w:rsid w:val="005E0AA6"/>
    <w:rsid w:val="0069744B"/>
    <w:rsid w:val="00824F90"/>
    <w:rsid w:val="008A67B0"/>
    <w:rsid w:val="00C84172"/>
    <w:rsid w:val="00CF1963"/>
    <w:rsid w:val="010179E0"/>
    <w:rsid w:val="010202F2"/>
    <w:rsid w:val="01083CCE"/>
    <w:rsid w:val="0120046C"/>
    <w:rsid w:val="012E1FCA"/>
    <w:rsid w:val="01482117"/>
    <w:rsid w:val="014A102B"/>
    <w:rsid w:val="01645940"/>
    <w:rsid w:val="016F0A91"/>
    <w:rsid w:val="01CC7AC1"/>
    <w:rsid w:val="01E34147"/>
    <w:rsid w:val="02025ACD"/>
    <w:rsid w:val="021653B1"/>
    <w:rsid w:val="021907CD"/>
    <w:rsid w:val="02337D11"/>
    <w:rsid w:val="024261A6"/>
    <w:rsid w:val="02633993"/>
    <w:rsid w:val="02840111"/>
    <w:rsid w:val="029C3B08"/>
    <w:rsid w:val="02A178AD"/>
    <w:rsid w:val="02C553BB"/>
    <w:rsid w:val="02D908B8"/>
    <w:rsid w:val="03062D2F"/>
    <w:rsid w:val="03512DB6"/>
    <w:rsid w:val="03575F49"/>
    <w:rsid w:val="036E30C9"/>
    <w:rsid w:val="038C592B"/>
    <w:rsid w:val="03EA1FC4"/>
    <w:rsid w:val="03F80CEA"/>
    <w:rsid w:val="041F6977"/>
    <w:rsid w:val="042F62B6"/>
    <w:rsid w:val="043F1D3E"/>
    <w:rsid w:val="044F2511"/>
    <w:rsid w:val="04515894"/>
    <w:rsid w:val="045B1BDF"/>
    <w:rsid w:val="045C47E9"/>
    <w:rsid w:val="04C579CE"/>
    <w:rsid w:val="04DE2BA7"/>
    <w:rsid w:val="04F6771B"/>
    <w:rsid w:val="05235E1B"/>
    <w:rsid w:val="0524626C"/>
    <w:rsid w:val="05250A45"/>
    <w:rsid w:val="054A17A3"/>
    <w:rsid w:val="0595609D"/>
    <w:rsid w:val="05D41EF7"/>
    <w:rsid w:val="06390A6C"/>
    <w:rsid w:val="063D2A4F"/>
    <w:rsid w:val="065D796D"/>
    <w:rsid w:val="06637213"/>
    <w:rsid w:val="0682462F"/>
    <w:rsid w:val="073360BD"/>
    <w:rsid w:val="07892FE0"/>
    <w:rsid w:val="07D51131"/>
    <w:rsid w:val="07F71107"/>
    <w:rsid w:val="083C45B2"/>
    <w:rsid w:val="085C4B7B"/>
    <w:rsid w:val="08797165"/>
    <w:rsid w:val="08935065"/>
    <w:rsid w:val="08A94889"/>
    <w:rsid w:val="08AE6EFD"/>
    <w:rsid w:val="08B21387"/>
    <w:rsid w:val="08B4457B"/>
    <w:rsid w:val="08BB4138"/>
    <w:rsid w:val="08D137DE"/>
    <w:rsid w:val="08D3125A"/>
    <w:rsid w:val="08DA4BB4"/>
    <w:rsid w:val="08E73603"/>
    <w:rsid w:val="091C32AD"/>
    <w:rsid w:val="0947404D"/>
    <w:rsid w:val="096223D6"/>
    <w:rsid w:val="0962600B"/>
    <w:rsid w:val="096A3562"/>
    <w:rsid w:val="09805DD5"/>
    <w:rsid w:val="09A10930"/>
    <w:rsid w:val="09BF3DDC"/>
    <w:rsid w:val="09CF6571"/>
    <w:rsid w:val="09D5723A"/>
    <w:rsid w:val="09F538BC"/>
    <w:rsid w:val="0A1C277D"/>
    <w:rsid w:val="0A1E12A6"/>
    <w:rsid w:val="0A382873"/>
    <w:rsid w:val="0A3D01C1"/>
    <w:rsid w:val="0A621193"/>
    <w:rsid w:val="0A9F4195"/>
    <w:rsid w:val="0AC514F8"/>
    <w:rsid w:val="0ADD4F4D"/>
    <w:rsid w:val="0AE147AE"/>
    <w:rsid w:val="0AE53A39"/>
    <w:rsid w:val="0AF142C5"/>
    <w:rsid w:val="0B0F2044"/>
    <w:rsid w:val="0B1C04BE"/>
    <w:rsid w:val="0B215DAF"/>
    <w:rsid w:val="0B3A7A6C"/>
    <w:rsid w:val="0B4E6070"/>
    <w:rsid w:val="0B7C0033"/>
    <w:rsid w:val="0BD70808"/>
    <w:rsid w:val="0BD801C9"/>
    <w:rsid w:val="0C183663"/>
    <w:rsid w:val="0C28307E"/>
    <w:rsid w:val="0C2D74AC"/>
    <w:rsid w:val="0C564D28"/>
    <w:rsid w:val="0CC9374C"/>
    <w:rsid w:val="0D0F43A7"/>
    <w:rsid w:val="0D362393"/>
    <w:rsid w:val="0D3D27B9"/>
    <w:rsid w:val="0D976274"/>
    <w:rsid w:val="0DE22AE9"/>
    <w:rsid w:val="0DF26CD2"/>
    <w:rsid w:val="0E58411F"/>
    <w:rsid w:val="0E715FEC"/>
    <w:rsid w:val="0E7A5B16"/>
    <w:rsid w:val="0EA325B7"/>
    <w:rsid w:val="0EAA7742"/>
    <w:rsid w:val="0EC31BBD"/>
    <w:rsid w:val="0EDE00E9"/>
    <w:rsid w:val="0EF279EF"/>
    <w:rsid w:val="0F612A4F"/>
    <w:rsid w:val="0F7C12BB"/>
    <w:rsid w:val="0F824086"/>
    <w:rsid w:val="0FC401FA"/>
    <w:rsid w:val="0FEB592B"/>
    <w:rsid w:val="0FFF1A9C"/>
    <w:rsid w:val="10021E7B"/>
    <w:rsid w:val="10120F66"/>
    <w:rsid w:val="102173FB"/>
    <w:rsid w:val="1042097B"/>
    <w:rsid w:val="10772B6A"/>
    <w:rsid w:val="108829E0"/>
    <w:rsid w:val="10D327D1"/>
    <w:rsid w:val="10EC17B7"/>
    <w:rsid w:val="10F567CA"/>
    <w:rsid w:val="10F61F8D"/>
    <w:rsid w:val="110513E7"/>
    <w:rsid w:val="110E357C"/>
    <w:rsid w:val="11113EA3"/>
    <w:rsid w:val="11125B04"/>
    <w:rsid w:val="11154E5A"/>
    <w:rsid w:val="112B7445"/>
    <w:rsid w:val="113C5F0D"/>
    <w:rsid w:val="116577BB"/>
    <w:rsid w:val="118C6962"/>
    <w:rsid w:val="11997A82"/>
    <w:rsid w:val="119A6E16"/>
    <w:rsid w:val="11E959DE"/>
    <w:rsid w:val="123F4E2E"/>
    <w:rsid w:val="1250494A"/>
    <w:rsid w:val="12530A2D"/>
    <w:rsid w:val="12597320"/>
    <w:rsid w:val="127B60E3"/>
    <w:rsid w:val="127D0361"/>
    <w:rsid w:val="12CF3D5F"/>
    <w:rsid w:val="12E051D0"/>
    <w:rsid w:val="12EE6BD1"/>
    <w:rsid w:val="13281DD8"/>
    <w:rsid w:val="1336124D"/>
    <w:rsid w:val="13581385"/>
    <w:rsid w:val="139C34AF"/>
    <w:rsid w:val="13CF157F"/>
    <w:rsid w:val="13F11F07"/>
    <w:rsid w:val="140644EB"/>
    <w:rsid w:val="1424395D"/>
    <w:rsid w:val="144251FE"/>
    <w:rsid w:val="14662711"/>
    <w:rsid w:val="14665D24"/>
    <w:rsid w:val="14A90DBF"/>
    <w:rsid w:val="14D62EA9"/>
    <w:rsid w:val="14FE4E57"/>
    <w:rsid w:val="150A5B57"/>
    <w:rsid w:val="15175270"/>
    <w:rsid w:val="15282FD9"/>
    <w:rsid w:val="152F4620"/>
    <w:rsid w:val="155F768D"/>
    <w:rsid w:val="15724254"/>
    <w:rsid w:val="159931F0"/>
    <w:rsid w:val="15D26DC2"/>
    <w:rsid w:val="15EA3ED5"/>
    <w:rsid w:val="15F97F78"/>
    <w:rsid w:val="16075995"/>
    <w:rsid w:val="16145E46"/>
    <w:rsid w:val="16333555"/>
    <w:rsid w:val="165E1853"/>
    <w:rsid w:val="16786F87"/>
    <w:rsid w:val="16AD3796"/>
    <w:rsid w:val="16D77976"/>
    <w:rsid w:val="16DB6A56"/>
    <w:rsid w:val="16E64EFA"/>
    <w:rsid w:val="172E2F5E"/>
    <w:rsid w:val="1740037B"/>
    <w:rsid w:val="1758223C"/>
    <w:rsid w:val="178C3EC7"/>
    <w:rsid w:val="17B751BC"/>
    <w:rsid w:val="17CE57EA"/>
    <w:rsid w:val="17E21B65"/>
    <w:rsid w:val="17FB2C27"/>
    <w:rsid w:val="18251A52"/>
    <w:rsid w:val="18541363"/>
    <w:rsid w:val="188F35C4"/>
    <w:rsid w:val="18AC5CCF"/>
    <w:rsid w:val="18F8232F"/>
    <w:rsid w:val="1900014C"/>
    <w:rsid w:val="19094ED0"/>
    <w:rsid w:val="1917300C"/>
    <w:rsid w:val="195B181D"/>
    <w:rsid w:val="196D7C2A"/>
    <w:rsid w:val="19A81953"/>
    <w:rsid w:val="19B87A45"/>
    <w:rsid w:val="1A171E5A"/>
    <w:rsid w:val="1A6E76E0"/>
    <w:rsid w:val="1A8750FA"/>
    <w:rsid w:val="1A8E7D82"/>
    <w:rsid w:val="1AD51BFD"/>
    <w:rsid w:val="1AFF1F6C"/>
    <w:rsid w:val="1B341A3A"/>
    <w:rsid w:val="1B46240B"/>
    <w:rsid w:val="1B49012B"/>
    <w:rsid w:val="1B4F08AD"/>
    <w:rsid w:val="1BC6611E"/>
    <w:rsid w:val="1C177197"/>
    <w:rsid w:val="1C713487"/>
    <w:rsid w:val="1C7A0069"/>
    <w:rsid w:val="1C813F72"/>
    <w:rsid w:val="1C8168BA"/>
    <w:rsid w:val="1CCE4796"/>
    <w:rsid w:val="1CEA3142"/>
    <w:rsid w:val="1CEE519C"/>
    <w:rsid w:val="1D0B56BA"/>
    <w:rsid w:val="1D1237F2"/>
    <w:rsid w:val="1D1F19D7"/>
    <w:rsid w:val="1D4705C4"/>
    <w:rsid w:val="1D8B05A9"/>
    <w:rsid w:val="1DA94E7E"/>
    <w:rsid w:val="1DD41AB8"/>
    <w:rsid w:val="1DFE0D7B"/>
    <w:rsid w:val="1E0968DC"/>
    <w:rsid w:val="1E1E4F79"/>
    <w:rsid w:val="1E540750"/>
    <w:rsid w:val="1E914DF3"/>
    <w:rsid w:val="1EB53BF0"/>
    <w:rsid w:val="1EB63CDA"/>
    <w:rsid w:val="1EBC6388"/>
    <w:rsid w:val="1ED225EB"/>
    <w:rsid w:val="1F4275B2"/>
    <w:rsid w:val="1F8E2D43"/>
    <w:rsid w:val="1FC03AE4"/>
    <w:rsid w:val="1FCD6C57"/>
    <w:rsid w:val="1FF50CC5"/>
    <w:rsid w:val="200E16E4"/>
    <w:rsid w:val="201A4E63"/>
    <w:rsid w:val="201B2FE0"/>
    <w:rsid w:val="2031368A"/>
    <w:rsid w:val="203647FC"/>
    <w:rsid w:val="20495DA5"/>
    <w:rsid w:val="20561B6F"/>
    <w:rsid w:val="206B2562"/>
    <w:rsid w:val="209824ED"/>
    <w:rsid w:val="20CE3F85"/>
    <w:rsid w:val="21130FE1"/>
    <w:rsid w:val="21162880"/>
    <w:rsid w:val="212B528A"/>
    <w:rsid w:val="213D7398"/>
    <w:rsid w:val="21686BBE"/>
    <w:rsid w:val="217575A6"/>
    <w:rsid w:val="21BB384B"/>
    <w:rsid w:val="22065FD4"/>
    <w:rsid w:val="22123FE6"/>
    <w:rsid w:val="22274D44"/>
    <w:rsid w:val="2253786F"/>
    <w:rsid w:val="226D2946"/>
    <w:rsid w:val="228A3843"/>
    <w:rsid w:val="22B365D8"/>
    <w:rsid w:val="22CD4F54"/>
    <w:rsid w:val="22DC4EC9"/>
    <w:rsid w:val="22E845A7"/>
    <w:rsid w:val="22F80D5A"/>
    <w:rsid w:val="231A71B0"/>
    <w:rsid w:val="232344FB"/>
    <w:rsid w:val="23287F3A"/>
    <w:rsid w:val="23406828"/>
    <w:rsid w:val="23C964BC"/>
    <w:rsid w:val="2408383A"/>
    <w:rsid w:val="244E3DB7"/>
    <w:rsid w:val="244F0582"/>
    <w:rsid w:val="24637B8A"/>
    <w:rsid w:val="249620A7"/>
    <w:rsid w:val="24B47998"/>
    <w:rsid w:val="24B86128"/>
    <w:rsid w:val="24C74575"/>
    <w:rsid w:val="24E457F9"/>
    <w:rsid w:val="24EA0ECD"/>
    <w:rsid w:val="251040A4"/>
    <w:rsid w:val="25186BC6"/>
    <w:rsid w:val="253F05F7"/>
    <w:rsid w:val="25985F09"/>
    <w:rsid w:val="25BB0040"/>
    <w:rsid w:val="25BC39F6"/>
    <w:rsid w:val="25CD79B1"/>
    <w:rsid w:val="25D845A8"/>
    <w:rsid w:val="25F94A58"/>
    <w:rsid w:val="260F1D95"/>
    <w:rsid w:val="26587EA9"/>
    <w:rsid w:val="267546BB"/>
    <w:rsid w:val="267569BF"/>
    <w:rsid w:val="269009DE"/>
    <w:rsid w:val="26940B42"/>
    <w:rsid w:val="26975243"/>
    <w:rsid w:val="26BC71FD"/>
    <w:rsid w:val="26C7251D"/>
    <w:rsid w:val="26E431C8"/>
    <w:rsid w:val="27206206"/>
    <w:rsid w:val="272B0047"/>
    <w:rsid w:val="273D0B66"/>
    <w:rsid w:val="274A5031"/>
    <w:rsid w:val="27581EE6"/>
    <w:rsid w:val="27BD58CB"/>
    <w:rsid w:val="27C13545"/>
    <w:rsid w:val="27DE53A6"/>
    <w:rsid w:val="27F4723C"/>
    <w:rsid w:val="282027E0"/>
    <w:rsid w:val="282E45BA"/>
    <w:rsid w:val="286E522A"/>
    <w:rsid w:val="286F61DD"/>
    <w:rsid w:val="28B22E8E"/>
    <w:rsid w:val="28FE70B8"/>
    <w:rsid w:val="29273941"/>
    <w:rsid w:val="297337F7"/>
    <w:rsid w:val="29C60C37"/>
    <w:rsid w:val="29C70AA4"/>
    <w:rsid w:val="29DA5BB3"/>
    <w:rsid w:val="29EE439A"/>
    <w:rsid w:val="2A0E67EA"/>
    <w:rsid w:val="2A1B12BF"/>
    <w:rsid w:val="2A376D63"/>
    <w:rsid w:val="2A3D0E7D"/>
    <w:rsid w:val="2A5A1A2F"/>
    <w:rsid w:val="2A720B27"/>
    <w:rsid w:val="2A89150D"/>
    <w:rsid w:val="2A8E416D"/>
    <w:rsid w:val="2B2D41AC"/>
    <w:rsid w:val="2B414D1F"/>
    <w:rsid w:val="2B621EB2"/>
    <w:rsid w:val="2B66773A"/>
    <w:rsid w:val="2B757CD7"/>
    <w:rsid w:val="2B760DE5"/>
    <w:rsid w:val="2B7A3E34"/>
    <w:rsid w:val="2B7D5189"/>
    <w:rsid w:val="2B824D9A"/>
    <w:rsid w:val="2BAC0068"/>
    <w:rsid w:val="2BCE423C"/>
    <w:rsid w:val="2BED28C7"/>
    <w:rsid w:val="2BF74C87"/>
    <w:rsid w:val="2C212804"/>
    <w:rsid w:val="2C242F1B"/>
    <w:rsid w:val="2C586B55"/>
    <w:rsid w:val="2CAC2729"/>
    <w:rsid w:val="2CB21DC1"/>
    <w:rsid w:val="2CBA79C0"/>
    <w:rsid w:val="2CD800A0"/>
    <w:rsid w:val="2CF15C36"/>
    <w:rsid w:val="2D3B281A"/>
    <w:rsid w:val="2D8F7C42"/>
    <w:rsid w:val="2D921C77"/>
    <w:rsid w:val="2DC64E2B"/>
    <w:rsid w:val="2DE07C52"/>
    <w:rsid w:val="2DEA79A1"/>
    <w:rsid w:val="2E102D16"/>
    <w:rsid w:val="2E247AFC"/>
    <w:rsid w:val="2E57163E"/>
    <w:rsid w:val="2E5C0106"/>
    <w:rsid w:val="2E8B0D06"/>
    <w:rsid w:val="2EA65F06"/>
    <w:rsid w:val="2EA665DD"/>
    <w:rsid w:val="2EB73972"/>
    <w:rsid w:val="2EDD7DAC"/>
    <w:rsid w:val="2EDF0755"/>
    <w:rsid w:val="2EE432DD"/>
    <w:rsid w:val="2EE47B19"/>
    <w:rsid w:val="2EED2E72"/>
    <w:rsid w:val="2F1B199C"/>
    <w:rsid w:val="2F62237E"/>
    <w:rsid w:val="2F8127B9"/>
    <w:rsid w:val="2F8C4439"/>
    <w:rsid w:val="2FA06136"/>
    <w:rsid w:val="2FA6164C"/>
    <w:rsid w:val="2FE415EE"/>
    <w:rsid w:val="2FEF33EF"/>
    <w:rsid w:val="2FFD0510"/>
    <w:rsid w:val="30122F2A"/>
    <w:rsid w:val="303C48F0"/>
    <w:rsid w:val="303F3654"/>
    <w:rsid w:val="30516C47"/>
    <w:rsid w:val="30607673"/>
    <w:rsid w:val="309D2676"/>
    <w:rsid w:val="30B26121"/>
    <w:rsid w:val="30E8664A"/>
    <w:rsid w:val="312F7772"/>
    <w:rsid w:val="318D3FEB"/>
    <w:rsid w:val="318F27BC"/>
    <w:rsid w:val="31BD2665"/>
    <w:rsid w:val="31F21C94"/>
    <w:rsid w:val="31F761BC"/>
    <w:rsid w:val="31FC3863"/>
    <w:rsid w:val="32187659"/>
    <w:rsid w:val="32295875"/>
    <w:rsid w:val="3236171C"/>
    <w:rsid w:val="32553E99"/>
    <w:rsid w:val="325A00D3"/>
    <w:rsid w:val="32920869"/>
    <w:rsid w:val="32A816FE"/>
    <w:rsid w:val="32D1724A"/>
    <w:rsid w:val="32DB5A88"/>
    <w:rsid w:val="33454F26"/>
    <w:rsid w:val="334F46D5"/>
    <w:rsid w:val="335B366F"/>
    <w:rsid w:val="336F654B"/>
    <w:rsid w:val="33946095"/>
    <w:rsid w:val="33B359CC"/>
    <w:rsid w:val="33BC1065"/>
    <w:rsid w:val="33C323F3"/>
    <w:rsid w:val="33E42ACA"/>
    <w:rsid w:val="34064F40"/>
    <w:rsid w:val="340E7F4B"/>
    <w:rsid w:val="341151CD"/>
    <w:rsid w:val="34405BEE"/>
    <w:rsid w:val="347656B7"/>
    <w:rsid w:val="348C5D16"/>
    <w:rsid w:val="349E5D0F"/>
    <w:rsid w:val="34A911AB"/>
    <w:rsid w:val="34C55DA0"/>
    <w:rsid w:val="350E61A6"/>
    <w:rsid w:val="35372BD4"/>
    <w:rsid w:val="35423150"/>
    <w:rsid w:val="354E655F"/>
    <w:rsid w:val="35B922A5"/>
    <w:rsid w:val="35F43E19"/>
    <w:rsid w:val="360239C7"/>
    <w:rsid w:val="360A6366"/>
    <w:rsid w:val="361B7B00"/>
    <w:rsid w:val="36451395"/>
    <w:rsid w:val="365D78FB"/>
    <w:rsid w:val="366605C1"/>
    <w:rsid w:val="367F4CF7"/>
    <w:rsid w:val="36962041"/>
    <w:rsid w:val="36A02B30"/>
    <w:rsid w:val="36BF3346"/>
    <w:rsid w:val="36F974DE"/>
    <w:rsid w:val="370C7BFF"/>
    <w:rsid w:val="370E7E29"/>
    <w:rsid w:val="372C7DD0"/>
    <w:rsid w:val="373A3202"/>
    <w:rsid w:val="374C4D4B"/>
    <w:rsid w:val="37615982"/>
    <w:rsid w:val="37734CD2"/>
    <w:rsid w:val="37C329C2"/>
    <w:rsid w:val="37D51319"/>
    <w:rsid w:val="37EF40EA"/>
    <w:rsid w:val="38225C9E"/>
    <w:rsid w:val="38496A82"/>
    <w:rsid w:val="385702D0"/>
    <w:rsid w:val="38574285"/>
    <w:rsid w:val="385D4BAC"/>
    <w:rsid w:val="38855EC9"/>
    <w:rsid w:val="388F0AF6"/>
    <w:rsid w:val="38AE6FEF"/>
    <w:rsid w:val="38C07D7F"/>
    <w:rsid w:val="38E440AC"/>
    <w:rsid w:val="38EF393D"/>
    <w:rsid w:val="39292CF8"/>
    <w:rsid w:val="395C434A"/>
    <w:rsid w:val="397D4DF2"/>
    <w:rsid w:val="39923BDA"/>
    <w:rsid w:val="39A13D2D"/>
    <w:rsid w:val="39B32F0A"/>
    <w:rsid w:val="39E6508D"/>
    <w:rsid w:val="39F350B4"/>
    <w:rsid w:val="39F57D0A"/>
    <w:rsid w:val="3A192D6D"/>
    <w:rsid w:val="3A1C285D"/>
    <w:rsid w:val="3A1E18BA"/>
    <w:rsid w:val="3A1F63D6"/>
    <w:rsid w:val="3A4B6C9E"/>
    <w:rsid w:val="3A7F6446"/>
    <w:rsid w:val="3A873428"/>
    <w:rsid w:val="3ADB14EF"/>
    <w:rsid w:val="3AE710BD"/>
    <w:rsid w:val="3AE81301"/>
    <w:rsid w:val="3B5F1F95"/>
    <w:rsid w:val="3B616DBD"/>
    <w:rsid w:val="3B9B172A"/>
    <w:rsid w:val="3C0756F4"/>
    <w:rsid w:val="3C142225"/>
    <w:rsid w:val="3C1F3773"/>
    <w:rsid w:val="3C52079F"/>
    <w:rsid w:val="3C855D19"/>
    <w:rsid w:val="3CA86EC5"/>
    <w:rsid w:val="3CCD7E3F"/>
    <w:rsid w:val="3CCF3342"/>
    <w:rsid w:val="3CD41F3D"/>
    <w:rsid w:val="3CD70CBD"/>
    <w:rsid w:val="3CDF3A14"/>
    <w:rsid w:val="3D0E2072"/>
    <w:rsid w:val="3D227181"/>
    <w:rsid w:val="3D371E6A"/>
    <w:rsid w:val="3D41689F"/>
    <w:rsid w:val="3D8F6B7B"/>
    <w:rsid w:val="3DA52423"/>
    <w:rsid w:val="3DC60D3C"/>
    <w:rsid w:val="3DD65CA8"/>
    <w:rsid w:val="3E83486D"/>
    <w:rsid w:val="3E8B6370"/>
    <w:rsid w:val="3E8D7A4F"/>
    <w:rsid w:val="3E987A56"/>
    <w:rsid w:val="3EC7071B"/>
    <w:rsid w:val="3ED951C1"/>
    <w:rsid w:val="3EEF0218"/>
    <w:rsid w:val="3F4D41FF"/>
    <w:rsid w:val="3F921E02"/>
    <w:rsid w:val="3FAD37B6"/>
    <w:rsid w:val="4012098A"/>
    <w:rsid w:val="40162936"/>
    <w:rsid w:val="4029295D"/>
    <w:rsid w:val="402E069C"/>
    <w:rsid w:val="403830E9"/>
    <w:rsid w:val="40451E33"/>
    <w:rsid w:val="40550E58"/>
    <w:rsid w:val="40742CC1"/>
    <w:rsid w:val="40992CA3"/>
    <w:rsid w:val="40B563F6"/>
    <w:rsid w:val="40C5500A"/>
    <w:rsid w:val="40EC5813"/>
    <w:rsid w:val="41012363"/>
    <w:rsid w:val="41601281"/>
    <w:rsid w:val="417C4AC2"/>
    <w:rsid w:val="41833210"/>
    <w:rsid w:val="41A82F85"/>
    <w:rsid w:val="41D614EA"/>
    <w:rsid w:val="41D8350E"/>
    <w:rsid w:val="42030652"/>
    <w:rsid w:val="427A45C5"/>
    <w:rsid w:val="428F782D"/>
    <w:rsid w:val="42903DE8"/>
    <w:rsid w:val="42B0448A"/>
    <w:rsid w:val="4320516C"/>
    <w:rsid w:val="437C1A49"/>
    <w:rsid w:val="438F7409"/>
    <w:rsid w:val="439E0787"/>
    <w:rsid w:val="43BB77BF"/>
    <w:rsid w:val="43CF0E94"/>
    <w:rsid w:val="440E10EE"/>
    <w:rsid w:val="44543E67"/>
    <w:rsid w:val="44612772"/>
    <w:rsid w:val="44764A07"/>
    <w:rsid w:val="44B00772"/>
    <w:rsid w:val="44B20BEC"/>
    <w:rsid w:val="44CD4E80"/>
    <w:rsid w:val="44DA0E16"/>
    <w:rsid w:val="44E610DE"/>
    <w:rsid w:val="44ED3784"/>
    <w:rsid w:val="45230F44"/>
    <w:rsid w:val="45256B84"/>
    <w:rsid w:val="453C2005"/>
    <w:rsid w:val="45465695"/>
    <w:rsid w:val="456504A4"/>
    <w:rsid w:val="456A4DC4"/>
    <w:rsid w:val="45902AEF"/>
    <w:rsid w:val="45A42AC7"/>
    <w:rsid w:val="45B44292"/>
    <w:rsid w:val="45BA09E3"/>
    <w:rsid w:val="462705C0"/>
    <w:rsid w:val="4665733A"/>
    <w:rsid w:val="46743C3C"/>
    <w:rsid w:val="46804174"/>
    <w:rsid w:val="469F0A9E"/>
    <w:rsid w:val="46D85967"/>
    <w:rsid w:val="47180782"/>
    <w:rsid w:val="475A6ADE"/>
    <w:rsid w:val="476D399F"/>
    <w:rsid w:val="478B4321"/>
    <w:rsid w:val="47975C19"/>
    <w:rsid w:val="479F6521"/>
    <w:rsid w:val="47E0311C"/>
    <w:rsid w:val="47F25B59"/>
    <w:rsid w:val="47FD6DC2"/>
    <w:rsid w:val="48250F30"/>
    <w:rsid w:val="483903AF"/>
    <w:rsid w:val="48422CAA"/>
    <w:rsid w:val="4847124E"/>
    <w:rsid w:val="48541414"/>
    <w:rsid w:val="4868199E"/>
    <w:rsid w:val="486E697A"/>
    <w:rsid w:val="486F4E9C"/>
    <w:rsid w:val="48BF30E0"/>
    <w:rsid w:val="48DA468B"/>
    <w:rsid w:val="492B07D9"/>
    <w:rsid w:val="493006E1"/>
    <w:rsid w:val="49450C9E"/>
    <w:rsid w:val="49575660"/>
    <w:rsid w:val="496B1DFA"/>
    <w:rsid w:val="49961C68"/>
    <w:rsid w:val="499D22E6"/>
    <w:rsid w:val="49A376C2"/>
    <w:rsid w:val="49B66104"/>
    <w:rsid w:val="49C25D85"/>
    <w:rsid w:val="49F66FDD"/>
    <w:rsid w:val="4A3150A3"/>
    <w:rsid w:val="4AC62004"/>
    <w:rsid w:val="4AD96E94"/>
    <w:rsid w:val="4AE61FD9"/>
    <w:rsid w:val="4B127744"/>
    <w:rsid w:val="4B3F7FAC"/>
    <w:rsid w:val="4B4B6DB8"/>
    <w:rsid w:val="4B520762"/>
    <w:rsid w:val="4B601C24"/>
    <w:rsid w:val="4B686AE1"/>
    <w:rsid w:val="4B8A1D1C"/>
    <w:rsid w:val="4BA97CC9"/>
    <w:rsid w:val="4BB91906"/>
    <w:rsid w:val="4BD809B5"/>
    <w:rsid w:val="4BDE5BC4"/>
    <w:rsid w:val="4BE62CCB"/>
    <w:rsid w:val="4BF22E09"/>
    <w:rsid w:val="4C042857"/>
    <w:rsid w:val="4C0F0C3F"/>
    <w:rsid w:val="4C467BEA"/>
    <w:rsid w:val="4C5E6D05"/>
    <w:rsid w:val="4C9D782D"/>
    <w:rsid w:val="4CC823D1"/>
    <w:rsid w:val="4CF17B79"/>
    <w:rsid w:val="4D01600E"/>
    <w:rsid w:val="4D0B6C76"/>
    <w:rsid w:val="4D13189E"/>
    <w:rsid w:val="4D7C5695"/>
    <w:rsid w:val="4D882EB0"/>
    <w:rsid w:val="4D8C1650"/>
    <w:rsid w:val="4DB43081"/>
    <w:rsid w:val="4DB75986"/>
    <w:rsid w:val="4DC218EE"/>
    <w:rsid w:val="4DE64068"/>
    <w:rsid w:val="4E43450D"/>
    <w:rsid w:val="4E79170A"/>
    <w:rsid w:val="4E7A1651"/>
    <w:rsid w:val="4E8000A5"/>
    <w:rsid w:val="4E822A87"/>
    <w:rsid w:val="4E9C449A"/>
    <w:rsid w:val="4E9C58C3"/>
    <w:rsid w:val="4EEA223F"/>
    <w:rsid w:val="4EFB6A8D"/>
    <w:rsid w:val="4EFE4AF3"/>
    <w:rsid w:val="4F134959"/>
    <w:rsid w:val="4F5A1A06"/>
    <w:rsid w:val="4F5C39D0"/>
    <w:rsid w:val="4F623DCB"/>
    <w:rsid w:val="4F6B3C13"/>
    <w:rsid w:val="4F7B70CD"/>
    <w:rsid w:val="4FF13DCF"/>
    <w:rsid w:val="4FF47E67"/>
    <w:rsid w:val="50401A3C"/>
    <w:rsid w:val="504114E4"/>
    <w:rsid w:val="508A5292"/>
    <w:rsid w:val="50A844FA"/>
    <w:rsid w:val="50AD19D6"/>
    <w:rsid w:val="50DE087E"/>
    <w:rsid w:val="50EF617E"/>
    <w:rsid w:val="51513355"/>
    <w:rsid w:val="515B3B86"/>
    <w:rsid w:val="51613228"/>
    <w:rsid w:val="518F7B31"/>
    <w:rsid w:val="51F608FD"/>
    <w:rsid w:val="51FD5E38"/>
    <w:rsid w:val="52110A39"/>
    <w:rsid w:val="524304D3"/>
    <w:rsid w:val="526B3F2A"/>
    <w:rsid w:val="52721B97"/>
    <w:rsid w:val="5283136F"/>
    <w:rsid w:val="52900B84"/>
    <w:rsid w:val="52A01E26"/>
    <w:rsid w:val="52D93700"/>
    <w:rsid w:val="53034162"/>
    <w:rsid w:val="5357712C"/>
    <w:rsid w:val="5358625C"/>
    <w:rsid w:val="539D5347"/>
    <w:rsid w:val="53A06947"/>
    <w:rsid w:val="53BD34CD"/>
    <w:rsid w:val="53C11F14"/>
    <w:rsid w:val="53C72562"/>
    <w:rsid w:val="53D17DBD"/>
    <w:rsid w:val="54210B62"/>
    <w:rsid w:val="544E5C28"/>
    <w:rsid w:val="548C2844"/>
    <w:rsid w:val="549A58CB"/>
    <w:rsid w:val="54AE21B6"/>
    <w:rsid w:val="54AF5F6C"/>
    <w:rsid w:val="54CB512C"/>
    <w:rsid w:val="54CC087E"/>
    <w:rsid w:val="54DC4CC7"/>
    <w:rsid w:val="54E01D58"/>
    <w:rsid w:val="54EC18C8"/>
    <w:rsid w:val="55012BAD"/>
    <w:rsid w:val="552C2EB9"/>
    <w:rsid w:val="553958FB"/>
    <w:rsid w:val="553B3EF1"/>
    <w:rsid w:val="55D3446A"/>
    <w:rsid w:val="55D83684"/>
    <w:rsid w:val="56452470"/>
    <w:rsid w:val="56811F6E"/>
    <w:rsid w:val="56874ECE"/>
    <w:rsid w:val="569A0FA7"/>
    <w:rsid w:val="56AD0C0E"/>
    <w:rsid w:val="56B0067D"/>
    <w:rsid w:val="56C72D4C"/>
    <w:rsid w:val="56D21B7B"/>
    <w:rsid w:val="56D6445E"/>
    <w:rsid w:val="56ED4119"/>
    <w:rsid w:val="56F1653F"/>
    <w:rsid w:val="56F5630E"/>
    <w:rsid w:val="57527AF4"/>
    <w:rsid w:val="57744C6A"/>
    <w:rsid w:val="5777143B"/>
    <w:rsid w:val="579C4BC4"/>
    <w:rsid w:val="57A001D2"/>
    <w:rsid w:val="57BC2B32"/>
    <w:rsid w:val="57C06757"/>
    <w:rsid w:val="57E41C6A"/>
    <w:rsid w:val="580C03E7"/>
    <w:rsid w:val="58143A44"/>
    <w:rsid w:val="58477D46"/>
    <w:rsid w:val="584B5935"/>
    <w:rsid w:val="58505993"/>
    <w:rsid w:val="58DF56AC"/>
    <w:rsid w:val="59132A2F"/>
    <w:rsid w:val="5934586C"/>
    <w:rsid w:val="595B0854"/>
    <w:rsid w:val="595C407C"/>
    <w:rsid w:val="59642F62"/>
    <w:rsid w:val="598607D3"/>
    <w:rsid w:val="59BF16A6"/>
    <w:rsid w:val="59D10B16"/>
    <w:rsid w:val="59EC2F64"/>
    <w:rsid w:val="5A382944"/>
    <w:rsid w:val="5A533C21"/>
    <w:rsid w:val="5A582FC0"/>
    <w:rsid w:val="5A7B06D5"/>
    <w:rsid w:val="5A7E2423"/>
    <w:rsid w:val="5A7E3159"/>
    <w:rsid w:val="5AA1794D"/>
    <w:rsid w:val="5AA4447D"/>
    <w:rsid w:val="5AE90D94"/>
    <w:rsid w:val="5AEE56F8"/>
    <w:rsid w:val="5AFC6067"/>
    <w:rsid w:val="5B1D4E5A"/>
    <w:rsid w:val="5B2B144F"/>
    <w:rsid w:val="5B3C665E"/>
    <w:rsid w:val="5B567901"/>
    <w:rsid w:val="5B5F47F0"/>
    <w:rsid w:val="5B7200D7"/>
    <w:rsid w:val="5BAB5397"/>
    <w:rsid w:val="5BAF6C35"/>
    <w:rsid w:val="5C166CB5"/>
    <w:rsid w:val="5C174686"/>
    <w:rsid w:val="5CAF2525"/>
    <w:rsid w:val="5CD770DF"/>
    <w:rsid w:val="5CF01C3E"/>
    <w:rsid w:val="5D03234C"/>
    <w:rsid w:val="5D3120A8"/>
    <w:rsid w:val="5D485612"/>
    <w:rsid w:val="5D573A29"/>
    <w:rsid w:val="5D675A7A"/>
    <w:rsid w:val="5D79574D"/>
    <w:rsid w:val="5D8676DF"/>
    <w:rsid w:val="5D8879A8"/>
    <w:rsid w:val="5D9A50C1"/>
    <w:rsid w:val="5DBB12FC"/>
    <w:rsid w:val="5DBD6114"/>
    <w:rsid w:val="5DC129C0"/>
    <w:rsid w:val="5DCD3CEB"/>
    <w:rsid w:val="5DEE7C26"/>
    <w:rsid w:val="5E665D95"/>
    <w:rsid w:val="5E954808"/>
    <w:rsid w:val="5F30276C"/>
    <w:rsid w:val="5F6940CF"/>
    <w:rsid w:val="5FEC7DCB"/>
    <w:rsid w:val="5FF05A6E"/>
    <w:rsid w:val="60181F47"/>
    <w:rsid w:val="604C0C01"/>
    <w:rsid w:val="60853D99"/>
    <w:rsid w:val="60DB671F"/>
    <w:rsid w:val="614618E9"/>
    <w:rsid w:val="61684063"/>
    <w:rsid w:val="617B2468"/>
    <w:rsid w:val="61831F46"/>
    <w:rsid w:val="61BB1C26"/>
    <w:rsid w:val="61C55405"/>
    <w:rsid w:val="61EE64CF"/>
    <w:rsid w:val="61F8366F"/>
    <w:rsid w:val="62021F79"/>
    <w:rsid w:val="620B7376"/>
    <w:rsid w:val="623228BC"/>
    <w:rsid w:val="626E0663"/>
    <w:rsid w:val="631A03C3"/>
    <w:rsid w:val="633167EB"/>
    <w:rsid w:val="6332103C"/>
    <w:rsid w:val="635525E3"/>
    <w:rsid w:val="637E566E"/>
    <w:rsid w:val="639C2195"/>
    <w:rsid w:val="63A15CD3"/>
    <w:rsid w:val="63B86140"/>
    <w:rsid w:val="63CE2A65"/>
    <w:rsid w:val="63F8233D"/>
    <w:rsid w:val="64216B3E"/>
    <w:rsid w:val="64485FB7"/>
    <w:rsid w:val="649B3555"/>
    <w:rsid w:val="64B0540F"/>
    <w:rsid w:val="64C2619E"/>
    <w:rsid w:val="64C71494"/>
    <w:rsid w:val="64F10EEE"/>
    <w:rsid w:val="651D1817"/>
    <w:rsid w:val="65474383"/>
    <w:rsid w:val="655D5954"/>
    <w:rsid w:val="657038D9"/>
    <w:rsid w:val="65A23C68"/>
    <w:rsid w:val="65AB66C0"/>
    <w:rsid w:val="65D01964"/>
    <w:rsid w:val="65E843B6"/>
    <w:rsid w:val="669F2FFF"/>
    <w:rsid w:val="66A9664D"/>
    <w:rsid w:val="66C9448E"/>
    <w:rsid w:val="66C947F9"/>
    <w:rsid w:val="67002A3B"/>
    <w:rsid w:val="670727AF"/>
    <w:rsid w:val="6751773B"/>
    <w:rsid w:val="67564D51"/>
    <w:rsid w:val="67613334"/>
    <w:rsid w:val="67931B01"/>
    <w:rsid w:val="67BA41C2"/>
    <w:rsid w:val="67CF5490"/>
    <w:rsid w:val="67D61342"/>
    <w:rsid w:val="68133F3A"/>
    <w:rsid w:val="683C5CF5"/>
    <w:rsid w:val="684A266D"/>
    <w:rsid w:val="684B418A"/>
    <w:rsid w:val="6857680D"/>
    <w:rsid w:val="685D220F"/>
    <w:rsid w:val="686314D3"/>
    <w:rsid w:val="68905759"/>
    <w:rsid w:val="68E95D7A"/>
    <w:rsid w:val="68EC771B"/>
    <w:rsid w:val="68FB462F"/>
    <w:rsid w:val="69176D63"/>
    <w:rsid w:val="69356DD6"/>
    <w:rsid w:val="6944124C"/>
    <w:rsid w:val="694F2375"/>
    <w:rsid w:val="696A0AF9"/>
    <w:rsid w:val="6987635C"/>
    <w:rsid w:val="69A2602B"/>
    <w:rsid w:val="69A27DD9"/>
    <w:rsid w:val="69B42AF7"/>
    <w:rsid w:val="69BA3375"/>
    <w:rsid w:val="69D61E6F"/>
    <w:rsid w:val="69DB1359"/>
    <w:rsid w:val="69DD505A"/>
    <w:rsid w:val="6A006232"/>
    <w:rsid w:val="6A1E63EA"/>
    <w:rsid w:val="6A3B7A6E"/>
    <w:rsid w:val="6A8C4F9C"/>
    <w:rsid w:val="6A99742E"/>
    <w:rsid w:val="6AA13AA0"/>
    <w:rsid w:val="6AB4471D"/>
    <w:rsid w:val="6AC63F9C"/>
    <w:rsid w:val="6AD94CA4"/>
    <w:rsid w:val="6AE56CAB"/>
    <w:rsid w:val="6B1559A0"/>
    <w:rsid w:val="6B1C1E71"/>
    <w:rsid w:val="6B2748BC"/>
    <w:rsid w:val="6B36131B"/>
    <w:rsid w:val="6B3E56F7"/>
    <w:rsid w:val="6B497E8D"/>
    <w:rsid w:val="6B8B2339"/>
    <w:rsid w:val="6B8F795F"/>
    <w:rsid w:val="6B96571C"/>
    <w:rsid w:val="6BCD599D"/>
    <w:rsid w:val="6BD811CA"/>
    <w:rsid w:val="6BED708B"/>
    <w:rsid w:val="6C0C1E82"/>
    <w:rsid w:val="6C165A98"/>
    <w:rsid w:val="6C203438"/>
    <w:rsid w:val="6C4D099A"/>
    <w:rsid w:val="6C5630FD"/>
    <w:rsid w:val="6C676F10"/>
    <w:rsid w:val="6C6955FA"/>
    <w:rsid w:val="6C747658"/>
    <w:rsid w:val="6C7672FB"/>
    <w:rsid w:val="6D0937CA"/>
    <w:rsid w:val="6D097356"/>
    <w:rsid w:val="6D0E5A6D"/>
    <w:rsid w:val="6D10143F"/>
    <w:rsid w:val="6D2565B7"/>
    <w:rsid w:val="6D2C6D8E"/>
    <w:rsid w:val="6DAE7C8E"/>
    <w:rsid w:val="6DBE1D10"/>
    <w:rsid w:val="6E2A6BC7"/>
    <w:rsid w:val="6E4B429A"/>
    <w:rsid w:val="6E752692"/>
    <w:rsid w:val="6E8A7499"/>
    <w:rsid w:val="6EA63716"/>
    <w:rsid w:val="6ED554AF"/>
    <w:rsid w:val="6F26575E"/>
    <w:rsid w:val="6F714959"/>
    <w:rsid w:val="6F7A6309"/>
    <w:rsid w:val="6FAC7C04"/>
    <w:rsid w:val="6FB10C62"/>
    <w:rsid w:val="70160B5B"/>
    <w:rsid w:val="708C1AEB"/>
    <w:rsid w:val="70A00D30"/>
    <w:rsid w:val="70E64A50"/>
    <w:rsid w:val="70EC054B"/>
    <w:rsid w:val="70F43EAF"/>
    <w:rsid w:val="70FF1FCB"/>
    <w:rsid w:val="71172DDB"/>
    <w:rsid w:val="711D243B"/>
    <w:rsid w:val="7150636D"/>
    <w:rsid w:val="71724535"/>
    <w:rsid w:val="7193583E"/>
    <w:rsid w:val="71B21877"/>
    <w:rsid w:val="71B47211"/>
    <w:rsid w:val="71B50A2A"/>
    <w:rsid w:val="721844BF"/>
    <w:rsid w:val="722C57B5"/>
    <w:rsid w:val="724D11E7"/>
    <w:rsid w:val="7260565A"/>
    <w:rsid w:val="726A2AAA"/>
    <w:rsid w:val="727552DD"/>
    <w:rsid w:val="72A852AD"/>
    <w:rsid w:val="72BC0FF9"/>
    <w:rsid w:val="72C753C1"/>
    <w:rsid w:val="72F33520"/>
    <w:rsid w:val="730438B3"/>
    <w:rsid w:val="73387434"/>
    <w:rsid w:val="735D2FC3"/>
    <w:rsid w:val="7366631C"/>
    <w:rsid w:val="73740A39"/>
    <w:rsid w:val="739244BD"/>
    <w:rsid w:val="739C3AEB"/>
    <w:rsid w:val="73AA6A27"/>
    <w:rsid w:val="73C66498"/>
    <w:rsid w:val="73E84D22"/>
    <w:rsid w:val="741B7106"/>
    <w:rsid w:val="743261FE"/>
    <w:rsid w:val="74474A79"/>
    <w:rsid w:val="747F1F3D"/>
    <w:rsid w:val="74AC0853"/>
    <w:rsid w:val="74D215AB"/>
    <w:rsid w:val="74F51562"/>
    <w:rsid w:val="75624B17"/>
    <w:rsid w:val="75846F2D"/>
    <w:rsid w:val="75A6706E"/>
    <w:rsid w:val="75E74022"/>
    <w:rsid w:val="761158B3"/>
    <w:rsid w:val="765C6FAE"/>
    <w:rsid w:val="767C66EB"/>
    <w:rsid w:val="76896314"/>
    <w:rsid w:val="76935754"/>
    <w:rsid w:val="769833A1"/>
    <w:rsid w:val="76B102F1"/>
    <w:rsid w:val="76BB697E"/>
    <w:rsid w:val="76EA11A0"/>
    <w:rsid w:val="76F473A7"/>
    <w:rsid w:val="76F854DD"/>
    <w:rsid w:val="770A1186"/>
    <w:rsid w:val="771146FB"/>
    <w:rsid w:val="773A5AF5"/>
    <w:rsid w:val="77571D39"/>
    <w:rsid w:val="775D4DFF"/>
    <w:rsid w:val="778B64A9"/>
    <w:rsid w:val="778D20C9"/>
    <w:rsid w:val="77962ADB"/>
    <w:rsid w:val="77E31CE9"/>
    <w:rsid w:val="78010510"/>
    <w:rsid w:val="780659D7"/>
    <w:rsid w:val="780764A7"/>
    <w:rsid w:val="78106856"/>
    <w:rsid w:val="781E0F73"/>
    <w:rsid w:val="781E43EA"/>
    <w:rsid w:val="78283BA0"/>
    <w:rsid w:val="7836450F"/>
    <w:rsid w:val="78670B6C"/>
    <w:rsid w:val="78705D77"/>
    <w:rsid w:val="789D175D"/>
    <w:rsid w:val="78A3431D"/>
    <w:rsid w:val="78FD327E"/>
    <w:rsid w:val="790B328D"/>
    <w:rsid w:val="791668EE"/>
    <w:rsid w:val="79C90971"/>
    <w:rsid w:val="79D94D0C"/>
    <w:rsid w:val="79E24E87"/>
    <w:rsid w:val="79E9735F"/>
    <w:rsid w:val="79F80631"/>
    <w:rsid w:val="7A031D70"/>
    <w:rsid w:val="7A3631F4"/>
    <w:rsid w:val="7A68361F"/>
    <w:rsid w:val="7A703241"/>
    <w:rsid w:val="7A877B5A"/>
    <w:rsid w:val="7A8A01C7"/>
    <w:rsid w:val="7AB52845"/>
    <w:rsid w:val="7ABC5A81"/>
    <w:rsid w:val="7AF02294"/>
    <w:rsid w:val="7B3B1E3C"/>
    <w:rsid w:val="7B473A70"/>
    <w:rsid w:val="7B51340D"/>
    <w:rsid w:val="7B9A085A"/>
    <w:rsid w:val="7BCD4E47"/>
    <w:rsid w:val="7C150A6C"/>
    <w:rsid w:val="7C232FFC"/>
    <w:rsid w:val="7C386313"/>
    <w:rsid w:val="7C75312C"/>
    <w:rsid w:val="7C7F7CCE"/>
    <w:rsid w:val="7CC85951"/>
    <w:rsid w:val="7CCA6444"/>
    <w:rsid w:val="7CDF1FDB"/>
    <w:rsid w:val="7CE303AF"/>
    <w:rsid w:val="7D147D66"/>
    <w:rsid w:val="7D3354C1"/>
    <w:rsid w:val="7D5E0186"/>
    <w:rsid w:val="7D8C736B"/>
    <w:rsid w:val="7DC600E3"/>
    <w:rsid w:val="7DEB7B49"/>
    <w:rsid w:val="7E1D52A3"/>
    <w:rsid w:val="7E2551F6"/>
    <w:rsid w:val="7E3E57EB"/>
    <w:rsid w:val="7ED24865"/>
    <w:rsid w:val="7EF93831"/>
    <w:rsid w:val="7F5F41B0"/>
    <w:rsid w:val="7F823FAA"/>
    <w:rsid w:val="7F962C23"/>
    <w:rsid w:val="7FA6330E"/>
    <w:rsid w:val="7FAD2BB4"/>
    <w:rsid w:val="7FBE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character" w:styleId="8">
    <w:name w:val="Hyperlink"/>
    <w:basedOn w:val="7"/>
    <w:qFormat/>
    <w:uiPriority w:val="0"/>
    <w:rPr>
      <w:color w:val="0000FF"/>
      <w:u w:val="single"/>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3167</Words>
  <Characters>5017</Characters>
  <Lines>0</Lines>
  <Paragraphs>0</Paragraphs>
  <TotalTime>2</TotalTime>
  <ScaleCrop>false</ScaleCrop>
  <LinksUpToDate>false</LinksUpToDate>
  <CharactersWithSpaces>5293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2025-01-26T02:34:00Z</dcterms:created>
  <dc:creator>13652</dc:creator>
  <cp:lastModifiedBy>zzr</cp:lastModifiedBy>
  <dcterms:modified xsi:type="dcterms:W3CDTF">2025-08-10T11:21:06Z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95F89199DAA246DDB8C6FACFD10A32CA_12</vt:lpwstr>
  </property>
  <property fmtid="{D5CDD505-2E9C-101B-9397-08002B2CF9AE}" pid="4" name="KSOTemplateDocerSaveRecord">
    <vt:lpwstr>eyJoZGlkIjoiNjU0YzRlNzViNDFhZTc5ZDliMDQzMzM1OWMzODY4NDMiLCJ1c2VySWQiOiI0MDExNjI4NjkifQ==</vt:lpwstr>
  </property>
</Properties>
</file>