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jc w:val="left"/>
      </w:pPr>
      <w:r>
        <w:rPr>
          <w:color w:val="000000"/>
        </w:rPr>
        <w:t>公共服务内容策划编导生涯发展报告</w:t>
      </w:r>
    </w:p>
    <w:p>
      <w:pPr>
        <w:pStyle w:val="SimulationNote"/>
        <w:jc w:val="left"/>
      </w:pPr>
      <w:r>
        <w:rPr>
          <w:color w:val="525252"/>
        </w:rPr>
        <w:t>成长赛道虚构选手示范稿  所有个人经历与项目数据均为模拟  不可仅改姓名后提交</w:t>
      </w:r>
    </w:p>
    <w:p>
      <w:pPr>
        <w:widowControl/>
        <w:ind w:firstLine="397"/>
        <w:jc w:val="both"/>
      </w:pPr>
      <w:r>
        <w:t>我是一名新媒体专业大二学生，目标是成为市级融媒体机构的青年就业公共服务内容策划编导。最初，我做视频只想着把风险讲得醒目；一位同学看完后问我“到底去哪里核实招聘信息”，让我开始重新理解内容的价值。</w:t>
      </w:r>
    </w:p>
    <w:p>
      <w:pPr>
        <w:pStyle w:val="Heading1"/>
        <w:keepNext/>
      </w:pPr>
      <w:r>
        <w:rPr>
          <w:color w:val="000000"/>
        </w:rPr>
        <w:t>一 职业目标</w:t>
      </w:r>
    </w:p>
    <w:p>
      <w:pPr>
        <w:pStyle w:val="Heading2"/>
        <w:keepNext/>
      </w:pPr>
      <w:r>
        <w:rPr>
          <w:color w:val="000000"/>
        </w:rPr>
        <w:t>一 职业认知</w:t>
      </w:r>
    </w:p>
    <w:p>
      <w:pPr>
        <w:widowControl/>
        <w:ind w:firstLine="397"/>
        <w:jc w:val="both"/>
      </w:pPr>
      <w:r>
        <w:t>青年求职者接触的信息多，却未必知道哪些渠道可信、遇到疑问如何核实。公共服务内容策划编导的工作，不只是写脚本和拍视频，还包括寻找真实问题、查验信息来源、采访相关人员、组织视听表达，并根据使用者的反馈及时修订。准确、易懂、可执行，是这一类内容的基本要求。我希望用专业能力帮助同龄人减少信息误判，找到可靠的公共就业服务渠道。</w:t>
      </w:r>
    </w:p>
    <w:p>
      <w:pPr>
        <w:pStyle w:val="Heading2"/>
        <w:keepNext/>
      </w:pPr>
      <w:r>
        <w:rPr>
          <w:color w:val="000000"/>
        </w:rPr>
        <w:t>二 自我认知</w:t>
      </w:r>
    </w:p>
    <w:p>
      <w:pPr>
        <w:widowControl/>
        <w:ind w:firstLine="397"/>
        <w:jc w:val="both"/>
      </w:pPr>
      <w:r>
        <w:t>大一时，我的新闻采访与写作、视听语言课程分别取得88分和90分，并在校媒承担短视频选题与字幕工作。教师认为我能抓住叙事节奏，但采访常停在“发生了什么”，很少追问“观众下一步该怎么办”。课程作品说明我有基础表达能力，第一条求职提醒视频的反馈则暴露了我的短板：缺少事实核验和面向使用场景的内容设计。</w:t>
      </w:r>
    </w:p>
    <w:p>
      <w:pPr>
        <w:pStyle w:val="Heading2"/>
        <w:keepNext/>
      </w:pPr>
      <w:r>
        <w:rPr>
          <w:color w:val="000000"/>
        </w:rPr>
        <w:t>三 职业探索</w:t>
      </w:r>
    </w:p>
    <w:p>
      <w:pPr>
        <w:widowControl/>
        <w:ind w:firstLine="397"/>
        <w:jc w:val="both"/>
      </w:pPr>
      <w:r>
        <w:t>我比较了商业短视频策划、新闻视频编导和公共服务内容编辑三类岗位，查阅四份公开岗位说明，访谈一名学校就业指导老师和一名地方融媒体编辑。前者强调招聘信息应回到学校就业平台或用人单位正式渠道核实；后者提醒我，观众看完能否完成核验，比视频是否“讲得热闹”更重要。我也研究了读特客户端等平台的服务类作品，最终把职业方向从宽泛的“新媒体编导”收窄到青年就业公共服务内容。</w:t>
      </w:r>
    </w:p>
    <w:p>
      <w:pPr>
        <w:pStyle w:val="Heading2"/>
        <w:keepNext/>
      </w:pPr>
      <w:r>
        <w:rPr>
          <w:color w:val="000000"/>
        </w:rPr>
        <w:t>四 职业目标</w:t>
      </w:r>
    </w:p>
    <w:p>
      <w:pPr>
        <w:widowControl/>
        <w:ind w:firstLine="397"/>
        <w:jc w:val="both"/>
      </w:pPr>
      <w:r>
        <w:t>我的起步岗位是市级融媒体机构的公共服务内容策划编导助理，先参与选题调研、采访、脚本和发布复盘，逐步独立负责面向青年群体的就业服务选题。这一目标结合了我的专业训练、对信息准确性的重视，以及服务同龄人的意愿。</w:t>
      </w:r>
    </w:p>
    <w:p>
      <w:pPr>
        <w:pStyle w:val="Heading2"/>
        <w:keepNext/>
      </w:pPr>
      <w:r>
        <w:rPr>
          <w:color w:val="000000"/>
        </w:rPr>
        <w:t>五 目标单位与岗位要求</w:t>
      </w:r>
    </w:p>
    <w:p>
      <w:pPr>
        <w:widowControl/>
        <w:ind w:firstLine="397"/>
        <w:jc w:val="both"/>
      </w:pPr>
      <w:r>
        <w:t>我以市级融媒体中心为求职目标，以读特等平台的公共服务作品为内容参照。岗位任务可归纳为发现用户问题、核验事实、设计脚本、组织制作和分析反馈。我已有单条作品的制作经验，却缺少连续选题、与服务机构沟通及发布后验证的能力。因此，我把一个可核验、可迭代的系列项目作为大学阶段的核心实践。正式求职前，还需对照目标地区最新招聘公告核实具体条件。</w:t>
      </w:r>
    </w:p>
    <w:p>
      <w:pPr>
        <w:pStyle w:val="Heading1"/>
        <w:keepNext/>
        <w:pageBreakBefore/>
      </w:pPr>
      <w:r>
        <w:rPr>
          <w:color w:val="000000"/>
        </w:rPr>
        <w:t>二 成长实践</w:t>
      </w:r>
    </w:p>
    <w:p>
      <w:pPr>
        <w:pStyle w:val="Heading2"/>
        <w:keepNext/>
      </w:pPr>
      <w:r>
        <w:rPr>
          <w:color w:val="000000"/>
        </w:rPr>
        <w:t>一 成长计划</w:t>
      </w:r>
    </w:p>
    <w:p>
      <w:pPr>
        <w:widowControl/>
        <w:ind w:firstLine="397"/>
        <w:jc w:val="both"/>
      </w:pPr>
      <w:r>
        <w:t>大一，我通过课程和校媒任务练习采访、写作与视听表达；大二，我计划围绕大学生求职信息核验制作系列内容，用实际提问和试看反馈检验作品；大三，我希望进入融媒体机构实习，学习正式审核与多平台发布。各阶段的检验标准，从“能完成作品”逐步转向“观众能依据作品采取正确行动”。</w:t>
      </w:r>
    </w:p>
    <w:p>
      <w:pPr>
        <w:pStyle w:val="Heading2"/>
        <w:keepNext/>
      </w:pPr>
      <w:r>
        <w:rPr>
          <w:color w:val="000000"/>
        </w:rPr>
        <w:t>二 阶段成果</w:t>
      </w:r>
    </w:p>
    <w:p>
      <w:pPr>
        <w:widowControl/>
        <w:ind w:firstLine="397"/>
        <w:jc w:val="both"/>
      </w:pPr>
      <w:r>
        <w:t>第一次课程短片《实习先交钱？》由我负责选题、采访提纲和脚本，两名组员负责摄影与剪辑。初版用情景表演提示风险，教师认可节奏，却有同学留言：“看完还是不知道去哪里核实。”我发现，作品把风险讲清了，却没有交代核验路径。原始脚本、教师评语、发布页面和留言记录保留了这次问题的来龙去脉。</w:t>
      </w:r>
    </w:p>
    <w:p>
      <w:pPr>
        <w:widowControl/>
        <w:ind w:firstLine="397"/>
        <w:jc w:val="both"/>
      </w:pPr>
      <w:r>
        <w:t>大二，我发起“求职信息核验三问”系列，与三名同学分别制作招聘单位、岗位来源和收费要求三个主题。我负责收集42条学生提问、联络就业指导中心核对关键信息、撰写三集脚本并统筹发布；摄影、剪辑与成片属于团队共同成果。首次小范围试看的36名同学中，只有14人能依据视频找到正式核验入口。我把入口演示提前、删去重复的情景铺垫，并在字幕中加入可追溯的渠道名称。改版后，同一批同学中有30人能说出核验路径。这只能说明短期理解有所改善，不能推断他们日后都能识别招聘风险。</w:t>
      </w:r>
    </w:p>
    <w:p>
      <w:pPr>
        <w:widowControl/>
        <w:ind w:firstLine="397"/>
        <w:jc w:val="both"/>
      </w:pPr>
      <w:r>
        <w:t>第二集发布前，一名组员发现字幕所示的页面入口已更新。我暂停发布，与就业指导中心重新确认，建立“来源、核对人、核对日期”记录表，之后每集由两人交叉检查。两版脚本、核验表、试看记录、作品链接和学校老师的修改意见，分别对应我的选题判断、具体行动、结果及调整，也能区分个人贡献与团队产出。</w:t>
      </w:r>
    </w:p>
    <w:p>
      <w:pPr>
        <w:keepNext/>
        <w:spacing w:before="180" w:after="80"/>
      </w:pPr>
      <w:r>
        <w:rPr>
          <w:rFonts w:ascii="黑体" w:hAnsi="黑体"/>
          <w:b/>
          <w:color w:val="000000"/>
          <w:sz w:val="19"/>
        </w:rPr>
        <w:t>关键行动与证据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1361"/>
            <w:vAlign w:val="center"/>
            <w:tcMar>
              <w:top w:w="110" w:type="dxa"/>
              <w:start w:w="145" w:type="dxa"/>
              <w:bottom w:w="110" w:type="dxa"/>
              <w:end w:w="14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53B3B"/>
          </w:tcPr>
          <w:p>
            <w:pPr>
              <w:spacing w:after="0" w:line="276" w:lineRule="auto"/>
            </w:pPr>
            <w:r>
              <w:rPr>
                <w:rFonts w:ascii="宋体" w:hAnsi="宋体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458"/>
            <w:vAlign w:val="center"/>
            <w:tcMar>
              <w:top w:w="110" w:type="dxa"/>
              <w:start w:w="145" w:type="dxa"/>
              <w:bottom w:w="110" w:type="dxa"/>
              <w:end w:w="14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53B3B"/>
          </w:tcPr>
          <w:p>
            <w:pPr>
              <w:spacing w:after="0" w:line="276" w:lineRule="auto"/>
            </w:pPr>
            <w:r>
              <w:rPr>
                <w:rFonts w:ascii="宋体" w:hAnsi="宋体"/>
                <w:b/>
                <w:color w:val="FFFFFF"/>
                <w:sz w:val="18"/>
              </w:rPr>
              <w:t>本人行动</w:t>
            </w:r>
          </w:p>
        </w:tc>
        <w:tc>
          <w:tcPr>
            <w:tcW w:type="dxa" w:w="4535"/>
            <w:vAlign w:val="center"/>
            <w:tcMar>
              <w:top w:w="110" w:type="dxa"/>
              <w:start w:w="145" w:type="dxa"/>
              <w:bottom w:w="110" w:type="dxa"/>
              <w:end w:w="14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53B3B"/>
          </w:tcPr>
          <w:p>
            <w:pPr>
              <w:spacing w:after="0" w:line="276" w:lineRule="auto"/>
            </w:pPr>
            <w:r>
              <w:rPr>
                <w:rFonts w:ascii="宋体" w:hAnsi="宋体"/>
                <w:b/>
                <w:color w:val="FFFFFF"/>
                <w:sz w:val="18"/>
              </w:rPr>
              <w:t>结果与证明</w:t>
            </w:r>
          </w:p>
        </w:tc>
      </w:tr>
      <w:tr>
        <w:tc>
          <w:tcPr>
            <w:tcW w:type="dxa" w:w="1361"/>
            <w:vAlign w:val="center"/>
            <w:tcMar>
              <w:top w:w="110" w:type="dxa"/>
              <w:start w:w="145" w:type="dxa"/>
              <w:bottom w:w="110" w:type="dxa"/>
              <w:end w:w="14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</w:pPr>
            <w:r>
              <w:rPr>
                <w:rFonts w:ascii="宋体" w:hAnsi="宋体"/>
                <w:b w:val="0"/>
                <w:color w:val="000000"/>
                <w:sz w:val="18"/>
              </w:rPr>
              <w:t>初版短片</w:t>
            </w:r>
          </w:p>
        </w:tc>
        <w:tc>
          <w:tcPr>
            <w:tcW w:type="dxa" w:w="3458"/>
            <w:vAlign w:val="center"/>
            <w:tcMar>
              <w:top w:w="110" w:type="dxa"/>
              <w:start w:w="145" w:type="dxa"/>
              <w:bottom w:w="110" w:type="dxa"/>
              <w:end w:w="14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</w:pPr>
            <w:r>
              <w:rPr>
                <w:rFonts w:ascii="宋体" w:hAnsi="宋体"/>
                <w:b w:val="0"/>
                <w:color w:val="000000"/>
                <w:sz w:val="18"/>
              </w:rPr>
              <w:t>负责选题和脚本，依据同学留言重新定义问题</w:t>
            </w:r>
          </w:p>
        </w:tc>
        <w:tc>
          <w:tcPr>
            <w:tcW w:type="dxa" w:w="4535"/>
            <w:vAlign w:val="center"/>
            <w:tcMar>
              <w:top w:w="110" w:type="dxa"/>
              <w:start w:w="145" w:type="dxa"/>
              <w:bottom w:w="110" w:type="dxa"/>
              <w:end w:w="14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</w:pPr>
            <w:r>
              <w:rPr>
                <w:rFonts w:ascii="宋体" w:hAnsi="宋体"/>
                <w:b w:val="0"/>
                <w:color w:val="000000"/>
                <w:sz w:val="18"/>
              </w:rPr>
              <w:t>两版脚本、教师评语、发布留言</w:t>
            </w:r>
          </w:p>
        </w:tc>
      </w:tr>
      <w:tr>
        <w:tc>
          <w:tcPr>
            <w:tcW w:type="dxa" w:w="1361"/>
            <w:vAlign w:val="center"/>
            <w:tcMar>
              <w:top w:w="110" w:type="dxa"/>
              <w:start w:w="145" w:type="dxa"/>
              <w:bottom w:w="110" w:type="dxa"/>
              <w:end w:w="14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6F5"/>
          </w:tcPr>
          <w:p>
            <w:pPr>
              <w:spacing w:after="0" w:line="276" w:lineRule="auto"/>
            </w:pPr>
            <w:r>
              <w:rPr>
                <w:rFonts w:ascii="宋体" w:hAnsi="宋体"/>
                <w:b w:val="0"/>
                <w:color w:val="000000"/>
                <w:sz w:val="18"/>
              </w:rPr>
              <w:t>系列试看片</w:t>
            </w:r>
          </w:p>
        </w:tc>
        <w:tc>
          <w:tcPr>
            <w:tcW w:type="dxa" w:w="3458"/>
            <w:vAlign w:val="center"/>
            <w:tcMar>
              <w:top w:w="110" w:type="dxa"/>
              <w:start w:w="145" w:type="dxa"/>
              <w:bottom w:w="110" w:type="dxa"/>
              <w:end w:w="14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6F5"/>
          </w:tcPr>
          <w:p>
            <w:pPr>
              <w:spacing w:after="0" w:line="276" w:lineRule="auto"/>
            </w:pPr>
            <w:r>
              <w:rPr>
                <w:rFonts w:ascii="宋体" w:hAnsi="宋体"/>
                <w:b w:val="0"/>
                <w:color w:val="000000"/>
                <w:sz w:val="18"/>
              </w:rPr>
              <w:t>收集提问、核对信息、提前展示核验入口</w:t>
            </w:r>
          </w:p>
        </w:tc>
        <w:tc>
          <w:tcPr>
            <w:tcW w:type="dxa" w:w="4535"/>
            <w:vAlign w:val="center"/>
            <w:tcMar>
              <w:top w:w="110" w:type="dxa"/>
              <w:start w:w="145" w:type="dxa"/>
              <w:bottom w:w="110" w:type="dxa"/>
              <w:end w:w="14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6F5"/>
          </w:tcPr>
          <w:p>
            <w:pPr>
              <w:spacing w:after="0" w:line="276" w:lineRule="auto"/>
            </w:pPr>
            <w:r>
              <w:rPr>
                <w:rFonts w:ascii="宋体" w:hAnsi="宋体"/>
                <w:b w:val="0"/>
                <w:color w:val="000000"/>
                <w:sz w:val="18"/>
              </w:rPr>
              <w:t>同组试看记录：14人到30人能够说出路径</w:t>
            </w:r>
          </w:p>
        </w:tc>
      </w:tr>
      <w:tr>
        <w:tc>
          <w:tcPr>
            <w:tcW w:type="dxa" w:w="1361"/>
            <w:vAlign w:val="center"/>
            <w:tcMar>
              <w:top w:w="110" w:type="dxa"/>
              <w:start w:w="145" w:type="dxa"/>
              <w:bottom w:w="110" w:type="dxa"/>
              <w:end w:w="14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</w:pPr>
            <w:r>
              <w:rPr>
                <w:rFonts w:ascii="宋体" w:hAnsi="宋体"/>
                <w:b w:val="0"/>
                <w:color w:val="000000"/>
                <w:sz w:val="18"/>
              </w:rPr>
              <w:t>发布前复核</w:t>
            </w:r>
          </w:p>
        </w:tc>
        <w:tc>
          <w:tcPr>
            <w:tcW w:type="dxa" w:w="3458"/>
            <w:vAlign w:val="center"/>
            <w:tcMar>
              <w:top w:w="110" w:type="dxa"/>
              <w:start w:w="145" w:type="dxa"/>
              <w:bottom w:w="110" w:type="dxa"/>
              <w:end w:w="14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</w:pPr>
            <w:r>
              <w:rPr>
                <w:rFonts w:ascii="宋体" w:hAnsi="宋体"/>
                <w:b w:val="0"/>
                <w:color w:val="000000"/>
                <w:sz w:val="18"/>
              </w:rPr>
              <w:t>暂停发布，建立来源、核对人和日期记录</w:t>
            </w:r>
          </w:p>
        </w:tc>
        <w:tc>
          <w:tcPr>
            <w:tcW w:type="dxa" w:w="4535"/>
            <w:vAlign w:val="center"/>
            <w:tcMar>
              <w:top w:w="110" w:type="dxa"/>
              <w:start w:w="145" w:type="dxa"/>
              <w:bottom w:w="110" w:type="dxa"/>
              <w:end w:w="14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</w:pPr>
            <w:r>
              <w:rPr>
                <w:rFonts w:ascii="宋体" w:hAnsi="宋体"/>
                <w:b w:val="0"/>
                <w:color w:val="000000"/>
                <w:sz w:val="18"/>
              </w:rPr>
              <w:t>核验表、修改意见与最终作品链接</w:t>
            </w:r>
          </w:p>
        </w:tc>
      </w:tr>
    </w:tbl>
    <w:p>
      <w:pPr>
        <w:pStyle w:val="Heading1"/>
        <w:keepNext/>
      </w:pPr>
      <w:r>
        <w:rPr>
          <w:color w:val="000000"/>
        </w:rPr>
        <w:t>三 未来发展</w:t>
      </w:r>
    </w:p>
    <w:p>
      <w:pPr>
        <w:widowControl/>
        <w:ind w:firstLine="397"/>
        <w:jc w:val="both"/>
      </w:pPr>
      <w:r>
        <w:t>第一条视频的反馈使我从“提醒风险”转向“演示核验”；试看结果促使我重排脚本，页面更新又促使团队建立发布前交叉核验。职业目标没有改变，行动路径已变为“收集问题、核对来源、制作表达、试用检验、持续修订”。下一阶段，我将继续训练采访追问和服务信息核验，争取在融媒体团队实习，观察作品进入真实审核与传播流程后的效果。我希望成为能讲好故事，也能对观众据此采取的行动负责的内容策划编导。</w:t>
      </w:r>
    </w:p>
    <w:sectPr w:rsidR="00FC693F" w:rsidRPr="0006063C" w:rsidSect="00034616">
      <w:footerReference w:type="default" r:id="rId9"/>
      <w:pgSz w:w="12240" w:h="15840"/>
      <w:pgMar w:top="1049" w:right="1276" w:bottom="992" w:left="1276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宋体" w:hAnsi="宋体"/>
        <w:color w:val="525252"/>
        <w:sz w:val="17"/>
      </w:rPr>
      <w:t>成长赛道生涯发展报告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5" w:lineRule="auto" w:after="80"/>
    </w:pPr>
    <w:rPr>
      <w:rFonts w:ascii="宋体" w:hAnsi="宋体" w:eastAsia="宋体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4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 w:before="0"/>
      <w:contextualSpacing/>
    </w:pPr>
    <w:rPr>
      <w:rFonts w:asciiTheme="majorHAnsi" w:eastAsiaTheme="majorEastAsia" w:hAnsiTheme="majorHAnsi" w:cstheme="majorBidi" w:ascii="黑体" w:hAnsi="黑体" w:eastAsia="黑体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imulationNote">
    <w:name w:val="Simulation Note"/>
    <w:pPr>
      <w:spacing w:after="180"/>
    </w:pPr>
    <w:rPr>
      <w:rFonts w:ascii="宋体" w:hAnsi="宋体" w:eastAsia="宋体"/>
      <w:b w:val="0"/>
      <w:color w:val="525252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